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pPr w:leftFromText="180" w:rightFromText="180" w:vertAnchor="text" w:horzAnchor="page" w:tblpX="1437" w:tblpY="618"/>
        <w:tblOverlap w:val="never"/>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00"/>
      </w:tblGrid>
      <w:tr w14:paraId="40E94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1" w:hRule="atLeast"/>
        </w:trPr>
        <w:tc>
          <w:tcPr>
            <w:tcW w:w="9300" w:type="dxa"/>
            <w:tcBorders>
              <w:tl2br w:val="nil"/>
              <w:tr2bl w:val="nil"/>
            </w:tcBorders>
            <w:vAlign w:val="center"/>
          </w:tcPr>
          <w:p w14:paraId="0F5791EC">
            <w:pPr>
              <w:keepNext w:val="0"/>
              <w:keepLines w:val="0"/>
              <w:pageBreakBefore w:val="0"/>
              <w:widowControl w:val="0"/>
              <w:kinsoku/>
              <w:wordWrap/>
              <w:overflowPunct/>
              <w:topLinePunct w:val="0"/>
              <w:autoSpaceDE/>
              <w:autoSpaceDN/>
              <w:bidi w:val="0"/>
              <w:adjustRightInd/>
              <w:snapToGrid/>
              <w:spacing w:line="1500" w:lineRule="exact"/>
              <w:jc w:val="distribute"/>
              <w:textAlignment w:val="auto"/>
              <w:rPr>
                <w:rFonts w:hint="eastAsia" w:ascii="方正仿宋_GBK" w:hAnsi="方正仿宋_GBK" w:eastAsia="方正仿宋_GBK" w:cs="方正仿宋_GBK"/>
                <w:b w:val="0"/>
                <w:bCs w:val="0"/>
                <w:i w:val="0"/>
                <w:iCs w:val="0"/>
                <w:color w:val="FF0000"/>
                <w:spacing w:val="0"/>
                <w:w w:val="40"/>
                <w:sz w:val="160"/>
                <w:szCs w:val="160"/>
                <w:vertAlign w:val="baseline"/>
                <w:lang w:eastAsia="zh-CN"/>
              </w:rPr>
            </w:pPr>
            <w:r>
              <w:rPr>
                <w:rFonts w:hint="eastAsia" w:ascii="方正小标宋_GBK" w:hAnsi="方正小标宋_GBK" w:eastAsia="方正小标宋_GBK" w:cs="方正小标宋_GBK"/>
                <w:b w:val="0"/>
                <w:bCs w:val="0"/>
                <w:i w:val="0"/>
                <w:iCs w:val="0"/>
                <w:color w:val="FF0000"/>
                <w:spacing w:val="0"/>
                <w:w w:val="53"/>
                <w:sz w:val="120"/>
                <w:szCs w:val="120"/>
                <w:vertAlign w:val="baseline"/>
                <w:lang w:eastAsia="zh-CN"/>
              </w:rPr>
              <w:t>翼城县行政审批服务管理局文件</w:t>
            </w:r>
          </w:p>
        </w:tc>
      </w:tr>
      <w:tr w14:paraId="32FBF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8" w:hRule="exact"/>
        </w:trPr>
        <w:tc>
          <w:tcPr>
            <w:tcW w:w="9300" w:type="dxa"/>
            <w:tcBorders>
              <w:bottom w:val="single" w:color="FF0000" w:sz="18" w:space="0"/>
            </w:tcBorders>
            <w:vAlign w:val="bottom"/>
          </w:tcPr>
          <w:p w14:paraId="6CFEA14D">
            <w:pPr>
              <w:keepNext w:val="0"/>
              <w:keepLines w:val="0"/>
              <w:pageBreakBefore w:val="0"/>
              <w:widowControl w:val="0"/>
              <w:kinsoku/>
              <w:wordWrap/>
              <w:overflowPunct/>
              <w:topLinePunct w:val="0"/>
              <w:autoSpaceDE/>
              <w:autoSpaceDN/>
              <w:bidi w:val="0"/>
              <w:adjustRightInd/>
              <w:snapToGrid/>
              <w:spacing w:after="120" w:line="660" w:lineRule="exact"/>
              <w:jc w:val="center"/>
              <w:textAlignment w:val="auto"/>
              <w:rPr>
                <w:rFonts w:hint="default" w:ascii="仿宋" w:hAnsi="仿宋" w:eastAsia="仿宋" w:cs="仿宋"/>
                <w:b w:val="0"/>
                <w:bCs w:val="0"/>
                <w:i w:val="0"/>
                <w:iCs w:val="0"/>
                <w:color w:val="FF0000"/>
                <w:spacing w:val="0"/>
                <w:w w:val="100"/>
                <w:sz w:val="32"/>
                <w:szCs w:val="32"/>
                <w:vertAlign w:val="baseline"/>
                <w:lang w:val="en-US" w:eastAsia="zh-CN"/>
              </w:rPr>
            </w:pPr>
            <w:r>
              <w:rPr>
                <w:rFonts w:hint="eastAsia" w:ascii="仿宋_GB2312" w:hAnsi="仿宋_GB2312" w:eastAsia="仿宋_GB2312" w:cs="仿宋_GB2312"/>
                <w:b w:val="0"/>
                <w:bCs w:val="0"/>
                <w:i w:val="0"/>
                <w:iCs w:val="0"/>
                <w:color w:val="000000" w:themeColor="text1"/>
                <w:spacing w:val="0"/>
                <w:w w:val="100"/>
                <w:sz w:val="32"/>
                <w:szCs w:val="32"/>
                <w:vertAlign w:val="baseline"/>
                <w:lang w:eastAsia="zh-CN"/>
                <w14:textFill>
                  <w14:solidFill>
                    <w14:schemeClr w14:val="tx1"/>
                  </w14:solidFill>
                </w14:textFill>
              </w:rPr>
              <w:t>翼审管</w:t>
            </w:r>
            <w:r>
              <w:rPr>
                <w:rFonts w:hint="eastAsia" w:ascii="仿宋_GB2312" w:hAnsi="仿宋_GB2312" w:eastAsia="仿宋_GB2312" w:cs="仿宋_GB2312"/>
                <w:b w:val="0"/>
                <w:bCs w:val="0"/>
                <w:i w:val="0"/>
                <w:iCs w:val="0"/>
                <w:color w:val="000000" w:themeColor="text1"/>
                <w:spacing w:val="0"/>
                <w:w w:val="100"/>
                <w:sz w:val="32"/>
                <w:szCs w:val="32"/>
                <w:vertAlign w:val="baseline"/>
                <w:lang w:val="en-US" w:eastAsia="zh-CN"/>
                <w14:textFill>
                  <w14:solidFill>
                    <w14:schemeClr w14:val="tx1"/>
                  </w14:solidFill>
                </w14:textFill>
              </w:rPr>
              <w:t>审</w:t>
            </w:r>
            <w:r>
              <w:rPr>
                <w:rFonts w:hint="eastAsia" w:ascii="仿宋_GB2312" w:hAnsi="仿宋_GB2312" w:eastAsia="仿宋_GB2312" w:cs="仿宋_GB2312"/>
                <w:b w:val="0"/>
                <w:bCs w:val="0"/>
                <w:i w:val="0"/>
                <w:iCs w:val="0"/>
                <w:color w:val="000000" w:themeColor="text1"/>
                <w:spacing w:val="0"/>
                <w:w w:val="100"/>
                <w:sz w:val="32"/>
                <w:szCs w:val="32"/>
                <w:vertAlign w:val="baseline"/>
                <w:lang w:eastAsia="zh-CN"/>
                <w14:textFill>
                  <w14:solidFill>
                    <w14:schemeClr w14:val="tx1"/>
                  </w14:solidFill>
                </w14:textFill>
              </w:rPr>
              <w:t>字〔</w:t>
            </w:r>
            <w:r>
              <w:rPr>
                <w:rFonts w:hint="default" w:ascii="Times New Roman" w:hAnsi="Times New Roman" w:eastAsia="仿宋" w:cs="Times New Roman"/>
                <w:b w:val="0"/>
                <w:bCs w:val="0"/>
                <w:i w:val="0"/>
                <w:iCs w:val="0"/>
                <w:color w:val="000000" w:themeColor="text1"/>
                <w:spacing w:val="0"/>
                <w:w w:val="100"/>
                <w:sz w:val="32"/>
                <w:szCs w:val="32"/>
                <w:vertAlign w:val="baseline"/>
                <w:lang w:val="en-US" w:eastAsia="zh-CN"/>
                <w14:textFill>
                  <w14:solidFill>
                    <w14:schemeClr w14:val="tx1"/>
                  </w14:solidFill>
                </w14:textFill>
              </w:rPr>
              <w:t>2025</w:t>
            </w:r>
            <w:r>
              <w:rPr>
                <w:rFonts w:hint="eastAsia" w:ascii="仿宋_GB2312" w:hAnsi="仿宋_GB2312" w:eastAsia="仿宋_GB2312" w:cs="仿宋_GB2312"/>
                <w:b w:val="0"/>
                <w:bCs w:val="0"/>
                <w:i w:val="0"/>
                <w:iCs w:val="0"/>
                <w:color w:val="000000" w:themeColor="text1"/>
                <w:spacing w:val="0"/>
                <w:w w:val="100"/>
                <w:sz w:val="32"/>
                <w:szCs w:val="32"/>
                <w:vertAlign w:val="baseline"/>
                <w:lang w:eastAsia="zh-CN"/>
                <w14:textFill>
                  <w14:solidFill>
                    <w14:schemeClr w14:val="tx1"/>
                  </w14:solidFill>
                </w14:textFill>
              </w:rPr>
              <w:t>〕</w:t>
            </w:r>
            <w:r>
              <w:rPr>
                <w:rFonts w:hint="default" w:ascii="Times New Roman" w:hAnsi="Times New Roman" w:eastAsia="仿宋_GB2312" w:cs="Times New Roman"/>
                <w:b w:val="0"/>
                <w:bCs w:val="0"/>
                <w:i w:val="0"/>
                <w:iCs w:val="0"/>
                <w:color w:val="000000" w:themeColor="text1"/>
                <w:spacing w:val="0"/>
                <w:w w:val="100"/>
                <w:sz w:val="32"/>
                <w:szCs w:val="32"/>
                <w:vertAlign w:val="baseline"/>
                <w:lang w:val="en-US" w:eastAsia="zh-CN"/>
                <w14:textFill>
                  <w14:solidFill>
                    <w14:schemeClr w14:val="tx1"/>
                  </w14:solidFill>
                </w14:textFill>
              </w:rPr>
              <w:t>68</w:t>
            </w:r>
            <w:r>
              <w:rPr>
                <w:rFonts w:hint="eastAsia" w:ascii="仿宋_GB2312" w:hAnsi="仿宋_GB2312" w:eastAsia="仿宋_GB2312" w:cs="仿宋_GB2312"/>
                <w:b w:val="0"/>
                <w:bCs w:val="0"/>
                <w:i w:val="0"/>
                <w:iCs w:val="0"/>
                <w:color w:val="000000" w:themeColor="text1"/>
                <w:spacing w:val="0"/>
                <w:w w:val="100"/>
                <w:sz w:val="32"/>
                <w:szCs w:val="32"/>
                <w:vertAlign w:val="baseline"/>
                <w:lang w:eastAsia="zh-CN"/>
                <w14:textFill>
                  <w14:solidFill>
                    <w14:schemeClr w14:val="tx1"/>
                  </w14:solidFill>
                </w14:textFill>
              </w:rPr>
              <w:t xml:space="preserve"> </w:t>
            </w:r>
            <w:r>
              <w:rPr>
                <w:rFonts w:hint="eastAsia" w:ascii="仿宋_GB2312" w:hAnsi="仿宋_GB2312" w:eastAsia="仿宋_GB2312" w:cs="仿宋_GB2312"/>
                <w:b w:val="0"/>
                <w:bCs w:val="0"/>
                <w:i w:val="0"/>
                <w:iCs w:val="0"/>
                <w:color w:val="000000" w:themeColor="text1"/>
                <w:spacing w:val="0"/>
                <w:w w:val="100"/>
                <w:sz w:val="32"/>
                <w:szCs w:val="32"/>
                <w:vertAlign w:val="baseline"/>
                <w:lang w:val="en-US" w:eastAsia="zh-CN"/>
                <w14:textFill>
                  <w14:solidFill>
                    <w14:schemeClr w14:val="tx1"/>
                  </w14:solidFill>
                </w14:textFill>
              </w:rPr>
              <w:t>号</w:t>
            </w:r>
          </w:p>
        </w:tc>
      </w:tr>
    </w:tbl>
    <w:p w14:paraId="53A7FB1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i w:val="0"/>
          <w:iCs w:val="0"/>
          <w:sz w:val="44"/>
          <w:szCs w:val="44"/>
          <w:lang w:eastAsia="zh-CN"/>
        </w:rPr>
      </w:pPr>
    </w:p>
    <w:p w14:paraId="739752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i w:val="0"/>
          <w:iCs w:val="0"/>
          <w:sz w:val="44"/>
          <w:szCs w:val="44"/>
          <w:lang w:eastAsia="zh-CN"/>
        </w:rPr>
      </w:pPr>
    </w:p>
    <w:p w14:paraId="743ADF65">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b w:val="0"/>
          <w:bCs w:val="0"/>
          <w:i w:val="0"/>
          <w:iCs w:val="0"/>
          <w:sz w:val="44"/>
          <w:szCs w:val="44"/>
          <w:lang w:eastAsia="zh-CN"/>
        </w:rPr>
      </w:pPr>
      <w:r>
        <w:rPr>
          <w:rFonts w:hint="eastAsia" w:ascii="方正小标宋_GBK" w:hAnsi="方正小标宋_GBK" w:eastAsia="方正小标宋_GBK" w:cs="方正小标宋_GBK"/>
          <w:b w:val="0"/>
          <w:bCs w:val="0"/>
          <w:i w:val="0"/>
          <w:iCs w:val="0"/>
          <w:sz w:val="44"/>
          <w:szCs w:val="44"/>
          <w:lang w:eastAsia="zh-CN"/>
        </w:rPr>
        <w:t>翼城县行政审批服务管理局</w:t>
      </w:r>
    </w:p>
    <w:p w14:paraId="2D7940C2">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eastAsia="zh-CN"/>
        </w:rPr>
        <w:t>关于</w:t>
      </w:r>
      <w:r>
        <w:rPr>
          <w:rFonts w:hint="eastAsia" w:ascii="方正小标宋_GBK" w:hAnsi="方正小标宋_GBK" w:eastAsia="方正小标宋_GBK" w:cs="方正小标宋_GBK"/>
          <w:b w:val="0"/>
          <w:bCs w:val="0"/>
          <w:sz w:val="44"/>
          <w:szCs w:val="44"/>
        </w:rPr>
        <w:t>翼城县三易建材有限公司新建水泥预制品项目环境影响报告</w:t>
      </w:r>
      <w:r>
        <w:rPr>
          <w:rFonts w:hint="eastAsia" w:ascii="方正小标宋_GBK" w:hAnsi="方正小标宋_GBK" w:eastAsia="方正小标宋_GBK" w:cs="方正小标宋_GBK"/>
          <w:b w:val="0"/>
          <w:bCs w:val="0"/>
          <w:sz w:val="44"/>
          <w:szCs w:val="44"/>
          <w:lang w:val="en-US" w:eastAsia="zh-CN"/>
        </w:rPr>
        <w:t>表</w:t>
      </w:r>
      <w:r>
        <w:rPr>
          <w:rFonts w:hint="eastAsia" w:ascii="方正小标宋_GBK" w:hAnsi="方正小标宋_GBK" w:eastAsia="方正小标宋_GBK" w:cs="方正小标宋_GBK"/>
          <w:b w:val="0"/>
          <w:bCs w:val="0"/>
          <w:sz w:val="44"/>
          <w:szCs w:val="44"/>
        </w:rPr>
        <w:t>的批复</w:t>
      </w:r>
    </w:p>
    <w:p w14:paraId="378C9566">
      <w:pPr>
        <w:pStyle w:val="11"/>
        <w:keepNext w:val="0"/>
        <w:keepLines w:val="0"/>
        <w:pageBreakBefore w:val="0"/>
        <w:widowControl w:val="0"/>
        <w:kinsoku/>
        <w:overflowPunct/>
        <w:topLinePunct w:val="0"/>
        <w:autoSpaceDE/>
        <w:autoSpaceDN/>
        <w:bidi w:val="0"/>
        <w:adjustRightInd/>
        <w:snapToGrid/>
        <w:spacing w:before="0" w:after="0" w:line="660" w:lineRule="exact"/>
        <w:ind w:left="0"/>
        <w:jc w:val="both"/>
        <w:textAlignment w:val="auto"/>
        <w:rPr>
          <w:rFonts w:hint="eastAsia" w:ascii="仿宋" w:hAnsi="仿宋" w:eastAsia="仿宋" w:cs="仿宋"/>
          <w:b w:val="0"/>
          <w:bCs w:val="0"/>
          <w:color w:val="auto"/>
          <w:sz w:val="32"/>
          <w:szCs w:val="32"/>
        </w:rPr>
      </w:pPr>
    </w:p>
    <w:p w14:paraId="4EC54C1E">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翼城县三易建材有限公司：</w:t>
      </w:r>
    </w:p>
    <w:p w14:paraId="1B413789">
      <w:pPr>
        <w:keepNext w:val="0"/>
        <w:keepLines w:val="0"/>
        <w:pageBreakBefore w:val="0"/>
        <w:widowControl w:val="0"/>
        <w:kinsoku/>
        <w:wordWrap/>
        <w:overflowPunct/>
        <w:topLinePunct w:val="0"/>
        <w:autoSpaceDE/>
        <w:autoSpaceDN/>
        <w:bidi w:val="0"/>
        <w:adjustRightInd/>
        <w:snapToGrid/>
        <w:spacing w:line="6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你单位报送的《翼城县三易建材有限公司新建水泥预制品项目环境影响报告表》（以下简</w:t>
      </w:r>
      <w:r>
        <w:rPr>
          <w:rFonts w:hint="eastAsia" w:ascii="仿宋_GB2312" w:hAnsi="仿宋_GB2312" w:eastAsia="仿宋_GB2312" w:cs="仿宋_GB2312"/>
          <w:sz w:val="32"/>
          <w:szCs w:val="32"/>
        </w:rPr>
        <w:t>称《报告表》）</w:t>
      </w:r>
      <w:r>
        <w:rPr>
          <w:rFonts w:hint="eastAsia" w:ascii="仿宋_GB2312" w:hAnsi="仿宋_GB2312" w:eastAsia="仿宋_GB2312" w:cs="仿宋_GB2312"/>
          <w:sz w:val="32"/>
          <w:szCs w:val="32"/>
          <w:lang w:val="en-US" w:eastAsia="zh-CN"/>
        </w:rPr>
        <w:t>及申请材料已收悉，根据《中华人民共和国环境影响评价法》和《建设项目环境保护管理条例》等有关规定，结合专家评审意见，经研究，现批复如下：</w:t>
      </w:r>
    </w:p>
    <w:p w14:paraId="1CB5E025">
      <w:pPr>
        <w:keepNext w:val="0"/>
        <w:keepLines w:val="0"/>
        <w:pageBreakBefore w:val="0"/>
        <w:widowControl w:val="0"/>
        <w:kinsoku/>
        <w:wordWrap/>
        <w:overflowPunct/>
        <w:topLinePunct w:val="0"/>
        <w:autoSpaceDE/>
        <w:autoSpaceDN/>
        <w:bidi w:val="0"/>
        <w:adjustRightInd/>
        <w:snapToGrid/>
        <w:spacing w:line="6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、原则同意经技术审查后修改编制的《报告表》。</w:t>
      </w:r>
    </w:p>
    <w:p w14:paraId="68F36271">
      <w:pPr>
        <w:keepNext w:val="0"/>
        <w:keepLines w:val="0"/>
        <w:pageBreakBefore w:val="0"/>
        <w:widowControl w:val="0"/>
        <w:kinsoku/>
        <w:wordWrap/>
        <w:overflowPunct/>
        <w:topLinePunct w:val="0"/>
        <w:autoSpaceDE/>
        <w:autoSpaceDN/>
        <w:bidi w:val="0"/>
        <w:adjustRightInd/>
        <w:snapToGrid/>
        <w:spacing w:line="6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二、本项目位于山西省临汾市翼城县中卫乡南上卫村西侧。主要建设内容：建设生产车间一座，原料库一座，建设办公用房一栋，建设水泥预制品生产线一条，购置安装滚筒</w:t>
      </w:r>
      <w:bookmarkStart w:id="0" w:name="_GoBack"/>
      <w:bookmarkEnd w:id="0"/>
      <w:r>
        <w:rPr>
          <w:rFonts w:hint="eastAsia" w:ascii="仿宋_GB2312" w:hAnsi="仿宋_GB2312" w:eastAsia="仿宋_GB2312" w:cs="仿宋_GB2312"/>
          <w:sz w:val="32"/>
          <w:szCs w:val="32"/>
          <w:lang w:val="en-US" w:eastAsia="zh-CN"/>
        </w:rPr>
        <w:t>搅拌机</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台、水泥筒仓</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个、成型机</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台、计量输送皮带</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台等设备，配套环保、消防等设施。项目总投资</w:t>
      </w:r>
      <w:r>
        <w:rPr>
          <w:rFonts w:hint="default" w:ascii="Times New Roman" w:hAnsi="Times New Roman" w:eastAsia="仿宋_GB2312" w:cs="Times New Roman"/>
          <w:sz w:val="32"/>
          <w:szCs w:val="32"/>
          <w:lang w:val="en-US" w:eastAsia="zh-CN"/>
        </w:rPr>
        <w:t>150</w:t>
      </w:r>
      <w:r>
        <w:rPr>
          <w:rFonts w:hint="eastAsia" w:ascii="仿宋_GB2312" w:hAnsi="仿宋_GB2312" w:eastAsia="仿宋_GB2312" w:cs="仿宋_GB2312"/>
          <w:sz w:val="32"/>
          <w:szCs w:val="32"/>
          <w:lang w:val="en-US" w:eastAsia="zh-CN"/>
        </w:rPr>
        <w:t>万元，其中环保投资为</w:t>
      </w:r>
      <w:r>
        <w:rPr>
          <w:rFonts w:hint="default" w:ascii="Times New Roman" w:hAnsi="Times New Roman" w:eastAsia="仿宋_GB2312" w:cs="Times New Roman"/>
          <w:sz w:val="32"/>
          <w:szCs w:val="32"/>
          <w:lang w:val="en-US" w:eastAsia="zh-CN"/>
        </w:rPr>
        <w:t>35</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9</w:t>
      </w:r>
      <w:r>
        <w:rPr>
          <w:rFonts w:hint="eastAsia" w:ascii="仿宋_GB2312" w:hAnsi="仿宋_GB2312" w:eastAsia="仿宋_GB2312" w:cs="仿宋_GB2312"/>
          <w:sz w:val="32"/>
          <w:szCs w:val="32"/>
          <w:lang w:val="en-US" w:eastAsia="zh-CN"/>
        </w:rPr>
        <w:t>万元。在严格落实《报告表》中提出的各项生态保护和污染防治措施、</w:t>
      </w:r>
      <w:r>
        <w:rPr>
          <w:rFonts w:hint="eastAsia" w:ascii="仿宋_GB2312" w:hAnsi="仿宋_GB2312" w:eastAsia="仿宋_GB2312" w:cs="仿宋_GB2312"/>
          <w:sz w:val="32"/>
          <w:szCs w:val="32"/>
        </w:rPr>
        <w:t>项目污染物满足达标排放</w:t>
      </w:r>
      <w:r>
        <w:rPr>
          <w:rFonts w:hint="eastAsia" w:ascii="仿宋_GB2312" w:hAnsi="仿宋_GB2312" w:eastAsia="仿宋_GB2312" w:cs="仿宋_GB2312"/>
          <w:sz w:val="32"/>
          <w:szCs w:val="32"/>
          <w:lang w:val="en-US" w:eastAsia="zh-CN"/>
        </w:rPr>
        <w:t>及本批复要求的前提下，从环保角度分析，建设项目可行。</w:t>
      </w:r>
    </w:p>
    <w:p w14:paraId="728EBC4A">
      <w:pPr>
        <w:keepNext w:val="0"/>
        <w:keepLines w:val="0"/>
        <w:pageBreakBefore w:val="0"/>
        <w:widowControl w:val="0"/>
        <w:kinsoku/>
        <w:wordWrap/>
        <w:overflowPunct/>
        <w:topLinePunct w:val="0"/>
        <w:autoSpaceDE/>
        <w:autoSpaceDN/>
        <w:bidi w:val="0"/>
        <w:adjustRightInd/>
        <w:snapToGrid/>
        <w:spacing w:line="6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三、在项目建设和运营过程中，你单位必须严格执行“三同时”制度，对照《报告表》中提出的环保要求配套建设污染防治设施，并重点做好以下工作：</w:t>
      </w:r>
    </w:p>
    <w:p w14:paraId="43993DB4">
      <w:pPr>
        <w:keepNext w:val="0"/>
        <w:keepLines w:val="0"/>
        <w:pageBreakBefore w:val="0"/>
        <w:widowControl w:val="0"/>
        <w:kinsoku/>
        <w:wordWrap/>
        <w:overflowPunct/>
        <w:topLinePunct w:val="0"/>
        <w:autoSpaceDE/>
        <w:autoSpaceDN/>
        <w:bidi w:val="0"/>
        <w:adjustRightInd/>
        <w:snapToGrid/>
        <w:spacing w:line="6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落实施工期污染防治措施。严格落实建筑施工工地周边围挡、物料堆放覆盖、土方开挖湿法作业、路面硬化、出入车辆清洗、渣土车辆密闭运输等措施，建设新原料库时涉及地桩的土方开挖必须辅以持续加压或者喷淋措施，抑制扬尘产生，产生的土方优先用于回填，不能回填的送环卫部门指定地点处置，在施工现场周围设置</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5m</w:t>
      </w:r>
      <w:r>
        <w:rPr>
          <w:rFonts w:hint="eastAsia" w:ascii="仿宋_GB2312" w:hAnsi="仿宋_GB2312" w:eastAsia="仿宋_GB2312" w:cs="仿宋_GB2312"/>
          <w:sz w:val="32"/>
          <w:szCs w:val="32"/>
          <w:lang w:val="en-US" w:eastAsia="zh-CN"/>
        </w:rPr>
        <w:t>高施工网并配备喷雾抑尘设施，现场周围要求经常洒水，以减少施工扬尘的扩散范围，减轻扬尘对周围居民的影响，未能及时清运的土方和易产尘的建筑材料不得随意堆放，同时采取密目网覆盖，定时洒水减少扬尘的产生，建筑材料的运输车辆一定要用篷布加盖严实，严禁沿路抛洒，减少运输中二次扬尘的产生，出入车辆应清洗轮胎，以免轮胎带泥污染道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w:t>
      </w:r>
      <w:r>
        <w:rPr>
          <w:rFonts w:hint="eastAsia" w:ascii="仿宋_GB2312" w:hAnsi="仿宋_GB2312" w:eastAsia="仿宋_GB2312" w:cs="仿宋_GB2312"/>
          <w:sz w:val="32"/>
          <w:szCs w:val="32"/>
          <w:lang w:val="en-US" w:eastAsia="zh-CN"/>
        </w:rPr>
        <w:t>工地出口处道路及时清扫冲洗；施工废水、生活污水经收集后用于施工场地洒水抑尘，不外排；采用低噪设备，对机械操作工采取轮流作业制，防止工人长时间接触高噪声源，合理安排施工时间，夜间禁止施工；拆除原料库后产生的彩钢板、淘汰的搅拌机优先考虑外售利用，施工产生的渣土清运至政府指定的地点统一进行处置，生活垃圾由环卫部门统一拉运处置。</w:t>
      </w:r>
    </w:p>
    <w:p w14:paraId="7794A2E1">
      <w:pPr>
        <w:keepNext w:val="0"/>
        <w:keepLines w:val="0"/>
        <w:pageBreakBefore w:val="0"/>
        <w:widowControl w:val="0"/>
        <w:kinsoku/>
        <w:wordWrap/>
        <w:overflowPunct/>
        <w:topLinePunct w:val="0"/>
        <w:autoSpaceDE/>
        <w:autoSpaceDN/>
        <w:bidi w:val="0"/>
        <w:adjustRightInd/>
        <w:snapToGrid/>
        <w:spacing w:line="6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落实运营期大气污染防治措施。建设全封闭的储库，原料堆存装卸粉尘均在原料库内操作，库顶固定管喷雾抑尘，同时设置移动式雾炮机进行装卸抑尘；</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个上料斗上部设</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个集气罩，输送皮带全封闭，落料至斗式提升机口设</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个侧吸罩，斗式提升皮带全封闭，搅拌机上料口设侧吸罩，含尘废气抽至一台布袋除尘器进行处理，处理后经</w:t>
      </w:r>
      <w:r>
        <w:rPr>
          <w:rFonts w:hint="default" w:ascii="Times New Roman" w:hAnsi="Times New Roman" w:eastAsia="仿宋_GB2312" w:cs="Times New Roman"/>
          <w:sz w:val="32"/>
          <w:szCs w:val="32"/>
          <w:lang w:val="en-US" w:eastAsia="zh-CN"/>
        </w:rPr>
        <w:t>15m</w:t>
      </w:r>
      <w:r>
        <w:rPr>
          <w:rFonts w:hint="eastAsia" w:ascii="仿宋_GB2312" w:hAnsi="仿宋_GB2312" w:eastAsia="仿宋_GB2312" w:cs="仿宋_GB2312"/>
          <w:sz w:val="32"/>
          <w:szCs w:val="32"/>
          <w:lang w:val="en-US" w:eastAsia="zh-CN"/>
        </w:rPr>
        <w:t>高排气筒排放；水泥筒仓、粉煤灰筒仓各配置一套布袋除尘器进行处理，处理后由</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根</w:t>
      </w:r>
      <w:r>
        <w:rPr>
          <w:rFonts w:hint="default" w:ascii="Times New Roman" w:hAnsi="Times New Roman" w:eastAsia="仿宋_GB2312" w:cs="Times New Roman"/>
          <w:sz w:val="32"/>
          <w:szCs w:val="32"/>
          <w:lang w:val="en-US" w:eastAsia="zh-CN"/>
        </w:rPr>
        <w:t>15m</w:t>
      </w:r>
      <w:r>
        <w:rPr>
          <w:rFonts w:hint="eastAsia" w:ascii="仿宋_GB2312" w:hAnsi="仿宋_GB2312" w:eastAsia="仿宋_GB2312" w:cs="仿宋_GB2312"/>
          <w:sz w:val="32"/>
          <w:szCs w:val="32"/>
          <w:lang w:val="en-US" w:eastAsia="zh-CN"/>
        </w:rPr>
        <w:t>高的排气筒排放；运输车辆加盖篷布并及时清扫路面、道路硬化。</w:t>
      </w:r>
    </w:p>
    <w:p w14:paraId="2DEE26F5">
      <w:pPr>
        <w:keepNext w:val="0"/>
        <w:keepLines w:val="0"/>
        <w:pageBreakBefore w:val="0"/>
        <w:widowControl w:val="0"/>
        <w:kinsoku/>
        <w:wordWrap/>
        <w:overflowPunct/>
        <w:topLinePunct w:val="0"/>
        <w:autoSpaceDE/>
        <w:autoSpaceDN/>
        <w:bidi w:val="0"/>
        <w:adjustRightInd/>
        <w:snapToGrid/>
        <w:spacing w:line="6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落实运营期水污染治理措施。搅拌机清洗废水、养护作业区地面清洗废水经</w:t>
      </w:r>
      <w:r>
        <w:rPr>
          <w:rFonts w:hint="default" w:ascii="Times New Roman" w:hAnsi="Times New Roman" w:eastAsia="仿宋_GB2312" w:cs="Times New Roman"/>
          <w:sz w:val="32"/>
          <w:szCs w:val="32"/>
          <w:lang w:val="en-US" w:eastAsia="zh-CN"/>
        </w:rPr>
        <w:t>10m³</w:t>
      </w:r>
      <w:r>
        <w:rPr>
          <w:rFonts w:hint="eastAsia" w:ascii="仿宋_GB2312" w:hAnsi="仿宋_GB2312" w:eastAsia="仿宋_GB2312" w:cs="仿宋_GB2312"/>
          <w:sz w:val="32"/>
          <w:szCs w:val="32"/>
          <w:lang w:val="en-US" w:eastAsia="zh-CN"/>
        </w:rPr>
        <w:t>沉淀池处理后作为搅拌补充用水循环利用，不外排；厂区出入口建设</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座车辆清洗平台，需覆盖车轮车身，配套</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座</w:t>
      </w:r>
      <w:r>
        <w:rPr>
          <w:rFonts w:hint="default" w:ascii="Times New Roman" w:hAnsi="Times New Roman" w:eastAsia="仿宋_GB2312" w:cs="Times New Roman"/>
          <w:sz w:val="32"/>
          <w:szCs w:val="32"/>
          <w:lang w:val="en-US" w:eastAsia="zh-CN"/>
        </w:rPr>
        <w:t>5m³</w:t>
      </w:r>
      <w:r>
        <w:rPr>
          <w:rFonts w:hint="eastAsia" w:ascii="仿宋_GB2312" w:hAnsi="仿宋_GB2312" w:eastAsia="仿宋_GB2312" w:cs="仿宋_GB2312"/>
          <w:sz w:val="32"/>
          <w:szCs w:val="32"/>
          <w:lang w:val="en-US" w:eastAsia="zh-CN"/>
        </w:rPr>
        <w:t>废水三级沉淀池，洗车废水经沉淀后回用于洗车用水，不外排；设</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座</w:t>
      </w:r>
      <w:r>
        <w:rPr>
          <w:rFonts w:hint="default" w:ascii="Times New Roman" w:hAnsi="Times New Roman" w:eastAsia="仿宋_GB2312" w:cs="Times New Roman"/>
          <w:sz w:val="32"/>
          <w:szCs w:val="32"/>
          <w:lang w:val="en-US" w:eastAsia="zh-CN"/>
        </w:rPr>
        <w:t>35m³</w:t>
      </w:r>
      <w:r>
        <w:rPr>
          <w:rFonts w:hint="eastAsia" w:ascii="仿宋_GB2312" w:hAnsi="仿宋_GB2312" w:eastAsia="仿宋_GB2312" w:cs="仿宋_GB2312"/>
          <w:sz w:val="32"/>
          <w:szCs w:val="32"/>
          <w:lang w:val="en-US" w:eastAsia="zh-CN"/>
        </w:rPr>
        <w:t>初期雨水收集池，收集后的雨水经沉淀后，可以用于搅拌用水及厂区洒水抑尘；生活污水全部用于厂区内抑尘洒水，不外排，旱厕定期由粪车拉运处置。</w:t>
      </w:r>
    </w:p>
    <w:p w14:paraId="33A86A88">
      <w:pPr>
        <w:keepNext w:val="0"/>
        <w:keepLines w:val="0"/>
        <w:pageBreakBefore w:val="0"/>
        <w:widowControl w:val="0"/>
        <w:kinsoku/>
        <w:wordWrap/>
        <w:overflowPunct/>
        <w:topLinePunct w:val="0"/>
        <w:autoSpaceDE/>
        <w:autoSpaceDN/>
        <w:bidi w:val="0"/>
        <w:adjustRightInd/>
        <w:snapToGrid/>
        <w:spacing w:line="6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 xml:space="preserve">落实运营期噪声污染治理措施。将生产厂房进行全封闭设置，在厂区总体布置上利用建筑物、构筑物来阻隔声波的传播，从而减少对周围环境的影响；在设备选型时，尽量选择低噪声的设备，并进行基础减震，在生产运转时必须定期对其进行检查，保证设备正常运转；加强管理，运输车辆在厂区内减速行驶，禁止鸣笛。                                                                                                                                                                                                                                                                                                                                                                                                                                              </w:t>
      </w:r>
    </w:p>
    <w:p w14:paraId="3756C536">
      <w:pPr>
        <w:keepNext w:val="0"/>
        <w:keepLines w:val="0"/>
        <w:pageBreakBefore w:val="0"/>
        <w:widowControl w:val="0"/>
        <w:kinsoku/>
        <w:wordWrap/>
        <w:overflowPunct/>
        <w:topLinePunct w:val="0"/>
        <w:autoSpaceDE/>
        <w:autoSpaceDN/>
        <w:bidi w:val="0"/>
        <w:adjustRightInd/>
        <w:snapToGrid/>
        <w:spacing w:line="6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落实固体废物污染防治措施。 废矿物油、废矿物油桶、废棉纱手套暂存于危废贮存库，定期交由有资质单位回收处置；养护过程废料统一收集外售，作为道路基层垫料、制砖原料等；除尘灰收集后统一返回生产工序回用；沉淀池沉渣收集后统一返回生产工序回用；生活垃圾送当地环卫部门指定地点处置。</w:t>
      </w:r>
    </w:p>
    <w:p w14:paraId="12001648">
      <w:pPr>
        <w:keepNext w:val="0"/>
        <w:keepLines w:val="0"/>
        <w:pageBreakBefore w:val="0"/>
        <w:widowControl w:val="0"/>
        <w:kinsoku/>
        <w:wordWrap/>
        <w:overflowPunct/>
        <w:topLinePunct w:val="0"/>
        <w:autoSpaceDE/>
        <w:autoSpaceDN/>
        <w:bidi w:val="0"/>
        <w:adjustRightInd/>
        <w:snapToGrid/>
        <w:spacing w:line="6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建立完善有效的环境风险防范与应急管理体系。严格落实《突发环境事件应急预案管理暂行办法》，落实各项环境风险防范措施，严防各类环境风险和次生环境污染问题发生。</w:t>
      </w:r>
    </w:p>
    <w:p w14:paraId="389AC635">
      <w:pPr>
        <w:keepNext w:val="0"/>
        <w:keepLines w:val="0"/>
        <w:pageBreakBefore w:val="0"/>
        <w:widowControl w:val="0"/>
        <w:kinsoku/>
        <w:wordWrap/>
        <w:overflowPunct/>
        <w:topLinePunct w:val="0"/>
        <w:autoSpaceDE/>
        <w:autoSpaceDN/>
        <w:bidi w:val="0"/>
        <w:adjustRightInd/>
        <w:snapToGrid/>
        <w:spacing w:line="6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lang w:val="en-US" w:eastAsia="zh-CN"/>
        </w:rPr>
        <w:t>《报告表》要求的其他环保措施。</w:t>
      </w:r>
    </w:p>
    <w:p w14:paraId="2F61B023">
      <w:pPr>
        <w:keepNext w:val="0"/>
        <w:keepLines w:val="0"/>
        <w:pageBreakBefore w:val="0"/>
        <w:widowControl w:val="0"/>
        <w:kinsoku/>
        <w:wordWrap/>
        <w:overflowPunct/>
        <w:topLinePunct w:val="0"/>
        <w:autoSpaceDE/>
        <w:autoSpaceDN/>
        <w:bidi w:val="0"/>
        <w:adjustRightInd/>
        <w:snapToGrid/>
        <w:spacing w:line="6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四、项目建设完成后，要严格按照建设项目竣工环境保护验收的规定和要求，做好相关工作。</w:t>
      </w:r>
    </w:p>
    <w:p w14:paraId="5D0F1342">
      <w:pPr>
        <w:keepNext w:val="0"/>
        <w:keepLines w:val="0"/>
        <w:pageBreakBefore w:val="0"/>
        <w:widowControl w:val="0"/>
        <w:kinsoku/>
        <w:wordWrap/>
        <w:overflowPunct/>
        <w:topLinePunct w:val="0"/>
        <w:autoSpaceDE/>
        <w:autoSpaceDN/>
        <w:bidi w:val="0"/>
        <w:adjustRightInd/>
        <w:snapToGrid/>
        <w:spacing w:line="6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五、临汾市生态环境局翼城分局负责本项目的现场监管、监督检查，确保各项环保措施按《报告表》和批复要求落实到位</w:t>
      </w:r>
      <w:r>
        <w:rPr>
          <w:rFonts w:hint="eastAsia" w:ascii="仿宋_GB2312" w:hAnsi="仿宋_GB2312" w:eastAsia="仿宋_GB2312" w:cs="仿宋_GB2312"/>
          <w:sz w:val="32"/>
          <w:szCs w:val="32"/>
        </w:rPr>
        <w:t>。</w:t>
      </w:r>
    </w:p>
    <w:p w14:paraId="58F982C7">
      <w:pPr>
        <w:keepNext w:val="0"/>
        <w:keepLines w:val="0"/>
        <w:pageBreakBefore w:val="0"/>
        <w:widowControl w:val="0"/>
        <w:kinsoku/>
        <w:wordWrap/>
        <w:overflowPunct/>
        <w:topLinePunct w:val="0"/>
        <w:autoSpaceDE/>
        <w:autoSpaceDN/>
        <w:bidi w:val="0"/>
        <w:adjustRightInd/>
        <w:snapToGrid/>
        <w:spacing w:line="660" w:lineRule="exact"/>
        <w:ind w:left="0" w:firstLine="640" w:firstLineChars="200"/>
        <w:jc w:val="both"/>
        <w:textAlignment w:val="auto"/>
        <w:rPr>
          <w:rFonts w:hint="eastAsia" w:ascii="仿宋_GB2312" w:hAnsi="仿宋_GB2312" w:eastAsia="仿宋_GB2312" w:cs="仿宋_GB2312"/>
          <w:sz w:val="32"/>
          <w:szCs w:val="32"/>
        </w:rPr>
      </w:pPr>
    </w:p>
    <w:p w14:paraId="32D5E922">
      <w:pPr>
        <w:keepNext w:val="0"/>
        <w:keepLines w:val="0"/>
        <w:pageBreakBefore w:val="0"/>
        <w:widowControl w:val="0"/>
        <w:kinsoku/>
        <w:wordWrap/>
        <w:overflowPunct/>
        <w:topLinePunct w:val="0"/>
        <w:autoSpaceDE/>
        <w:autoSpaceDN/>
        <w:bidi w:val="0"/>
        <w:adjustRightInd/>
        <w:snapToGrid/>
        <w:spacing w:line="660" w:lineRule="exact"/>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翼城县行政审批服务管理局</w:t>
      </w:r>
    </w:p>
    <w:p w14:paraId="6EB56F7A">
      <w:pPr>
        <w:pStyle w:val="5"/>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rPr>
        <w:t>年</w:t>
      </w:r>
      <w:r>
        <w:rPr>
          <w:rFonts w:hint="default" w:ascii="Times New Roman" w:hAnsi="Times New Roman" w:eastAsia="仿宋_GB2312" w:cs="Times New Roman"/>
          <w:sz w:val="32"/>
          <w:szCs w:val="32"/>
          <w:lang w:val="en-US" w:eastAsia="zh-CN"/>
        </w:rPr>
        <w:t>12</w:t>
      </w:r>
      <w:r>
        <w:rPr>
          <w:rFonts w:hint="eastAsia" w:ascii="仿宋_GB2312" w:hAnsi="仿宋_GB2312" w:eastAsia="仿宋_GB2312" w:cs="仿宋_GB2312"/>
          <w:sz w:val="32"/>
          <w:szCs w:val="32"/>
        </w:rPr>
        <w:t>月</w:t>
      </w:r>
      <w:r>
        <w:rPr>
          <w:rFonts w:hint="default" w:ascii="Times New Roman" w:hAnsi="Times New Roman" w:eastAsia="仿宋_GB2312" w:cs="Times New Roman"/>
          <w:sz w:val="32"/>
          <w:szCs w:val="32"/>
          <w:lang w:val="en-US" w:eastAsia="zh-CN"/>
        </w:rPr>
        <w:t>12</w:t>
      </w:r>
      <w:r>
        <w:rPr>
          <w:rFonts w:hint="eastAsia" w:ascii="仿宋_GB2312" w:hAnsi="仿宋_GB2312" w:eastAsia="仿宋_GB2312" w:cs="仿宋_GB2312"/>
          <w:sz w:val="32"/>
          <w:szCs w:val="32"/>
        </w:rPr>
        <w:t>日</w:t>
      </w:r>
    </w:p>
    <w:p w14:paraId="60814797">
      <w:pPr>
        <w:pStyle w:val="6"/>
        <w:ind w:left="0" w:leftChars="0" w:firstLine="0" w:firstLineChars="0"/>
        <w:rPr>
          <w:rFonts w:hint="eastAsia" w:ascii="仿宋" w:hAnsi="仿宋" w:eastAsia="仿宋" w:cs="仿宋"/>
          <w:sz w:val="32"/>
          <w:szCs w:val="32"/>
        </w:rPr>
      </w:pPr>
    </w:p>
    <w:p w14:paraId="7F6F0FD7">
      <w:pPr>
        <w:pStyle w:val="6"/>
        <w:ind w:left="0" w:leftChars="0" w:firstLine="0" w:firstLineChars="0"/>
        <w:rPr>
          <w:rFonts w:hint="eastAsia" w:ascii="仿宋" w:hAnsi="仿宋" w:eastAsia="仿宋" w:cs="仿宋"/>
          <w:sz w:val="32"/>
          <w:szCs w:val="32"/>
        </w:rPr>
      </w:pPr>
    </w:p>
    <w:p w14:paraId="5C8C5FBF">
      <w:pPr>
        <w:pStyle w:val="6"/>
        <w:ind w:left="0" w:leftChars="0" w:firstLine="0" w:firstLineChars="0"/>
        <w:rPr>
          <w:rFonts w:hint="eastAsia" w:ascii="仿宋" w:hAnsi="仿宋" w:eastAsia="仿宋" w:cs="仿宋"/>
          <w:sz w:val="32"/>
          <w:szCs w:val="32"/>
        </w:rPr>
      </w:pPr>
    </w:p>
    <w:p w14:paraId="33EC3820">
      <w:pPr>
        <w:pStyle w:val="6"/>
        <w:ind w:left="0" w:leftChars="0" w:firstLine="0" w:firstLineChars="0"/>
        <w:rPr>
          <w:rFonts w:hint="eastAsia" w:ascii="仿宋" w:hAnsi="仿宋" w:eastAsia="仿宋" w:cs="仿宋"/>
          <w:sz w:val="32"/>
          <w:szCs w:val="32"/>
        </w:rPr>
      </w:pPr>
    </w:p>
    <w:p w14:paraId="5E2C2EB0">
      <w:pPr>
        <w:pStyle w:val="6"/>
        <w:ind w:left="0" w:leftChars="0" w:firstLine="0" w:firstLineChars="0"/>
        <w:rPr>
          <w:rFonts w:hint="eastAsia" w:ascii="仿宋" w:hAnsi="仿宋" w:eastAsia="仿宋" w:cs="仿宋"/>
          <w:sz w:val="32"/>
          <w:szCs w:val="32"/>
        </w:rPr>
      </w:pPr>
    </w:p>
    <w:p w14:paraId="65771E47">
      <w:pPr>
        <w:pStyle w:val="6"/>
        <w:ind w:left="0" w:leftChars="0" w:firstLine="0" w:firstLineChars="0"/>
        <w:rPr>
          <w:rFonts w:hint="eastAsia" w:ascii="仿宋" w:hAnsi="仿宋" w:eastAsia="仿宋" w:cs="仿宋"/>
          <w:sz w:val="32"/>
          <w:szCs w:val="32"/>
        </w:rPr>
      </w:pPr>
    </w:p>
    <w:p w14:paraId="4405CC44">
      <w:pPr>
        <w:pStyle w:val="6"/>
        <w:ind w:left="0" w:leftChars="0" w:firstLine="0" w:firstLineChars="0"/>
        <w:rPr>
          <w:rFonts w:hint="eastAsia" w:ascii="仿宋" w:hAnsi="仿宋" w:eastAsia="仿宋" w:cs="仿宋"/>
          <w:sz w:val="32"/>
          <w:szCs w:val="32"/>
        </w:rPr>
      </w:pPr>
    </w:p>
    <w:p w14:paraId="01E900FD">
      <w:pPr>
        <w:pStyle w:val="6"/>
        <w:ind w:left="0" w:leftChars="0" w:firstLine="0" w:firstLineChars="0"/>
        <w:rPr>
          <w:rFonts w:hint="eastAsia" w:ascii="仿宋" w:hAnsi="仿宋" w:eastAsia="仿宋" w:cs="仿宋"/>
          <w:sz w:val="32"/>
          <w:szCs w:val="32"/>
        </w:rPr>
      </w:pPr>
    </w:p>
    <w:p w14:paraId="208C6F24">
      <w:pPr>
        <w:pStyle w:val="6"/>
        <w:ind w:left="0" w:leftChars="0" w:firstLine="0" w:firstLineChars="0"/>
        <w:rPr>
          <w:rFonts w:hint="eastAsia" w:ascii="仿宋" w:hAnsi="仿宋" w:eastAsia="仿宋" w:cs="仿宋"/>
          <w:sz w:val="32"/>
          <w:szCs w:val="32"/>
        </w:rPr>
      </w:pPr>
    </w:p>
    <w:p w14:paraId="2BF105A1">
      <w:pPr>
        <w:pStyle w:val="6"/>
        <w:ind w:left="0" w:leftChars="0" w:firstLine="0" w:firstLineChars="0"/>
        <w:rPr>
          <w:rFonts w:hint="eastAsia" w:ascii="仿宋" w:hAnsi="仿宋" w:eastAsia="仿宋" w:cs="仿宋"/>
          <w:sz w:val="32"/>
          <w:szCs w:val="32"/>
        </w:rPr>
      </w:pPr>
    </w:p>
    <w:p w14:paraId="36FDB8CF">
      <w:pPr>
        <w:pStyle w:val="6"/>
        <w:ind w:left="0" w:leftChars="0" w:firstLine="0" w:firstLineChars="0"/>
        <w:rPr>
          <w:rFonts w:hint="eastAsia" w:ascii="仿宋" w:hAnsi="仿宋" w:eastAsia="仿宋" w:cs="仿宋"/>
          <w:sz w:val="32"/>
          <w:szCs w:val="32"/>
        </w:rPr>
      </w:pPr>
    </w:p>
    <w:p w14:paraId="6824459F">
      <w:pPr>
        <w:pStyle w:val="6"/>
        <w:ind w:left="0" w:leftChars="0" w:firstLine="0" w:firstLineChars="0"/>
        <w:rPr>
          <w:rFonts w:hint="eastAsia" w:ascii="仿宋" w:hAnsi="仿宋" w:eastAsia="仿宋" w:cs="仿宋"/>
          <w:sz w:val="32"/>
          <w:szCs w:val="32"/>
        </w:rPr>
      </w:pPr>
    </w:p>
    <w:p w14:paraId="70057EC4">
      <w:pPr>
        <w:pStyle w:val="6"/>
        <w:rPr>
          <w:rFonts w:hint="eastAsia" w:ascii="仿宋" w:hAnsi="仿宋" w:eastAsia="仿宋" w:cs="仿宋"/>
          <w:sz w:val="32"/>
          <w:szCs w:val="32"/>
        </w:rPr>
      </w:pPr>
    </w:p>
    <w:tbl>
      <w:tblPr>
        <w:tblStyle w:val="14"/>
        <w:tblpPr w:leftFromText="181" w:rightFromText="181" w:horzAnchor="page" w:tblpXSpec="center" w:tblpYSpec="bottom"/>
        <w:tblOverlap w:val="never"/>
        <w:tblW w:w="8880"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880"/>
      </w:tblGrid>
      <w:tr w14:paraId="546BABB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75" w:hRule="atLeast"/>
          <w:jc w:val="center"/>
        </w:trPr>
        <w:tc>
          <w:tcPr>
            <w:tcW w:w="8880" w:type="dxa"/>
            <w:tcBorders>
              <w:tl2br w:val="nil"/>
              <w:tr2bl w:val="nil"/>
            </w:tcBorders>
            <w:vAlign w:val="top"/>
          </w:tcPr>
          <w:p w14:paraId="132155A1">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u w:val="none"/>
                <w:vertAlign w:val="baseline"/>
                <w:lang w:eastAsia="zh-CN"/>
              </w:rPr>
            </w:pPr>
            <w:r>
              <w:rPr>
                <w:rFonts w:hint="eastAsia" w:ascii="仿宋" w:hAnsi="仿宋" w:eastAsia="仿宋" w:cs="仿宋"/>
                <w:color w:val="auto"/>
                <w:sz w:val="32"/>
                <w:szCs w:val="32"/>
                <w:u w:val="none"/>
              </w:rPr>
              <w:t xml:space="preserve">翼城县行政审批服务管理局     </w:t>
            </w:r>
            <w:r>
              <w:rPr>
                <w:rFonts w:hint="eastAsia" w:ascii="仿宋" w:hAnsi="仿宋" w:eastAsia="仿宋" w:cs="仿宋"/>
                <w:color w:val="auto"/>
                <w:sz w:val="32"/>
                <w:szCs w:val="32"/>
                <w:u w:val="none"/>
                <w:lang w:val="en-US" w:eastAsia="zh-CN"/>
              </w:rPr>
              <w:t xml:space="preserve">     </w:t>
            </w:r>
            <w:r>
              <w:rPr>
                <w:rFonts w:hint="default" w:ascii="Times New Roman" w:hAnsi="Times New Roman" w:eastAsia="仿宋" w:cs="Times New Roman"/>
                <w:color w:val="auto"/>
                <w:sz w:val="32"/>
                <w:szCs w:val="32"/>
                <w:u w:val="none"/>
                <w:lang w:val="en-US" w:eastAsia="zh-CN"/>
              </w:rPr>
              <w:t>2025</w:t>
            </w:r>
            <w:r>
              <w:rPr>
                <w:rFonts w:hint="eastAsia" w:ascii="仿宋" w:hAnsi="仿宋" w:eastAsia="仿宋" w:cs="仿宋"/>
                <w:color w:val="auto"/>
                <w:sz w:val="32"/>
                <w:szCs w:val="32"/>
                <w:u w:val="none"/>
              </w:rPr>
              <w:t>年</w:t>
            </w:r>
            <w:r>
              <w:rPr>
                <w:rFonts w:hint="default" w:ascii="Times New Roman" w:hAnsi="Times New Roman" w:eastAsia="仿宋" w:cs="Times New Roman"/>
                <w:color w:val="auto"/>
                <w:sz w:val="32"/>
                <w:szCs w:val="32"/>
                <w:u w:val="none"/>
                <w:lang w:val="en-US" w:eastAsia="zh-CN"/>
              </w:rPr>
              <w:t>12</w:t>
            </w:r>
            <w:r>
              <w:rPr>
                <w:rFonts w:hint="eastAsia" w:ascii="仿宋" w:hAnsi="仿宋" w:eastAsia="仿宋" w:cs="仿宋"/>
                <w:color w:val="auto"/>
                <w:sz w:val="32"/>
                <w:szCs w:val="32"/>
                <w:u w:val="none"/>
                <w:lang w:eastAsia="zh-CN"/>
              </w:rPr>
              <w:t>月</w:t>
            </w:r>
            <w:r>
              <w:rPr>
                <w:rFonts w:hint="default" w:ascii="Times New Roman" w:hAnsi="Times New Roman" w:eastAsia="仿宋" w:cs="Times New Roman"/>
                <w:color w:val="auto"/>
                <w:sz w:val="32"/>
                <w:szCs w:val="32"/>
                <w:u w:val="none"/>
                <w:lang w:val="en-US" w:eastAsia="zh-CN"/>
              </w:rPr>
              <w:t>12</w:t>
            </w:r>
            <w:r>
              <w:rPr>
                <w:rFonts w:hint="eastAsia" w:ascii="仿宋" w:hAnsi="仿宋" w:eastAsia="仿宋" w:cs="仿宋"/>
                <w:color w:val="auto"/>
                <w:sz w:val="32"/>
                <w:szCs w:val="32"/>
                <w:u w:val="none"/>
              </w:rPr>
              <w:t>日印</w:t>
            </w:r>
            <w:r>
              <w:rPr>
                <w:rFonts w:hint="eastAsia" w:ascii="仿宋" w:hAnsi="仿宋" w:eastAsia="仿宋" w:cs="仿宋"/>
                <w:color w:val="auto"/>
                <w:sz w:val="32"/>
                <w:szCs w:val="32"/>
                <w:u w:val="none"/>
                <w:lang w:val="en-US" w:eastAsia="zh-CN"/>
              </w:rPr>
              <w:t>发</w:t>
            </w:r>
            <w:r>
              <w:rPr>
                <w:rFonts w:hint="eastAsia" w:ascii="仿宋" w:hAnsi="仿宋" w:eastAsia="仿宋" w:cs="仿宋"/>
                <w:color w:val="auto"/>
                <w:sz w:val="32"/>
                <w:szCs w:val="32"/>
                <w:u w:val="none"/>
              </w:rPr>
              <w:t xml:space="preserve"> </w:t>
            </w:r>
          </w:p>
        </w:tc>
      </w:tr>
      <w:tr w14:paraId="24E7F7C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75" w:hRule="atLeast"/>
          <w:jc w:val="center"/>
        </w:trPr>
        <w:tc>
          <w:tcPr>
            <w:tcW w:w="8880" w:type="dxa"/>
            <w:tcBorders>
              <w:bottom w:val="nil"/>
            </w:tcBorders>
            <w:vAlign w:val="top"/>
          </w:tcPr>
          <w:p w14:paraId="23ED184D">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（共印</w:t>
            </w:r>
            <w:r>
              <w:rPr>
                <w:rFonts w:hint="default" w:ascii="Times New Roman" w:hAnsi="Times New Roman" w:eastAsia="仿宋" w:cs="Times New Roman"/>
                <w:color w:val="auto"/>
                <w:sz w:val="32"/>
                <w:szCs w:val="32"/>
                <w:lang w:val="en-US" w:eastAsia="zh-CN"/>
              </w:rPr>
              <w:t>5</w:t>
            </w:r>
            <w:r>
              <w:rPr>
                <w:rFonts w:hint="eastAsia" w:ascii="仿宋" w:hAnsi="仿宋" w:eastAsia="仿宋" w:cs="仿宋"/>
                <w:color w:val="auto"/>
                <w:sz w:val="32"/>
                <w:szCs w:val="32"/>
              </w:rPr>
              <w:t>份</w:t>
            </w:r>
            <w:r>
              <w:rPr>
                <w:rFonts w:hint="eastAsia" w:ascii="仿宋" w:hAnsi="仿宋" w:eastAsia="仿宋" w:cs="仿宋"/>
                <w:color w:val="auto"/>
                <w:sz w:val="32"/>
                <w:szCs w:val="32"/>
                <w:lang w:eastAsia="zh-CN"/>
              </w:rPr>
              <w:t>）</w:t>
            </w:r>
          </w:p>
        </w:tc>
      </w:tr>
    </w:tbl>
    <w:p w14:paraId="5E0834FC">
      <w:pPr>
        <w:rPr>
          <w:rFonts w:hint="eastAsia" w:ascii="仿宋" w:hAnsi="仿宋" w:eastAsia="仿宋" w:cs="仿宋"/>
          <w:sz w:val="32"/>
          <w:szCs w:val="32"/>
          <w:lang w:eastAsia="zh-CN"/>
        </w:rPr>
      </w:pPr>
    </w:p>
    <w:sectPr>
      <w:footerReference r:id="rId3" w:type="default"/>
      <w:pgSz w:w="11910" w:h="16850"/>
      <w:pgMar w:top="1440" w:right="1800" w:bottom="1440" w:left="1800" w:header="0" w:footer="850" w:gutter="0"/>
      <w:pgBorders>
        <w:top w:val="none" w:sz="0" w:space="0"/>
        <w:left w:val="none" w:sz="0" w:space="0"/>
        <w:bottom w:val="none" w:sz="0" w:space="0"/>
        <w:right w:val="none" w:sz="0" w:space="0"/>
      </w:pgBorders>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1" w:fontKey="{951925F4-AF8C-43B0-AEC3-C82B4F11BB15}"/>
  </w:font>
  <w:font w:name="方正仿宋_GBK">
    <w:panose1 w:val="03000509000000000000"/>
    <w:charset w:val="86"/>
    <w:family w:val="auto"/>
    <w:pitch w:val="default"/>
    <w:sig w:usb0="00000001" w:usb1="080E0000" w:usb2="00000000" w:usb3="00000000" w:csb0="00040000" w:csb1="00000000"/>
    <w:embedRegular r:id="rId2" w:fontKey="{1AC3CF53-5986-41A0-A24E-6DCEB05EB54B}"/>
  </w:font>
  <w:font w:name="方正小标宋_GBK">
    <w:panose1 w:val="03000509000000000000"/>
    <w:charset w:val="86"/>
    <w:family w:val="auto"/>
    <w:pitch w:val="default"/>
    <w:sig w:usb0="00000001" w:usb1="080E0000" w:usb2="00000000" w:usb3="00000000" w:csb0="00040000" w:csb1="00000000"/>
    <w:embedRegular r:id="rId3" w:fontKey="{70ED69DC-4F68-46C8-BAB9-072587238328}"/>
  </w:font>
  <w:font w:name="仿宋_GB2312">
    <w:panose1 w:val="02010609030101010101"/>
    <w:charset w:val="86"/>
    <w:family w:val="auto"/>
    <w:pitch w:val="default"/>
    <w:sig w:usb0="00000001" w:usb1="080E0000" w:usb2="00000000" w:usb3="00000000" w:csb0="00040000" w:csb1="00000000"/>
    <w:embedRegular r:id="rId4" w:fontKey="{29F627EC-C866-478C-8AA1-104C5A946187}"/>
  </w:font>
  <w:font w:name="WPSEMBED8">
    <w:panose1 w:val="03000509000000000000"/>
    <w:charset w:val="86"/>
    <w:family w:val="auto"/>
    <w:pitch w:val="default"/>
    <w:sig w:usb0="00000001" w:usb1="080E0000" w:usb2="00000000" w:usb3="00000000" w:csb0="00040000" w:csb1="00000000"/>
  </w:font>
  <w:font w:name="WPSEMBED7">
    <w:panose1 w:val="03000509000000000000"/>
    <w:charset w:val="86"/>
    <w:family w:val="auto"/>
    <w:pitch w:val="default"/>
    <w:sig w:usb0="00000001" w:usb1="080E0000" w:usb2="00000000" w:usb3="00000000" w:csb0="00040000" w:csb1="00000000"/>
  </w:font>
  <w:font w:name="WPSEMBED9">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61D84">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32AFD">
                          <w:pPr>
                            <w:pStyle w:val="8"/>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7E32AFD">
                    <w:pPr>
                      <w:pStyle w:val="8"/>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E8B335"/>
    <w:multiLevelType w:val="multilevel"/>
    <w:tmpl w:val="AAE8B33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hAnsi="黑体" w:eastAsia="黑体"/>
        <w:b w:val="0"/>
        <w:i w:val="0"/>
        <w:sz w:val="21"/>
      </w:rPr>
    </w:lvl>
    <w:lvl w:ilvl="2" w:tentative="0">
      <w:start w:val="1"/>
      <w:numFmt w:val="decimal"/>
      <w:suff w:val="nothing"/>
      <w:lvlText w:val="%1%2.%3　"/>
      <w:lvlJc w:val="left"/>
      <w:pPr>
        <w:ind w:left="284" w:firstLine="0"/>
      </w:pPr>
      <w:rPr>
        <w:rFonts w:hint="eastAsia"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23"/>
      <w:suff w:val="nothing"/>
      <w:lvlText w:val="%1%2.%3.%4　"/>
      <w:lvlJc w:val="left"/>
      <w:pPr>
        <w:ind w:left="0" w:firstLine="0"/>
      </w:pPr>
      <w:rPr>
        <w:rFonts w:hint="eastAsia" w:ascii="黑体" w:hAnsi="黑体" w:eastAsia="黑体"/>
        <w:b w:val="0"/>
        <w:i w:val="0"/>
        <w:sz w:val="21"/>
      </w:rPr>
    </w:lvl>
    <w:lvl w:ilvl="4" w:tentative="0">
      <w:start w:val="1"/>
      <w:numFmt w:val="decimal"/>
      <w:suff w:val="nothing"/>
      <w:lvlText w:val="%1%2.%3.%4.%5　"/>
      <w:lvlJc w:val="left"/>
      <w:pPr>
        <w:ind w:left="284" w:firstLine="0"/>
      </w:pPr>
      <w:rPr>
        <w:rFonts w:hint="eastAsia" w:ascii="黑体" w:hAnsi="黑体" w:eastAsia="黑体"/>
        <w:b w:val="0"/>
        <w:i w:val="0"/>
        <w:sz w:val="21"/>
      </w:rPr>
    </w:lvl>
    <w:lvl w:ilvl="5" w:tentative="0">
      <w:start w:val="1"/>
      <w:numFmt w:val="decimal"/>
      <w:suff w:val="nothing"/>
      <w:lvlText w:val="%1%2.%3.%4.%5.%6　"/>
      <w:lvlJc w:val="left"/>
      <w:pPr>
        <w:ind w:left="0" w:firstLine="0"/>
      </w:pPr>
      <w:rPr>
        <w:rFonts w:hint="eastAsia" w:ascii="黑体" w:hAnsi="黑体" w:eastAsia="黑体"/>
        <w:b w:val="0"/>
        <w:i w:val="0"/>
        <w:sz w:val="21"/>
      </w:rPr>
    </w:lvl>
    <w:lvl w:ilvl="6" w:tentative="0">
      <w:start w:val="1"/>
      <w:numFmt w:val="decimal"/>
      <w:suff w:val="nothing"/>
      <w:lvlText w:val="%1%2.%3.%4.%5.%6.%7　"/>
      <w:lvlJc w:val="left"/>
      <w:pPr>
        <w:ind w:left="0" w:firstLine="0"/>
      </w:pPr>
      <w:rPr>
        <w:rFonts w:hint="eastAsia" w:ascii="黑体" w:hAnsi="黑体" w:eastAsia="黑体"/>
        <w:b w:val="0"/>
        <w:i w:val="0"/>
        <w:sz w:val="21"/>
      </w:rPr>
    </w:lvl>
    <w:lvl w:ilvl="7" w:tentative="0">
      <w:start w:val="1"/>
      <w:numFmt w:val="decimal"/>
      <w:lvlText w:val="%1.%2.%3.%4.%5.%6.%7.%8"/>
      <w:lvlJc w:val="left"/>
      <w:pPr>
        <w:ind w:left="3969" w:hanging="1418"/>
      </w:pPr>
      <w:rPr>
        <w:rFonts w:hint="eastAsia"/>
      </w:rPr>
    </w:lvl>
    <w:lvl w:ilvl="8" w:tentative="0">
      <w:start w:val="1"/>
      <w:numFmt w:val="decimal"/>
      <w:lvlText w:val="%1.%2.%3.%4.%5.%6.%7.%8.%9"/>
      <w:lvlJc w:val="left"/>
      <w:pPr>
        <w:ind w:left="4677" w:hanging="1700"/>
      </w:pPr>
      <w:rPr>
        <w:rFonts w:hint="eastAsia"/>
      </w:rPr>
    </w:lvl>
  </w:abstractNum>
  <w:abstractNum w:abstractNumId="1">
    <w:nsid w:val="300505EB"/>
    <w:multiLevelType w:val="multilevel"/>
    <w:tmpl w:val="300505EB"/>
    <w:lvl w:ilvl="0" w:tentative="0">
      <w:start w:val="1"/>
      <w:numFmt w:val="decimal"/>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20"/>
      <w:suff w:val="nothing"/>
      <w:lvlText w:val="%1%2　"/>
      <w:lvlJc w:val="left"/>
      <w:pPr>
        <w:ind w:left="0" w:firstLine="0"/>
      </w:pPr>
      <w:rPr>
        <w:rFonts w:hint="eastAsia" w:ascii="黑体" w:eastAsia="黑体"/>
        <w:b w:val="0"/>
        <w:i w:val="0"/>
        <w:sz w:val="21"/>
      </w:rPr>
    </w:lvl>
    <w:lvl w:ilvl="2" w:tentative="0">
      <w:start w:val="1"/>
      <w:numFmt w:val="decimal"/>
      <w:pStyle w:val="21"/>
      <w:suff w:val="nothing"/>
      <w:lvlText w:val="%1%2.%3　"/>
      <w:lvlJc w:val="left"/>
      <w:pPr>
        <w:ind w:left="284"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284"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kY2M2ODRhYmIyNzVhOTUxZDk5ZWE2NTQzOGY3ZjYifQ=="/>
  </w:docVars>
  <w:rsids>
    <w:rsidRoot w:val="197F217C"/>
    <w:rsid w:val="00B93F2F"/>
    <w:rsid w:val="00DE0C5C"/>
    <w:rsid w:val="02921C49"/>
    <w:rsid w:val="03613E1C"/>
    <w:rsid w:val="037E2547"/>
    <w:rsid w:val="055E1CB0"/>
    <w:rsid w:val="05F04400"/>
    <w:rsid w:val="06452CD8"/>
    <w:rsid w:val="078758E5"/>
    <w:rsid w:val="084408DC"/>
    <w:rsid w:val="0B35628F"/>
    <w:rsid w:val="0BF808E6"/>
    <w:rsid w:val="11B50E57"/>
    <w:rsid w:val="12F5438F"/>
    <w:rsid w:val="13A34700"/>
    <w:rsid w:val="153D6320"/>
    <w:rsid w:val="16651332"/>
    <w:rsid w:val="17F673BF"/>
    <w:rsid w:val="1889473F"/>
    <w:rsid w:val="197F217C"/>
    <w:rsid w:val="19EF234A"/>
    <w:rsid w:val="1A6D7AEC"/>
    <w:rsid w:val="1AA37AEA"/>
    <w:rsid w:val="1FF601DE"/>
    <w:rsid w:val="20553A63"/>
    <w:rsid w:val="22A305CD"/>
    <w:rsid w:val="24DF6791"/>
    <w:rsid w:val="273610E5"/>
    <w:rsid w:val="2755491D"/>
    <w:rsid w:val="29127F33"/>
    <w:rsid w:val="2A1865C3"/>
    <w:rsid w:val="2C153E60"/>
    <w:rsid w:val="2C740E03"/>
    <w:rsid w:val="2E6D4F04"/>
    <w:rsid w:val="2E794440"/>
    <w:rsid w:val="300D25F8"/>
    <w:rsid w:val="31582AE3"/>
    <w:rsid w:val="32305768"/>
    <w:rsid w:val="33AA6EA7"/>
    <w:rsid w:val="3521599A"/>
    <w:rsid w:val="354D25F5"/>
    <w:rsid w:val="35C054BC"/>
    <w:rsid w:val="36BD65E5"/>
    <w:rsid w:val="37647048"/>
    <w:rsid w:val="37FC15EC"/>
    <w:rsid w:val="38ED5B64"/>
    <w:rsid w:val="39FB2218"/>
    <w:rsid w:val="3B1A2EA9"/>
    <w:rsid w:val="3B221DD1"/>
    <w:rsid w:val="3B6F4922"/>
    <w:rsid w:val="3D5642D8"/>
    <w:rsid w:val="3DCB557B"/>
    <w:rsid w:val="3FC65372"/>
    <w:rsid w:val="3FD370BE"/>
    <w:rsid w:val="443D5C42"/>
    <w:rsid w:val="44797D33"/>
    <w:rsid w:val="44EB0FF5"/>
    <w:rsid w:val="45817C6D"/>
    <w:rsid w:val="477405D9"/>
    <w:rsid w:val="484D5598"/>
    <w:rsid w:val="4E9A453D"/>
    <w:rsid w:val="4EE67291"/>
    <w:rsid w:val="501920B7"/>
    <w:rsid w:val="506E58F8"/>
    <w:rsid w:val="50966A6E"/>
    <w:rsid w:val="50AF606C"/>
    <w:rsid w:val="515E4487"/>
    <w:rsid w:val="51BD44CE"/>
    <w:rsid w:val="53743AF0"/>
    <w:rsid w:val="53B923ED"/>
    <w:rsid w:val="53BF1359"/>
    <w:rsid w:val="553E2A28"/>
    <w:rsid w:val="57D468AC"/>
    <w:rsid w:val="589B50CA"/>
    <w:rsid w:val="58E874FC"/>
    <w:rsid w:val="596D24C3"/>
    <w:rsid w:val="5AAB75B9"/>
    <w:rsid w:val="5B9B596C"/>
    <w:rsid w:val="5C7F7B03"/>
    <w:rsid w:val="5D8D288B"/>
    <w:rsid w:val="5DF72981"/>
    <w:rsid w:val="622A5351"/>
    <w:rsid w:val="64984A74"/>
    <w:rsid w:val="66142F6C"/>
    <w:rsid w:val="68585541"/>
    <w:rsid w:val="68C40628"/>
    <w:rsid w:val="68E86E05"/>
    <w:rsid w:val="6A844BC4"/>
    <w:rsid w:val="6C057672"/>
    <w:rsid w:val="6E6D3339"/>
    <w:rsid w:val="6F0F497A"/>
    <w:rsid w:val="6F8C6076"/>
    <w:rsid w:val="6FCF7E32"/>
    <w:rsid w:val="717673E5"/>
    <w:rsid w:val="71DF75C0"/>
    <w:rsid w:val="721645EA"/>
    <w:rsid w:val="72364023"/>
    <w:rsid w:val="739E43C2"/>
    <w:rsid w:val="73AC26EE"/>
    <w:rsid w:val="7527352B"/>
    <w:rsid w:val="77F106F8"/>
    <w:rsid w:val="785310BB"/>
    <w:rsid w:val="79D567B8"/>
    <w:rsid w:val="7B1C0C73"/>
    <w:rsid w:val="7B6F2F4D"/>
    <w:rsid w:val="7BBA3492"/>
    <w:rsid w:val="7D2034B1"/>
    <w:rsid w:val="7E4C6ABF"/>
    <w:rsid w:val="7F765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widowControl w:val="0"/>
      <w:numPr>
        <w:ilvl w:val="1"/>
        <w:numId w:val="1"/>
      </w:numPr>
      <w:spacing w:before="240" w:after="120"/>
      <w:ind w:left="0" w:firstLine="602"/>
      <w:outlineLvl w:val="1"/>
    </w:pPr>
    <w:rPr>
      <w:rFonts w:ascii="宋体"/>
      <w:b/>
      <w:sz w:val="3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99"/>
    <w:pPr>
      <w:ind w:firstLine="420" w:firstLineChars="200"/>
    </w:pPr>
  </w:style>
  <w:style w:type="paragraph" w:styleId="5">
    <w:name w:val="Body Text"/>
    <w:basedOn w:val="1"/>
    <w:next w:val="6"/>
    <w:qFormat/>
    <w:uiPriority w:val="0"/>
    <w:pPr>
      <w:ind w:left="960" w:firstLine="479"/>
    </w:pPr>
    <w:rPr>
      <w:rFonts w:ascii="宋体" w:hAnsi="宋体" w:eastAsia="宋体" w:cs="宋体"/>
      <w:sz w:val="24"/>
    </w:rPr>
  </w:style>
  <w:style w:type="paragraph" w:customStyle="1" w:styleId="6">
    <w:name w:val="正文首行缩进1"/>
    <w:basedOn w:val="1"/>
    <w:qFormat/>
    <w:uiPriority w:val="99"/>
    <w:pPr>
      <w:spacing w:after="120"/>
      <w:ind w:firstLine="420" w:firstLineChars="100"/>
    </w:pPr>
  </w:style>
  <w:style w:type="paragraph" w:styleId="7">
    <w:name w:val="Body Text Indent"/>
    <w:basedOn w:val="1"/>
    <w:next w:val="1"/>
    <w:qFormat/>
    <w:uiPriority w:val="0"/>
    <w:pPr>
      <w:ind w:firstLine="600"/>
    </w:pPr>
    <w:rPr>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next w:val="1"/>
    <w:qFormat/>
    <w:uiPriority w:val="0"/>
    <w:pPr>
      <w:spacing w:before="240" w:after="60"/>
      <w:jc w:val="center"/>
      <w:outlineLvl w:val="0"/>
    </w:pPr>
    <w:rPr>
      <w:rFonts w:ascii="Arial" w:hAnsi="Arial"/>
      <w:b/>
      <w:sz w:val="44"/>
    </w:rPr>
  </w:style>
  <w:style w:type="paragraph" w:styleId="12">
    <w:name w:val="Body Text First Indent 2"/>
    <w:basedOn w:val="7"/>
    <w:next w:val="1"/>
    <w:qFormat/>
    <w:uiPriority w:val="0"/>
    <w:pPr>
      <w:tabs>
        <w:tab w:val="left" w:pos="180"/>
      </w:tabs>
      <w:ind w:firstLine="420" w:firstLineChars="200"/>
    </w:pPr>
    <w:rPr>
      <w:color w:val="00000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标准文件_段"/>
    <w:qFormat/>
    <w:uiPriority w:val="0"/>
    <w:pPr>
      <w:autoSpaceDE w:val="0"/>
      <w:autoSpaceDN w:val="0"/>
      <w:ind w:firstLine="200" w:firstLineChars="200"/>
      <w:jc w:val="both"/>
    </w:pPr>
    <w:rPr>
      <w:rFonts w:ascii="宋体" w:hAnsi="Times New Roman" w:eastAsia="宋体" w:cs="Times New Roman"/>
      <w:sz w:val="21"/>
      <w:szCs w:val="20"/>
      <w:lang w:val="en-US" w:eastAsia="zh-CN" w:bidi="ar-SA"/>
    </w:rPr>
  </w:style>
  <w:style w:type="character" w:customStyle="1" w:styleId="18">
    <w:name w:val="font31"/>
    <w:basedOn w:val="15"/>
    <w:qFormat/>
    <w:uiPriority w:val="0"/>
    <w:rPr>
      <w:rFonts w:hint="eastAsia" w:ascii="仿宋" w:hAnsi="仿宋" w:eastAsia="仿宋" w:cs="仿宋"/>
      <w:b/>
      <w:bCs/>
      <w:color w:val="000000"/>
      <w:sz w:val="22"/>
      <w:szCs w:val="22"/>
      <w:u w:val="none"/>
    </w:rPr>
  </w:style>
  <w:style w:type="character" w:customStyle="1" w:styleId="19">
    <w:name w:val="font61"/>
    <w:basedOn w:val="15"/>
    <w:qFormat/>
    <w:uiPriority w:val="0"/>
    <w:rPr>
      <w:rFonts w:hint="eastAsia" w:ascii="仿宋" w:hAnsi="仿宋" w:eastAsia="仿宋" w:cs="仿宋"/>
      <w:color w:val="000000"/>
      <w:sz w:val="22"/>
      <w:szCs w:val="22"/>
      <w:u w:val="none"/>
    </w:rPr>
  </w:style>
  <w:style w:type="paragraph" w:customStyle="1" w:styleId="20">
    <w:name w:val="标准文件_章标题"/>
    <w:next w:val="17"/>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21">
    <w:name w:val="标准文件_一级条标题"/>
    <w:basedOn w:val="20"/>
    <w:next w:val="17"/>
    <w:qFormat/>
    <w:uiPriority w:val="0"/>
    <w:pPr>
      <w:numPr>
        <w:ilvl w:val="2"/>
      </w:numPr>
      <w:spacing w:beforeLines="50" w:afterLines="50"/>
      <w:outlineLvl w:val="1"/>
    </w:pPr>
  </w:style>
  <w:style w:type="paragraph" w:customStyle="1" w:styleId="22">
    <w:name w:val="标准文件_二级无标题"/>
    <w:basedOn w:val="23"/>
    <w:qFormat/>
    <w:uiPriority w:val="0"/>
    <w:pPr>
      <w:spacing w:before="50" w:beforeLines="0" w:after="50" w:afterLines="0"/>
      <w:outlineLvl w:val="9"/>
    </w:pPr>
    <w:rPr>
      <w:rFonts w:ascii="宋体" w:eastAsia="宋体"/>
    </w:rPr>
  </w:style>
  <w:style w:type="paragraph" w:customStyle="1" w:styleId="23">
    <w:name w:val="标准文件_二级条标题"/>
    <w:next w:val="17"/>
    <w:qFormat/>
    <w:uiPriority w:val="0"/>
    <w:pPr>
      <w:widowControl w:val="0"/>
      <w:numPr>
        <w:ilvl w:val="3"/>
        <w:numId w:val="3"/>
      </w:numPr>
      <w:spacing w:before="50" w:beforeLines="50" w:after="50" w:afterLines="50"/>
      <w:jc w:val="both"/>
      <w:outlineLvl w:val="2"/>
    </w:pPr>
    <w:rPr>
      <w:rFonts w:ascii="黑体" w:hAnsi="Times New Roman" w:eastAsia="黑体" w:cs="Times New Roman"/>
      <w:sz w:val="21"/>
      <w:szCs w:val="20"/>
      <w:lang w:val="en-US" w:eastAsia="zh-CN" w:bidi="ar-SA"/>
    </w:rPr>
  </w:style>
  <w:style w:type="paragraph" w:customStyle="1" w:styleId="24">
    <w:name w:val="报告表表格文字"/>
    <w:qFormat/>
    <w:uiPriority w:val="0"/>
    <w:pPr>
      <w:widowControl/>
      <w:jc w:val="center"/>
    </w:pPr>
    <w:rPr>
      <w:rFonts w:ascii="Times New Roman" w:hAnsi="Times New Roman" w:eastAsia="宋体" w:cs="Times New Roman"/>
      <w:sz w:val="24"/>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2834bee0-6bb1-4887-80b9-d49a58d3b465</errorID>
      <errorWord>抛洒</errorWord>
      <group>L1_Word</group>
      <groupName>字词问题</groupName>
      <ability>L2_Typo</ability>
      <abilityName>字词错误</abilityName>
      <candidateList>
        <item>抛撒</item>
      </candidateList>
      <explain/>
      <paraID>43993DB4</paraID>
      <start>271</start>
      <end>273</end>
      <status>unmodified</status>
      <modifiedWord/>
      <trackRevisions>false</trackRevisions>
    </reviewItem>
    <reviewItem>
      <errorID>754d56b3-a156-4d37-b0d6-998c8c597268</errorID>
      <errorWord>减震</errorWord>
      <group>L1_Word</group>
      <groupName>字词问题</groupName>
      <ability>L2_Typo</ability>
      <abilityName>字词错误</abilityName>
      <candidateList>
        <item>减振</item>
      </candidateList>
      <explain/>
      <paraID>33A86A88</paraID>
      <start>91</start>
      <end>93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982753-d902-497b-8e64-ffcc55dcdaa7}">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1881</Words>
  <Characters>1947</Characters>
  <Lines>0</Lines>
  <Paragraphs>0</Paragraphs>
  <TotalTime>20</TotalTime>
  <ScaleCrop>false</ScaleCrop>
  <LinksUpToDate>false</LinksUpToDate>
  <CharactersWithSpaces>2420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2023-05-25T09:54:00Z</dcterms:created>
  <dc:creator>Administrator</dc:creator>
  <cp:lastModifiedBy>Administrator</cp:lastModifiedBy>
  <cp:lastPrinted>2025-12-12T07:01:00Z</cp:lastPrinted>
  <dcterms:modified xsi:type="dcterms:W3CDTF">2025-12-12T07:15:04Z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F0EB64814B2541329245CA564C028EFF_13</vt:lpwstr>
  </property>
  <property fmtid="{D5CDD505-2E9C-101B-9397-08002B2CF9AE}" pid="4" name="KSOTemplateDocerSaveRecord">
    <vt:lpwstr>eyJoZGlkIjoiOWNmNDkyNjQ5MDc3MjlmODU3MDk3NDY3NzBhYWE1ZmEifQ==</vt:lpwstr>
  </property>
</Properties>
</file>