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t>《翼城县烟草制品零售点合理布局规划》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Arial"/>
          <w:sz w:val="44"/>
          <w:szCs w:val="44"/>
          <w:lang w:eastAsia="zh-CN"/>
        </w:rPr>
      </w:pPr>
      <w:r>
        <w:rPr>
          <w:rFonts w:ascii="方正小标宋简体" w:eastAsia="方正小标宋简体" w:cs="Arial"/>
          <w:sz w:val="44"/>
          <w:szCs w:val="44"/>
          <w:lang w:val="en-US" w:eastAsia="zh-CN"/>
        </w:rPr>
        <w:t>修改</w:t>
      </w: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t>补充</w:t>
      </w:r>
      <w:r>
        <w:rPr>
          <w:rFonts w:hint="eastAsia" w:ascii="方正小标宋简体" w:eastAsia="方正小标宋简体" w:cs="Arial"/>
          <w:sz w:val="44"/>
          <w:szCs w:val="44"/>
          <w:lang w:eastAsia="zh-CN"/>
        </w:rPr>
        <w:t>内容解读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"/>
          <w:sz w:val="32"/>
          <w:szCs w:val="32"/>
        </w:rPr>
        <w:t>《翼城县烟草制品零售点合理布局规划》</w:t>
      </w:r>
      <w:r>
        <w:rPr>
          <w:rFonts w:ascii="仿宋_GB2312" w:eastAsia="仿宋_GB2312" w:cs="仿宋"/>
          <w:sz w:val="32"/>
          <w:szCs w:val="32"/>
        </w:rPr>
        <w:t>第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3.2.1</w:t>
      </w:r>
      <w:r>
        <w:rPr>
          <w:rFonts w:ascii="仿宋_GB2312" w:eastAsia="仿宋_GB2312" w:cs="Arial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零售点合理布局设定应当遵循以下标准</w:t>
      </w:r>
      <w:r>
        <w:rPr>
          <w:rFonts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将原第4</w:t>
      </w:r>
      <w:r>
        <w:rPr>
          <w:rFonts w:ascii="仿宋_GB2312" w:eastAsia="仿宋_GB2312" w:cs="Arial"/>
          <w:sz w:val="32"/>
          <w:szCs w:val="32"/>
          <w:lang w:val="en-US" w:eastAsia="zh-CN"/>
        </w:rPr>
        <w:t>项：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行政村、自然村（不含乡镇所在地、城乡接合部）零售点按常住人口设置，常住人口每300人（含300人）可设1个零售点，常住人口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每增加300人可增设一个零售点且零售点间隔距离不低于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 w:cs="Arial"/>
          <w:b/>
          <w:bCs/>
          <w:sz w:val="32"/>
          <w:szCs w:val="32"/>
          <w:lang w:eastAsia="zh-CN"/>
        </w:rPr>
        <w:t>米（含）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，行政村、自然村不足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300人口的可设1个零售点。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修改为</w:t>
      </w:r>
      <w:r>
        <w:rPr>
          <w:rFonts w:ascii="仿宋_GB2312" w:eastAsia="仿宋_GB2312" w:cs="Arial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“</w:t>
      </w:r>
      <w:r>
        <w:rPr>
          <w:rFonts w:ascii="仿宋_GB2312" w:eastAsia="仿宋_GB2312" w:cs="Arial"/>
          <w:sz w:val="32"/>
          <w:szCs w:val="32"/>
          <w:lang w:val="en-US" w:eastAsia="zh-CN"/>
        </w:rPr>
        <w:t>（4）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行政村、自然村（不含乡镇所在地、城乡接合部）零售点按常住人口设置，常住人口每300人（含300人）可设1个零售点，常住人口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每增加300人可增设一个零售点且零售点间隔距离不低于</w:t>
      </w:r>
      <w:r>
        <w:rPr>
          <w:rFonts w:hint="eastAsia" w:ascii="仿宋_GB2312" w:eastAsia="仿宋_GB2312" w:cs="Arial"/>
          <w:b/>
          <w:bCs/>
          <w:sz w:val="32"/>
          <w:szCs w:val="32"/>
          <w:lang w:eastAsia="zh-CN"/>
        </w:rPr>
        <w:t>50米（含）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，行政村、自然村不足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300人口的可设1个零售点。”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 w:cs="仿宋"/>
          <w:sz w:val="32"/>
          <w:szCs w:val="32"/>
        </w:rPr>
        <w:t>《翼城县烟草制品零售点合理布局规划》</w:t>
      </w:r>
      <w:r>
        <w:rPr>
          <w:rFonts w:ascii="仿宋_GB2312" w:eastAsia="仿宋_GB2312" w:cs="仿宋"/>
          <w:sz w:val="32"/>
          <w:szCs w:val="32"/>
        </w:rPr>
        <w:t>第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3.2.2</w:t>
      </w:r>
      <w:r>
        <w:rPr>
          <w:rFonts w:ascii="仿宋_GB2312" w:eastAsia="仿宋_GB2312" w:cs="Arial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具备下列情形之一的，间距方面给予适当放宽</w:t>
      </w:r>
      <w:r>
        <w:rPr>
          <w:rFonts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将原第2</w:t>
      </w:r>
      <w:r>
        <w:rPr>
          <w:rFonts w:ascii="仿宋_GB2312" w:eastAsia="仿宋_GB2312" w:cs="Arial"/>
          <w:sz w:val="32"/>
          <w:szCs w:val="32"/>
          <w:lang w:val="en-US" w:eastAsia="zh-CN"/>
        </w:rPr>
        <w:t>项：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“对辖区内持残联、部队、民政等部门有效证明的残疾人、军残及军烈属，具有完全民事行为能力，申请设立零售点办理烟草专卖零售许可证的，经查验实际经营人为本人且为唯一店面的，可根据实际情况适当将烟草制品零售点的间隔距离放宽，残疾人零售点间距不低于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30米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，军残及军烈属零售点间距不低于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20米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，许可证有效期届满后，本人无法继续正常经营的，不得予以延续。”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修改为</w:t>
      </w:r>
      <w:r>
        <w:rPr>
          <w:rFonts w:ascii="仿宋_GB2312" w:eastAsia="仿宋_GB2312" w:cs="Arial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“</w:t>
      </w:r>
      <w:r>
        <w:rPr>
          <w:rFonts w:ascii="仿宋_GB2312" w:eastAsia="仿宋_GB2312" w:cs="Arial"/>
          <w:sz w:val="32"/>
          <w:szCs w:val="32"/>
          <w:lang w:val="en-US" w:eastAsia="zh-CN"/>
        </w:rPr>
        <w:t>（2）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对辖区内持残联、部队、民政等部门有效证明的残疾人、退役军人（须持有优待证）、军警烈属等优抚对象，具有完全民事行为能力，申请设立零售点办理烟草专卖零售许可证的，经查验实际经营人为本人且为唯一店面的，可根据实际情况适当将烟草制品零售点的间隔距离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宋体" w:eastAsia="宋体" w:cs="Arial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残疾人申请办理烟草专卖零售许可证的，视具体情况分类放宽间距米数，且同一放宽情形只适用一次。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val="en-US" w:eastAsia="zh-CN"/>
        </w:rPr>
        <w:t>a、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视力残疾一级、听力残疾一级、言语残疾一级、肢体残疾重度（一级），放宽幅度不超过规定区间的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50%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val="en-US" w:eastAsia="zh-CN"/>
        </w:rPr>
        <w:t>b、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视力残疾二级、听力残疾二级、言语残疾二级、肢体残疾中度（二级），放宽幅度不超过规定区间的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40%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val="en-US" w:eastAsia="zh-CN"/>
        </w:rPr>
        <w:t>c、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听力残疾三级、言语残疾三级，放宽幅度不超过规定区间的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30%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val="en-US" w:eastAsia="zh-CN"/>
        </w:rPr>
        <w:t>d、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听力残疾四级、言语残疾四级，放宽幅度不超过规定区间的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20%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宋体" w:eastAsia="宋体" w:cs="Arial"/>
          <w:sz w:val="32"/>
          <w:szCs w:val="32"/>
          <w:lang w:eastAsia="zh-CN"/>
        </w:rPr>
        <w:t>②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退役军人（须持有优待证）、军警烈属等优抚对象首次申请办理烟草专卖零售许可证，视具体情况分类放宽间距米数，且同一放宽情形只适用一次。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eastAsia="zh-CN"/>
        </w:rPr>
        <w:t>a、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退役军人（须持有优待证），放宽幅度不超过规定间距的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20%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eastAsia="zh-CN"/>
        </w:rPr>
        <w:t>b、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残疾军人或残疾军人法定监护人，放宽幅度不超过规定间距的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30%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ascii="仿宋_GB2312" w:eastAsia="仿宋_GB2312" w:cs="Arial"/>
          <w:sz w:val="32"/>
          <w:szCs w:val="32"/>
          <w:lang w:eastAsia="zh-CN"/>
        </w:rPr>
        <w:t>c、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军警烈属、因公牺牲军警家属、在乡退伍红军老战士、参战退伍军人，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免除规定间距限制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许可证有效期届满后，本人无法继续正常经营的，不得予以延续。”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三</w:t>
      </w:r>
      <w:r>
        <w:rPr>
          <w:rFonts w:ascii="仿宋_GB2312" w:eastAsia="仿宋_GB2312" w:cs="Arial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仿宋"/>
          <w:sz w:val="32"/>
          <w:szCs w:val="32"/>
        </w:rPr>
        <w:t>《翼城县烟草制品零售点合理布局规划》</w:t>
      </w:r>
      <w:r>
        <w:rPr>
          <w:rFonts w:ascii="仿宋_GB2312" w:eastAsia="仿宋_GB2312" w:cs="仿宋"/>
          <w:sz w:val="32"/>
          <w:szCs w:val="32"/>
        </w:rPr>
        <w:t>第</w:t>
      </w:r>
      <w:r>
        <w:rPr>
          <w:rFonts w:ascii="仿宋_GB2312" w:eastAsia="仿宋_GB2312" w:cs="Arial"/>
          <w:sz w:val="32"/>
          <w:szCs w:val="32"/>
          <w:lang w:val="en-US" w:eastAsia="zh-CN"/>
        </w:rPr>
        <w:t>3.3.2，经营场所方面。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将原</w:t>
      </w:r>
      <w:r>
        <w:rPr>
          <w:rFonts w:ascii="仿宋_GB2312" w:eastAsia="仿宋_GB2312" w:cs="Arial"/>
          <w:sz w:val="32"/>
          <w:szCs w:val="32"/>
          <w:lang w:val="en-US" w:eastAsia="zh-CN"/>
        </w:rPr>
        <w:t>第5项：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“未形成便利店、超市、商场、烟酒商店等经营业态，专门经营或从事五金建材、建筑装潢、按摩推拿、美容美发、药妆医械、文化体育、音像制品、家电家具、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通信器材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、金融证券、仪器仪表、金银珠宝、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修理修配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、以寄递揽件为主的快递网点、洗涤护理、服装制售、中介劳服、寄卖典当、汽车租赁、餐饮服务、网吧、酒吧、传真打印、电子游戏、棋牌室、机耕农具、废品回收点、汽车美容、照相馆、农畜养殖、床上用品等，各类培训咨询机构、彩票屋、报刊亭等专业性强，且与烟草制品零售业务没有直接或间接互补营销关系的业态类型。”</w:t>
      </w:r>
      <w:r>
        <w:rPr>
          <w:rFonts w:hint="eastAsia" w:ascii="仿宋_GB2312" w:eastAsia="仿宋_GB2312" w:cs="Arial"/>
          <w:b/>
          <w:bCs/>
          <w:sz w:val="32"/>
          <w:szCs w:val="32"/>
          <w:lang w:val="en-US" w:eastAsia="zh-CN"/>
        </w:rPr>
        <w:t>修改为</w:t>
      </w:r>
      <w:r>
        <w:rPr>
          <w:rFonts w:ascii="仿宋_GB2312" w:eastAsia="仿宋_GB2312" w:cs="Arial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“未形成便利店、超市、商场、烟酒商店等经营业态，专门经营或从事五金建材、建筑装潢、按摩推拿、美容美发、药妆医械、文化体育、音像制品、家电家具、金融证券、仪器仪表、金银珠宝、以寄递揽件为主的快递网点、洗涤护理、服装制售、中介劳服、寄卖典当、汽车租赁、餐饮服务、网吧、酒吧、传真打印、电子游戏、棋牌室、机耕农具、废品回收点、汽车美容、照相馆、农畜养殖、床上用品等，各类培训咨询机构、彩票屋、报刊亭等专业性强，且与烟草制品零售业务没有直接或间接互补营销关系的业态类型</w:t>
      </w:r>
      <w:r>
        <w:rPr>
          <w:rFonts w:ascii="仿宋_GB2312" w:eastAsia="仿宋_GB2312" w:cs="Arial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ascii="仿宋_GB2312" w:eastAsia="仿宋_GB2312" w:cs="Arial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翼城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jYwNmFmMDEyMzM0MTNlM2IyZDM5YjdmMDg2ZTUyN2IifQ=="/>
    <w:docVar w:name="KSO_WPS_MARK_KEY" w:val="be6a2108-8e04-4dfa-a68b-0c68d20e49bb"/>
  </w:docVars>
  <w:rsids>
    <w:rsidRoot w:val="00000000"/>
    <w:rsid w:val="065D163C"/>
    <w:rsid w:val="201F5E38"/>
    <w:rsid w:val="265279F7"/>
    <w:rsid w:val="51FA127E"/>
    <w:rsid w:val="67736264"/>
    <w:rsid w:val="7C077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index 6"/>
    <w:next w:val="1"/>
    <w:qFormat/>
    <w:uiPriority w:val="0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next w:val="5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customStyle="1" w:styleId="10">
    <w:name w:val="文件标题"/>
    <w:next w:val="5"/>
    <w:qFormat/>
    <w:uiPriority w:val="0"/>
    <w:pPr>
      <w:widowControl w:val="0"/>
      <w:snapToGrid w:val="0"/>
      <w:spacing w:line="700" w:lineRule="exact"/>
      <w:jc w:val="center"/>
    </w:pPr>
    <w:rPr>
      <w:rFonts w:ascii="方正小标宋简体" w:hAnsi="Times New Roman" w:eastAsia="方正小标宋简体" w:cs="Times New Roman"/>
      <w:color w:val="000000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1576</Words>
  <Characters>1624</Characters>
  <Lines>85</Lines>
  <Paragraphs>21</Paragraphs>
  <TotalTime>226</TotalTime>
  <ScaleCrop>false</ScaleCrop>
  <LinksUpToDate>false</LinksUpToDate>
  <CharactersWithSpaces>1625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2024-09-11T09:49:00Z</dcterms:created>
  <dc:creator>Administrator</dc:creator>
  <cp:lastModifiedBy>XURUIRUI</cp:lastModifiedBy>
  <cp:lastPrinted>2024-09-30T01:18:00Z</cp:lastPrinted>
  <dcterms:modified xsi:type="dcterms:W3CDTF">2024-09-30T03:03:07Z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71123EEA04034EEC8606813D8EAADDE8_13</vt:lpwstr>
  </property>
</Properties>
</file>