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附件2：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  <w:t>各类型入河排污口代码</w:t>
      </w: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8"/>
        <w:gridCol w:w="4644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一级分类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二级分类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类型代码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（一）工业排污口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工矿企业排污口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GY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工业及其它各类园区污水处理厂排污口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工矿企业雨洪排口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工业及其它各类园区污水处理厂雨洪排口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（二）城镇污水处理厂排污口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城镇污水处理厂排污口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SH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（三）农业排口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规模化畜禽养殖排污口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NY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规模化水产养殖排污口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（四）城镇雨洪排口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城镇雨洪排口</w:t>
            </w:r>
          </w:p>
        </w:tc>
        <w:tc>
          <w:tcPr>
            <w:tcW w:w="123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YH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（五）其它排口</w:t>
            </w: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大中型灌区口</w:t>
            </w:r>
          </w:p>
        </w:tc>
        <w:tc>
          <w:tcPr>
            <w:tcW w:w="1236" w:type="dxa"/>
            <w:vMerge w:val="restart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QT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港口码头排污口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规模以下畜禽养殖排污口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规模以下水产养殖排污口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城镇生活污水散排口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农村污水处理设施排污口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农村生活污水散排口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08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6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>其它排污口</w:t>
            </w:r>
          </w:p>
        </w:tc>
        <w:tc>
          <w:tcPr>
            <w:tcW w:w="1236" w:type="dxa"/>
            <w:vMerge w:val="continue"/>
            <w:vAlign w:val="center"/>
          </w:tcPr>
          <w:p>
            <w:pPr>
              <w:widowControl w:val="0"/>
              <w:wordWrap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widowControl w:val="0"/>
        <w:wordWrap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u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a275f89a-8f67-43fc-b605-1a48645e8131"/>
  </w:docVars>
  <w:rsids>
    <w:rsidRoot w:val="154050B5"/>
    <w:rsid w:val="154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2024-01-08T08:21:00Z</dcterms:created>
  <dc:creator>XURUIRUI</dc:creator>
  <cp:lastModifiedBy>XURUIRUI</cp:lastModifiedBy>
  <dcterms:modified xsi:type="dcterms:W3CDTF">2024-01-08T08:21:37Z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BD2B25A5FAA34C7BA58665CFCDD60CED_11</vt:lpwstr>
  </property>
</Properties>
</file>