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topLinePunct/>
        <w:spacing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wordWrap/>
        <w:topLinePunct/>
        <w:spacing w:before="0" w:after="0" w:line="58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西政发〔2022〕8号</w:t>
      </w:r>
    </w:p>
    <w:p>
      <w:pPr>
        <w:wordWrap/>
        <w:spacing w:before="0" w:after="0" w:line="580" w:lineRule="exact"/>
        <w:ind w:left="0" w:leftChars="0" w:right="0" w:firstLine="643" w:firstLineChars="200"/>
        <w:rPr>
          <w:rFonts w:ascii="Arial"/>
          <w:b/>
          <w:bCs w:val="0"/>
          <w:sz w:val="21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    </w:t>
      </w:r>
    </w:p>
    <w:p>
      <w:pPr>
        <w:wordWrap/>
        <w:spacing w:before="0" w:after="0" w:line="580" w:lineRule="exact"/>
        <w:ind w:right="0"/>
        <w:jc w:val="center"/>
        <w:rPr>
          <w:rFonts w:ascii="宋体" w:hAnsi="宋体" w:eastAsia="宋体" w:cs="宋体"/>
          <w:b/>
          <w:bCs/>
          <w:spacing w:val="-2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全镇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生产经营租住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村（居）民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自建房</w:t>
      </w: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重大</w:t>
      </w:r>
    </w:p>
    <w:p>
      <w:pPr>
        <w:wordWrap/>
        <w:spacing w:before="0" w:after="0" w:line="580" w:lineRule="exact"/>
        <w:ind w:right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21"/>
          <w:sz w:val="44"/>
          <w:szCs w:val="44"/>
        </w:rPr>
        <w:t>火灾风险综合治理实施方案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为深刻汲取河南商丘“6.25”、北京昌平“2.11”、安徽蒙城“2.22”等一系列自建房亡人火灾事故教训,深入推进消防安全专项整治三年行动,及时消除火灾隐患,切实保障广大人民群众生命财产安全,经镇安委办研究决定,自即日起至9月底组织开展全镇生产经营租住村（居）民自建房重大火灾风险综合治理工作,特制定本实施方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一、指导思想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以习近平新时代中国特色社会主义思想为指导,深入贯彻落实习近平总书记重要讲话重要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指示精神,坚持人民至上、生命至上,强化红线意识和底线思维,坚持问题导向,落实属地管理责任,牢牢守住底线红线,压紧压实责任,以生产经营租住村（居）民自建房为重点,坚持边排查边整治,标本兼治、注重成效,按照“谁拥有谁负责、谁使用谁负责、谁主管谁负责”的原则,依法依规有序开展生产经营租住村（居）民自建房的消防安全隐患排查整治工作,及时消除村（居）民自建房重大火灾风险隐患,切实保障人民群众生命财产安全,为党的二十大胜利召开营造良好的消防安全环境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二、工作任务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(一)排查对象。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主要排查全镇范围内用作生产经营租住的村（居）民自建房,包含餐饮饭店、民宿宾馆、超市、棋牌室、浴室、民办幼儿园、私人诊所、手工作坊、生产加工场所、仓储物流、出租屋(群租房) 等经营性房屋。重点突出具有生产、经营、租住使用功能之一,且住宿人员达到10人及以上的自建房。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(二)排查内容。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全面摸清房屋基本信息,包括场所地址、业主及租户姓名、建筑层数及面积、房屋间数、建筑及装饰材料、使用功能、容纳人数、安全出口、消防设施及存在的隐患等基本情况。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(三)隐患整治。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重点整治电气线路私拉乱接、电动自行车违规停放充电、违规存放易燃易爆危险品、搭建易燃可燃夹芯彩钢板建筑、防火分隔不严、安全出口数量不足、疏散逃生通道不畅、消防设施故障或未设置等突出风险隐患问题,坚决消除火灾隐患,确保消防安全。具体包含如下十类隐患: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1、使用易燃可燃夹芯彩钢板或易燃材料搭建临时房屋; 屋顶、围护结构、房间隔墙使用易燃可燃夹芯彩钢板或易燃材料。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2、用于生产、经营的自建房,居住区域与生产、经营区域未完全防火分隔;“前店后宅”“下店上宅”未按规定进行防火分隔;用于租住的自建房房间采用隔断方式改变原有格局设置群租房,或设置住人夹层。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3、电动自行车、电动摩托车、电动平衡车及其蓄电池在室内公共区域、疏散走道、楼梯间、安全出口或房间内停放、充电;室外集中停放、充电区域及其设置的雨棚与建筑外窗、安全出口直接相邻。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4、每层建筑面积超过200平方米的自建房、屋顶承重构件和楼板为可燃材料的自建房、建筑层数为4层及以上的自建房,疏散楼梯少于2部,首层安全出口少于2个。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5、外窗、疏散走道安装防盗网、广告牌、铁栅栏。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6、用于租住的自建房内设置采用易燃可燃保温材料的冷库、设置液氨制冷剂的冷库,生产、储存、经营易燃易爆危险品的自建房内设置居住场所。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7、地下室、半地下室使用瓶装液化石油气,电气线路私搭乱接、违规敷设,使用无证、“三无”电器产品,违规使用有引起明火隐患的取暖器具等违章用火、用电、用气情形。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8、供人员疏散穿行的场院、天井设置遮雨棚、遮阳棚完全封闭,起火后烟气无法自然排出。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9、未按规定配置消防设施器材或未保持完好、有效。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10、其他存在重大火灾风险和重大消防安全隐患的。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三、工作措施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 实施群防群治。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要按照“管行业必须管安全,管业务必须管安全,管生产经营必须管安全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的要求,加强对沿街门店、“九小场所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和出租房等自建房场所的检查,逐个区域、逐个场所摸清生产经营租住村（居）民自建房的基本情况、使用性质、租住人数、建筑消防设施状况及消防安全管理等情况,严格督促房屋出租人、承租人签订消防安全责任协议,明确各自消防安全责任,落实火灾防范措施。要督促基层网格组织将生产经营租住村（居）民自建房作为消防安全“网格化”管理重点对象,加强日常巡查检查和宣传提示教育，防止出现监管盲区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 摸清底数实情。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发动全科网格基层组织,对照自建房火灾风险隐患排查整治标准(附件1),分场所、分区域开展摸底排查,认真做好生产经营租住村（居）民自建房的火灾风险排查治理,并建立台账(附件2、3),实行对单整改、对账销号。所有排查发现的生产经营租住村（居）民自建房均同步纳入后续网格巡查、联合检查、专项督查等工作范围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 防范突出风险。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针对电气线路方面的突出风险隐患,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将生产经营租住村（居）民自建房的老旧电气线路改造统筹，推动整治电气线路敷设不符合国家标准规定、电表箱设置位置不符合规范、线路连接不符合标准、用电负荷超过初装容量、违规私拉乱接电线等突出隐患问题。针对电动自行车违规停放充电的突出风险隐患,住建和自然资源等部门加强电动自行车集中停放场所规划管理,指导建设单位在拟建、在建的住宅小区、居民楼院,同步规划配建电动车停放充电场所,在老旧小区改造过程中,加强电动自行车集中停放充电场所的建设;指导村委会、社区、公安派出所等基层组织加强常态化巡查检查和宣传教育,严防电动自行车“进楼入户”、“人车同屋”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(四)落实刚性措施。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要按照职责分工, 强力整治火灾隐患,严格落实刚性措施,做到“七个必须”。对违规使用易燃可燃夹芯彩钢板或其他易燃材料,违规设置室外电动车集中停放、充电雨棚,外窗、疏散走道安装防盗网、广告牌、铁栅栏的,必须拆除;对居住区域与其他区域,或居住区域内各房间未完全分隔的,必须砌墙或安装防火门进行分隔;对电动车及蓄电池在室内停放、充电的,必须搬移至室外;对安全出口、疏散楼梯不足的,必须按要求增设;对生产、储存、经营易燃易爆危险品区域内设置的居住场所,或租住场所内设置不符合要求的冷库,必须搬离;凡未按要求整改的,必须减少居住人数,或停止生产、停止营业、停止租住;对使用不合格电器产品、室内电气线路私拉乱接、消防设施器材不完好有效等其他问题隐患,必须限期改正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(五）分级分类治理。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对排查发现较轻火灾风险及住宿人员2人以下的村（居）民自建房火灾风险隐患由村民委员会、社区组织整改;对住宿人员3至10人的村（居）民自建房火灾风险隐患,由乡镇组织整改;对存在严重火灾风险隐患问题及住宿人员11至30人的村（居）民自建房,由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县级政府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组织整改;对存在严重火灾风险隐患问题,经相关部门督促未整改及住宿人员30人以上的村（居）民自建房隐患,由市政府组织整改。对自建房在生产、经营、租住活动中涉及的相关行业领域,由各主管行业部门和监管部门指导整改。对生产经营租住村（居）民自建房集中连片地区,且存在问题突出的村（居）民自建房隐患,由镇政府挂牌督办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(六)加强宣教提示。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继续推动开展消防安全宣传教育活动,所有生产经营租住村（居）民自建房按标准配备灭火器,并同步开展以灭火器材使用、火场逃生自救常识、电气火灾隐患排查、初起火灾扑救等为主要内容的消防宣传教育培训,组织群众开展1次火灾隐患排查和1次火灾逃生演练,切实提升公众消防安全意识和火场逃生自救能力。同时,要继续发动村民委会消防宣传大使、消防志愿者等力量开展“敲门行动”上门培训,切实提升群众消防安全意识和火场逃生自救能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(七)强化技防应用。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依托现有平台或组织创新研发,探索建立生产、经营、租住自建房火灾风险监测预警系统,实现对火灾高风险场所区域的动态监测、预警提示、智能分析和精准防范。推广安装漏电保护装置、火灾探测器、自动灭火系统等,以科技信息化手段推动火灾防控工作赋能升级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(八)提升救援能力。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督促指导生产经营租住村（居）民自建房严格按照国家消防技术标准设置建筑消防设施。对达不到自动消防设施设置标准的,要指导相关场所设置独立感烟报警器、简易喷淋设施等简易消防设施,提高场所火灾预警和初期处置能力水平。其中,单间住宿3人以上或总数住宿10人以上且未设置自动消防设施的群租房,应当加装独立式感烟火灾探测报警器;住宿30人以上且未设置自动消防设施的群租房,应当按照标准安装火灾自动报警、自动灭火等消防设施。同时,推动住宿人员30人及以上的村（居）民自建房建立微型消防站或志愿消防队,住宿人员30人以下的村（居）民自建房,应当明确专门管理人员,落实培训演练、值班值守、多户联防等工作机制,提高初起火灾扑救能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四、整治步骤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(一)动员部署阶段(3月31日前)。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召开动员会议,明确职责任务,细化工作措施,广泛宣传发动,迅速组织开展工作。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(二)摸底排查阶段(4月1日至4月22日)。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组织对生产、经营、租住自建房开展全面摸底排查,建立底数清单和问题台账。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(三)集中整治阶段(4月23日至8月31日)。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对照底数清单和问题台账,制定工作措施,分级分类推进整改、销案。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(四)巩固完善阶段(9月1日至9月30日)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各站所、各行政村及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时梳理总结工作成效、典型做法和问题不足,固化治理成果,完善制度机制,提高生产、经营、租住自建房消防安全管理水平。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五、工作要求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(一)提高认识,加强组织领导。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要高度重视,召开专题会议,对生产经营租住自建房存在的消防安全突出问题进行分析研判,并组织开展针对性治理。镇政府安委办成立综合治理工作领导协调小组,加强组织发动、指挥调度、情况通报、督导交办, 日常工作由镇安委办承担。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(二)密切配合,形成监管合力。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各站所要对照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“三管三必须”原则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结合正在开展的农村房屋安全隐患排查整治工作,做好各自主管行业领域生产、经营、租住自建房的火灾风险排查治理。同时,建立信息互通机制,加强联动,形成监管合力。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(三)广泛宣传,营造浓厚氛围。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充分利用传统宣传模式与官方微博、便民在线网站等新媒介和手机短信、户外消防公益广告牌、车载视频、电子显示屏等载体进行大张旗鼓的消防宣传,使广大人民群众充分认识村（居）民自建房屋消防安全的重要性,提高广大人民群众的消防安全意识,有针对性做好解释引导工作,有效化解影响社会稳定的风险隐患,形成强大声势和浓厚的舆论氛围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(四)加强督导,狠抓责任落实。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要明确任务分工及工作完成的时间节点、工作措施和责任人员,扎实细致开展专项整治工作。期间,镇安委办将派出督导组对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各站所、各行政村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生产经营租住村（居）民自建房整治工作开展情况进行督导检查,对在督查发现未按要求开展整治、工作不到位、措施不落实的,要严格追究有关领导的责任;对因工作失职造成群死群伤火灾事故的,严肃追究有关领导和人员责任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站所、各行政村要确定1名联络员及时汇总排查整治进展情况.3月31日前上报联络员;4月22日前上报自建房火灾风险隐患排查登记工作(附件2),自4月开始,每月18日前上报《生产经营租住自建房火灾风险隐患综合治理整治措施清单》《生产经营租住自建房火灾风险综合治理进展情况汇总表》(各项数据累计计算)(附件3、4),9月20日前上报工作总结和治理情况总表。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联系人: 虞智皓 18434853447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邮  箱: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 HYPERLINK "mailto:ycxfbgs301@163.com" </w:instrTex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t>215336849@qq.com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西阎镇人民政府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2022年3月30日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widowControl w:val="0"/>
        <w:wordWrap/>
        <w:topLinePunct/>
        <w:adjustRightInd/>
        <w:snapToGrid/>
        <w:spacing w:before="0" w:after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附件: 1.生产经营租住自建房火灾风险隐患排查整治标准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2.《生产经营租住自建房火灾风险隐患排查登记表》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3.《生产经营租住自建房火灾风险隐患综合治理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整治措施清单》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638" w:leftChars="304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4.《生产经营租住自建房火灾风险综合治理进展情况   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638" w:leftChars="304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汇总表》</w:t>
      </w:r>
    </w:p>
    <w:p>
      <w:pPr>
        <w:widowControl w:val="0"/>
        <w:wordWrap/>
        <w:topLinePunct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2080" w:h="16950"/>
          <w:pgMar w:top="2098" w:right="1474" w:bottom="1984" w:left="1587" w:header="0" w:footer="794" w:gutter="0"/>
          <w:pgNumType w:fmt="numberInDash"/>
          <w:cols w:space="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</w:rPr>
        <w:t>1</w:t>
      </w:r>
      <w:r>
        <w:rPr>
          <w:rFonts w:ascii="仿宋" w:hAnsi="仿宋" w:eastAsia="仿宋" w:cs="仿宋"/>
          <w:spacing w:val="-3"/>
          <w:sz w:val="36"/>
          <w:szCs w:val="36"/>
        </w:rPr>
        <w:t>:</w:t>
      </w:r>
    </w:p>
    <w:p>
      <w:pPr>
        <w:spacing w:before="57" w:line="219" w:lineRule="auto"/>
        <w:ind w:firstLine="198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9"/>
          <w:sz w:val="36"/>
          <w:szCs w:val="36"/>
        </w:rPr>
        <w:t>生产、经营、租住自建房火灾风险隐患排查整治标准(供参考)</w:t>
      </w:r>
    </w:p>
    <w:p>
      <w:pPr>
        <w:spacing w:line="18" w:lineRule="exact"/>
      </w:pPr>
    </w:p>
    <w:tbl>
      <w:tblPr>
        <w:tblStyle w:val="5"/>
        <w:tblW w:w="13579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排查重点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整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219" w:lineRule="auto"/>
              <w:ind w:firstLine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建筑布局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3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1.不得使用易燃可燃夹芯彩钢板或易燃材料搭建临时房屋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。</w:t>
            </w:r>
          </w:p>
          <w:p>
            <w:pPr>
              <w:spacing w:line="218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2.供人员疏散穿行的内院、天井不得设置顶棚、雨棚影响自然排烟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8" w:line="216" w:lineRule="auto"/>
              <w:ind w:firstLine="1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3.住宿内部隔墙应采用不燃烧体,且应砌筑至楼板底部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1"/>
                <w:szCs w:val="21"/>
              </w:rPr>
              <w:t>4.供人员租住的场所室内净高不得小于2.4m</w:t>
            </w:r>
            <w:r>
              <w:rPr>
                <w:rFonts w:hint="eastAsia" w:ascii="宋体" w:hAnsi="宋体" w:eastAsia="宋体" w:cs="宋体"/>
                <w:spacing w:val="12"/>
                <w:w w:val="105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spacing w:before="39" w:line="239" w:lineRule="auto"/>
              <w:ind w:left="152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5.房间采用隔断方式改变原有格局设置群租房,人均租住使用面积不得小于6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m2</w:t>
            </w: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,且应符合《山西省租赁住房</w:t>
            </w:r>
            <w:r>
              <w:rPr>
                <w:rFonts w:ascii="宋体" w:hAnsi="宋体" w:eastAsia="宋体" w:cs="宋体"/>
                <w:spacing w:val="12"/>
                <w:w w:val="104"/>
                <w:sz w:val="21"/>
                <w:szCs w:val="21"/>
              </w:rPr>
              <w:t>改建导则》(试行)的有关隔断要求</w:t>
            </w:r>
            <w:r>
              <w:rPr>
                <w:rFonts w:hint="eastAsia" w:ascii="宋体" w:hAnsi="宋体" w:eastAsia="宋体" w:cs="宋体"/>
                <w:spacing w:val="12"/>
                <w:w w:val="104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      </w:t>
            </w:r>
          </w:p>
          <w:p>
            <w:pPr>
              <w:spacing w:before="39" w:line="239" w:lineRule="auto"/>
              <w:ind w:left="152" w:right="13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1"/>
                <w:szCs w:val="21"/>
              </w:rPr>
              <w:t>6.租住住房不得将过道、厨房、卫生间、阳台、储物间和地下储藏室改建为居室,或影响、破坏其功能使用</w:t>
            </w:r>
            <w:r>
              <w:rPr>
                <w:rFonts w:hint="eastAsia" w:ascii="宋体" w:hAnsi="宋体" w:eastAsia="宋体" w:cs="宋体"/>
                <w:spacing w:val="12"/>
                <w:w w:val="10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违规住人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33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3"/>
                <w:szCs w:val="23"/>
              </w:rPr>
              <w:t>1.生产、储存、经营易燃易爆危险品的自建房不得设置居住场所</w:t>
            </w:r>
            <w:r>
              <w:rPr>
                <w:rFonts w:hint="eastAsia" w:ascii="宋体" w:hAnsi="宋体" w:eastAsia="宋体" w:cs="宋体"/>
                <w:spacing w:val="7"/>
                <w:position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2.在使用性质为厂房或仓库内的自建房内不得设置居住场所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6" w:line="310" w:lineRule="exact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>3.严禁违规设置夹层住人</w:t>
            </w:r>
            <w:r>
              <w:rPr>
                <w:rFonts w:hint="eastAsia" w:ascii="宋体" w:hAnsi="宋体" w:eastAsia="宋体" w:cs="宋体"/>
                <w:spacing w:val="1"/>
                <w:position w:val="5"/>
                <w:sz w:val="23"/>
                <w:szCs w:val="23"/>
                <w:lang w:eastAsia="zh-CN"/>
              </w:rPr>
              <w:t>。</w:t>
            </w:r>
          </w:p>
          <w:p>
            <w:pPr>
              <w:spacing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4.合用场所(生产、储存、经营与住宿)严禁在地下室、半地下室设置居住场所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19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5.严禁在建筑耐火等级低于二级的自建房内设置合用场所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25" w:line="234" w:lineRule="auto"/>
              <w:ind w:left="152" w:right="10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6.场所建筑高度大于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4"/>
                <w:sz w:val="23"/>
                <w:szCs w:val="23"/>
              </w:rPr>
              <w:t>15m,或建筑面积大于2000m2,或住宿人数超过20人的合用场所应采用不开门窗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洞口的防火隔墙、楼板等将住宿部分与非住宿部分完全分隔,且应分别设置独立的疏散设施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7.住宿人数少于20人的合用场所,其住宿与非住宿部分应完全分隔,当无法分隔时,应设置自动喷水灭火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系统或自动喷水局部应用系统,当设置独立的疏散设施确有困难时,应设置室外金属梯、配备逃生避难设施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的阳台和外窗等独立的辅助疏散设施;应设置火灾自动报警系统或独立式感烟火灾探测器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55" w:lineRule="auto"/>
              <w:ind w:left="814" w:right="342" w:hanging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用火用电用气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管理</w:t>
            </w:r>
          </w:p>
        </w:tc>
        <w:tc>
          <w:tcPr>
            <w:tcW w:w="114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7" w:lineRule="auto"/>
              <w:ind w:left="152" w:right="9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1.严禁地下室、半地下室或高层部分使用瓶装液化石油气钢瓶,存放液化石油气钢瓶的厨房应采取防火分隔</w:t>
            </w: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措施,且设置自然排风窗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30" w:line="220" w:lineRule="auto"/>
              <w:ind w:firstLine="1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2.厨房、灶间油烟道应进行定期清洗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7" w:line="243" w:lineRule="auto"/>
              <w:ind w:left="131" w:right="124" w:firstLine="2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3.严禁点蜡焚香、明火照明等违规用火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        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4.应规范电气设计、电气线路的敷设,电气线路应穿管保护;电气线路、移动插座不得直接敷设放置在可燃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物上;配电箱应设置漏电保护开关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3"/>
                <w:szCs w:val="23"/>
                <w:lang w:eastAsia="zh-CN"/>
              </w:rPr>
              <w:t>。</w:t>
            </w:r>
          </w:p>
          <w:p>
            <w:pPr>
              <w:spacing w:before="1" w:line="216" w:lineRule="auto"/>
              <w:ind w:left="152" w:right="14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1"/>
                <w:w w:val="102"/>
                <w:sz w:val="23"/>
                <w:szCs w:val="23"/>
              </w:rPr>
              <w:t>5.严禁采用电炉、煤气炉等大功率取暖设备取暖,不得使用无3C认证的电暖气,电热毯等电气产品;靠近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可燃物的电器,应采取隔热、散热等措施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sectPr>
          <w:footerReference r:id="rId6" w:type="default"/>
          <w:pgSz w:w="16910" w:h="12020"/>
          <w:pgMar w:top="1021" w:right="1945" w:bottom="1259" w:left="1210" w:header="0" w:footer="1092" w:gutter="0"/>
          <w:pgNumType w:fmt="numberInDash"/>
          <w:cols w:space="720" w:num="1"/>
        </w:sectPr>
      </w:pPr>
    </w:p>
    <w:p/>
    <w:p>
      <w:pPr>
        <w:spacing w:line="139" w:lineRule="exact"/>
      </w:pPr>
    </w:p>
    <w:tbl>
      <w:tblPr>
        <w:tblStyle w:val="5"/>
        <w:tblW w:w="14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1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排查重点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5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5"/>
                <w:sz w:val="24"/>
                <w:szCs w:val="24"/>
              </w:rPr>
              <w:t>整治标准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易燃可燃物使用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53" w:line="221" w:lineRule="auto"/>
              <w:ind w:left="132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屋顶、围护结构不得使用易燃可燃夹芯彩钢板搭建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numPr>
                <w:ilvl w:val="0"/>
                <w:numId w:val="0"/>
              </w:numPr>
              <w:spacing w:before="53" w:line="221" w:lineRule="auto"/>
              <w:ind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2.公共区域、疏散走道、楼梯间、安全出口处不得长期、大量堆放易燃可燃杂物,不得违规存放易燃易爆危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险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3.餐饮场所不得使用LNG杜瓦瓶,用餐区不得使用丙烷、丁烷、液化石油气、天然气等燃气灶具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4.使用醇基燃料的,应设置单独的储燃料间并与其他部位进行分隔,进出口管道处应安装紧急切断阀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" w:line="222" w:lineRule="auto"/>
              <w:ind w:left="132" w:right="73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5.用于租住的自建房内不得设置采用易燃可燃保温材料的冷库、不得设置液氨制冷剂的冷库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安全疏散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2" w:lineRule="auto"/>
              <w:ind w:left="132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地下或半地下区域应保证至少有1个直通室外的独立安全出口。每层建筑面积超过200平方米的自建房、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屋顶承重构件和楼板为可燃材料的自建房、建筑层数为4层及以上的自建房,疏散楼梯不少于2部,首层安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全出口不少于2个。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2.疏散楼梯不得采用木质等可燃材料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before="16" w:line="232" w:lineRule="auto"/>
              <w:ind w:left="132" w:righ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3.疏散走道和疏散楼梯的净宽度不得小于1.1m,紧靠门口内外各1.4m范围内不得设置踏步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16" w:line="232" w:lineRule="auto"/>
              <w:ind w:left="132" w:right="148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4.建筑外窗、疏散走道严禁安装防盗网、广告牌、铁栅栏,确需安装时应能从内部易于开启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35" w:lineRule="auto"/>
              <w:ind w:left="84" w:right="73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电动自行车和电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动摩托车停放、充</w:t>
            </w:r>
          </w:p>
          <w:p>
            <w:pPr>
              <w:spacing w:line="225" w:lineRule="auto"/>
              <w:ind w:firstLine="9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严禁电动车及其蓄电池在公共门厅、疏散走道、楼梯间、安全出口等公共区域和其他室内场所停放或充电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67" w:line="232" w:lineRule="auto"/>
              <w:ind w:left="132" w:right="1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严禁违反安全用电要求,采取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飞线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或其他私拉乱接电线和插座的方式进行充电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3.电动车停放充电场所应设置在室外时,不得使用易燃可燃材料搭建,且应与其他建筑、疏散通道、安全出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口保持有效的安全距离。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8" w:line="276" w:lineRule="auto"/>
              <w:ind w:left="924" w:right="196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消防安全责任落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实</w:t>
            </w:r>
          </w:p>
        </w:tc>
        <w:tc>
          <w:tcPr>
            <w:tcW w:w="11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31" w:lineRule="auto"/>
              <w:ind w:left="132" w:righ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1.自建房用于出租的,应在房屋租赁合同明确双方的消防安全责任.出租人不得将违法建筑或者不符合消防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安全条件的房屋出租。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2.承租人不得擅自改变出租自建房屋的使用性质和功能结构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spacing w:line="219" w:lineRule="auto"/>
              <w:ind w:firstLine="13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3.按规定配置消防设施器材并保持完好有效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ectPr>
          <w:footerReference r:id="rId7" w:type="default"/>
          <w:pgSz w:w="17010" w:h="12170"/>
          <w:pgMar w:top="1034" w:right="1995" w:bottom="400" w:left="1375" w:header="0" w:footer="0" w:gutter="0"/>
          <w:pgNumType w:fmt="numberInDash"/>
          <w:cols w:space="720" w:num="1"/>
        </w:sectPr>
      </w:pPr>
    </w:p>
    <w:p>
      <w:pPr>
        <w:spacing w:before="266" w:line="222" w:lineRule="auto"/>
        <w:ind w:firstLine="26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</w:rPr>
        <w:t>附件2:</w:t>
      </w:r>
    </w:p>
    <w:p>
      <w:pPr>
        <w:spacing w:before="79" w:line="217" w:lineRule="auto"/>
        <w:ind w:firstLine="1190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生产经营租住自建房火灾风险隐患排查登记表</w:t>
      </w:r>
    </w:p>
    <w:p>
      <w:pPr>
        <w:spacing w:line="224" w:lineRule="auto"/>
        <w:ind w:firstLine="71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6"/>
          <w:sz w:val="24"/>
          <w:szCs w:val="24"/>
        </w:rPr>
        <w:t>编号:</w:t>
      </w:r>
    </w:p>
    <w:tbl>
      <w:tblPr>
        <w:tblStyle w:val="5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68"/>
        <w:gridCol w:w="325"/>
        <w:gridCol w:w="220"/>
        <w:gridCol w:w="1799"/>
        <w:gridCol w:w="838"/>
        <w:gridCol w:w="1040"/>
        <w:gridCol w:w="3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58" w:line="215" w:lineRule="auto"/>
              <w:ind w:firstLine="29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基本情况登记表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0" w:lineRule="auto"/>
              <w:ind w:firstLine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场所名称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9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址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产权人姓名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65" w:lineRule="auto"/>
              <w:ind w:left="500" w:right="196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使用管理人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firstLine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2" w:space="0"/>
              <w:bottom w:val="nil"/>
              <w:right w:val="nil"/>
            </w:tcBorders>
            <w:vAlign w:val="top"/>
          </w:tcPr>
          <w:p>
            <w:pPr>
              <w:spacing w:before="54" w:line="314" w:lineRule="auto"/>
              <w:ind w:left="141" w:righ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488950</wp:posOffset>
                      </wp:positionV>
                      <wp:extent cx="682625" cy="191770"/>
                      <wp:effectExtent l="0" t="0" r="0" b="0"/>
                      <wp:wrapNone/>
                      <wp:docPr id="1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2"/>
                                      <w:szCs w:val="22"/>
                                    </w:rPr>
                                    <w:t>结构类型: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6.35pt;margin-top:38.5pt;height:15.1pt;width:53.75pt;mso-position-horizontal-relative:page;mso-position-vertical-relative:page;z-index:251659264;mso-width-relative:page;mso-height-relative:page;" filled="f" stroked="f" coordsize="21600,21600" o:gfxdata="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0BscU1gAAAAkBAAAPAAAAAAAAAAEAIAAAACIAAABkcnMvZG93bnJldi54bWxQSwECFAAU&#10;AAAACACHTuJAywAsu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2"/>
                                <w:szCs w:val="22"/>
                              </w:rPr>
                              <w:t>结构类型: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自建房使用功能: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建筑层数:</w:t>
            </w:r>
          </w:p>
        </w:tc>
        <w:tc>
          <w:tcPr>
            <w:tcW w:w="2637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before="54" w:line="298" w:lineRule="auto"/>
              <w:ind w:left="1002" w:right="259" w:hanging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□生产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建筑面积:</w:t>
            </w:r>
          </w:p>
          <w:p>
            <w:pPr>
              <w:spacing w:line="188" w:lineRule="auto"/>
              <w:ind w:firstLine="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w w:val="120"/>
                <w:position w:val="3"/>
                <w:sz w:val="10"/>
                <w:szCs w:val="10"/>
              </w:rPr>
              <w:t>医</w:t>
            </w:r>
            <w:r>
              <w:rPr>
                <w:rFonts w:ascii="宋体" w:hAnsi="宋体" w:eastAsia="宋体" w:cs="宋体"/>
                <w:spacing w:val="2"/>
                <w:position w:val="3"/>
                <w:sz w:val="10"/>
                <w:szCs w:val="10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w w:val="120"/>
                <w:sz w:val="18"/>
                <w:szCs w:val="18"/>
              </w:rPr>
              <w:t>房屋间数:</w:t>
            </w:r>
          </w:p>
        </w:tc>
        <w:tc>
          <w:tcPr>
            <w:tcW w:w="4076" w:type="dxa"/>
            <w:gridSpan w:val="2"/>
            <w:tcBorders>
              <w:top w:val="single" w:color="000000" w:sz="2" w:space="0"/>
              <w:left w:val="nil"/>
              <w:bottom w:val="nil"/>
            </w:tcBorders>
            <w:vAlign w:val="top"/>
          </w:tcPr>
          <w:p>
            <w:pPr>
              <w:spacing w:before="55" w:line="350" w:lineRule="exact"/>
              <w:ind w:firstLine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□租住</w:t>
            </w:r>
            <w:r>
              <w:rPr>
                <w:rFonts w:ascii="宋体" w:hAnsi="宋体" w:eastAsia="宋体" w:cs="宋体"/>
                <w:spacing w:val="22"/>
                <w:position w:val="9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position w:val="9"/>
                <w:sz w:val="22"/>
                <w:szCs w:val="22"/>
              </w:rPr>
              <w:t>□混合</w:t>
            </w:r>
          </w:p>
          <w:p>
            <w:pPr>
              <w:spacing w:line="219" w:lineRule="auto"/>
              <w:ind w:firstLine="1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建筑年代: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56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使用功能:(具体分类见备注)</w:t>
            </w:r>
          </w:p>
          <w:p>
            <w:pPr>
              <w:spacing w:before="98" w:line="213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出租房间数:_____出租屋所在层数及面积:</w:t>
            </w:r>
          </w:p>
          <w:p>
            <w:pPr>
              <w:spacing w:before="95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最多租住人数:□10人以下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□10人(含本数)-30人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□30人及以上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76" w:line="290" w:lineRule="auto"/>
              <w:ind w:left="141" w:righ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工作人员数量: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消防车通道</w:t>
            </w:r>
          </w:p>
          <w:p>
            <w:pPr>
              <w:spacing w:before="19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电动车充电设施</w:t>
            </w:r>
          </w:p>
        </w:tc>
        <w:tc>
          <w:tcPr>
            <w:tcW w:w="6933" w:type="dxa"/>
            <w:gridSpan w:val="5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57" w:line="219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住宿人员数量:</w:t>
            </w:r>
          </w:p>
          <w:p>
            <w:pPr>
              <w:spacing w:before="118" w:line="220" w:lineRule="auto"/>
              <w:ind w:firstLine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  <w:p>
            <w:pPr>
              <w:spacing w:before="118" w:line="220" w:lineRule="auto"/>
              <w:ind w:firstLine="473" w:firstLineChars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电动车停放数量: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nil"/>
            </w:tcBorders>
            <w:vAlign w:val="top"/>
          </w:tcPr>
          <w:p>
            <w:pPr>
              <w:spacing w:before="128" w:line="186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使用瓶装液化石油气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47" w:line="257" w:lineRule="auto"/>
              <w:ind w:left="141" w:righ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易燃易爆危险品生产、储存、销售、使用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防盗网、广告牌、铁栅栏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position w:val="1"/>
                <w:sz w:val="22"/>
                <w:szCs w:val="22"/>
              </w:rPr>
              <w:t>□无□有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58" w:line="220" w:lineRule="auto"/>
              <w:ind w:firstLine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□无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2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27" w:line="219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消防设施、器材</w:t>
            </w:r>
          </w:p>
          <w:p>
            <w:pPr>
              <w:spacing w:before="119" w:line="228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安全出口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:</w:t>
            </w:r>
          </w:p>
          <w:p>
            <w:pPr>
              <w:spacing w:before="88" w:line="194" w:lineRule="auto"/>
              <w:ind w:firstLine="23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室内消火栓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□应急照明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□疏散楼梯</w:t>
            </w:r>
            <w:r>
              <w:rPr>
                <w:rFonts w:ascii="宋体" w:hAnsi="宋体" w:eastAsia="宋体" w:cs="宋体"/>
                <w:spacing w:val="5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数量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:</w:t>
            </w:r>
          </w:p>
          <w:p>
            <w:pPr>
              <w:spacing w:before="108" w:line="211" w:lineRule="auto"/>
              <w:ind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□疏散指示标志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1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□灭火器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种类及其数量: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0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□其他消防设施、器材: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8" w:line="232" w:lineRule="auto"/>
              <w:ind w:firstLine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火灾风险情形</w:t>
            </w: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61" w:lineRule="auto"/>
              <w:ind w:left="131" w:righ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22"/>
                <w:szCs w:val="22"/>
              </w:rPr>
              <w:t>1.使用易燃可燃夹芯彩钢板或易燃材料搭建临时房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屋;</w:t>
            </w:r>
          </w:p>
          <w:p>
            <w:pPr>
              <w:spacing w:before="28" w:line="289" w:lineRule="auto"/>
              <w:ind w:left="131" w:righ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屋顶、围护结构、房间隔墙使用易燃可燃夹芯彩钢板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或易燃材料。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1" w:line="42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口是口否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31" w:righ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w w:val="105"/>
                <w:sz w:val="22"/>
                <w:szCs w:val="22"/>
              </w:rPr>
              <w:t>2.用于生产、经营的自建房,居住区域与生产、经营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区域未完全防火分隔;</w:t>
            </w:r>
          </w:p>
          <w:p>
            <w:pPr>
              <w:spacing w:before="49" w:line="279" w:lineRule="auto"/>
              <w:ind w:left="121" w:right="99" w:firstLine="1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position w:val="1"/>
                <w:sz w:val="22"/>
                <w:szCs w:val="22"/>
              </w:rPr>
              <w:t>前店后宅</w:t>
            </w:r>
            <w:r>
              <w:rPr>
                <w:rFonts w:hint="eastAsia" w:ascii="宋体" w:hAnsi="宋体" w:eastAsia="宋体" w:cs="宋体"/>
                <w:spacing w:val="11"/>
                <w:w w:val="103"/>
                <w:position w:val="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下店上宅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22"/>
                <w:szCs w:val="22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11"/>
                <w:w w:val="103"/>
                <w:sz w:val="22"/>
                <w:szCs w:val="22"/>
              </w:rPr>
              <w:t>未按规定进行防火分隔;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用于租住的自建房房间采用隔断方式改变原有格局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6"/>
                <w:sz w:val="22"/>
                <w:szCs w:val="22"/>
              </w:rPr>
              <w:t>设置群租房,或设置住人夹层</w:t>
            </w:r>
            <w:r>
              <w:rPr>
                <w:rFonts w:hint="eastAsia" w:ascii="宋体" w:hAnsi="宋体" w:eastAsia="宋体" w:cs="宋体"/>
                <w:spacing w:val="12"/>
                <w:w w:val="10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530" w:lineRule="exact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22"/>
                <w:szCs w:val="22"/>
              </w:rPr>
              <w:t>□是口否</w:t>
            </w:r>
          </w:p>
          <w:p>
            <w:pPr>
              <w:spacing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  <w:p>
            <w:pPr>
              <w:spacing w:before="247" w:line="220" w:lineRule="auto"/>
              <w:ind w:firstLine="1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口是口否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ectPr>
          <w:pgSz w:w="11920" w:h="16840"/>
          <w:pgMar w:top="1431" w:right="1364" w:bottom="400" w:left="1084" w:header="0" w:footer="0" w:gutter="0"/>
          <w:pgNumType w:fmt="numberInDash"/>
          <w:cols w:space="720" w:num="1"/>
        </w:sectPr>
      </w:pPr>
    </w:p>
    <w:p>
      <w:pPr>
        <w:spacing w:line="230" w:lineRule="exact"/>
      </w:pPr>
    </w:p>
    <w:tbl>
      <w:tblPr>
        <w:tblStyle w:val="5"/>
        <w:tblW w:w="9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9"/>
        <w:gridCol w:w="1568"/>
        <w:gridCol w:w="1768"/>
        <w:gridCol w:w="1508"/>
        <w:gridCol w:w="370"/>
        <w:gridCol w:w="819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49" w:line="215" w:lineRule="auto"/>
              <w:ind w:firstLine="37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02"/>
                <w:sz w:val="24"/>
                <w:szCs w:val="24"/>
              </w:rPr>
              <w:t>火灾风险情形</w:t>
            </w: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/>
              <w:ind w:left="120" w:righ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3.电动自行车、电动摩托车、电动平衡车及其蓄电池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在室内公共区域、疏散走道、楼梯间、安全出口或房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间内停放、充电;</w:t>
            </w:r>
          </w:p>
          <w:p>
            <w:pPr>
              <w:spacing w:before="13" w:line="245" w:lineRule="auto"/>
              <w:ind w:left="120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室外集中停放、充电区域及其设置的雨棚与建筑外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窗、安全出口直接相邻。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4" w:lineRule="auto"/>
              <w:ind w:left="120" w:righ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4.每层建筑面积超过200平方米的自建房、屋顶承重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构件和楼板为可燃材料的自建房、建筑层数为4层及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以上的自建房,疏散楼梯少于2部,首层安全出口少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于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61" w:lineRule="auto"/>
              <w:ind w:left="120" w:right="51" w:hanging="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5.外窗、疏散走道安装防盗网、广告牌、铁栅栏等影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响疏散逃生和灭火救援的障碍物(确需安装的应能够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从内部开启)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58" w:lineRule="auto"/>
              <w:ind w:left="120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6.用于租住的自建房内设置采用易燃可燃保温材料的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冷库、设置液氨制冷剂的冷库,生产、储存、经营易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燃易爆危险品的自建房设置居住场所。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44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7.地下室、半地下室使用瓶装液化石油气;</w:t>
            </w:r>
          </w:p>
          <w:p>
            <w:pPr>
              <w:spacing w:before="22" w:line="246" w:lineRule="auto"/>
              <w:ind w:left="120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配电箱、移动插座直接敷设放置在可燃物上,电气线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路未穿管保护,私搭乱接电气线路,使用不合格电器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产品,违规使用有引起明火隐患的取暖器具等违章用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火、用电、用气情形。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81" w:lineRule="auto"/>
              <w:ind w:left="120" w:right="2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8.供人员疏散穿行的场院、天井设置遮雨棚、遮阳棚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完全封闭,起火后烟气无法自然排出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9.未按规定配置消防设施器材或未保持完好有效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firstLine="1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10.存在重大火灾风险和重大隐患的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2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60" w:lineRule="auto"/>
              <w:ind w:left="354" w:right="9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排查人员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42" w:lineRule="auto"/>
              <w:ind w:left="203" w:right="61"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产权人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(使用管理人)</w:t>
            </w:r>
          </w:p>
          <w:p>
            <w:pPr>
              <w:spacing w:line="219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签字</w:t>
            </w:r>
          </w:p>
        </w:tc>
        <w:tc>
          <w:tcPr>
            <w:tcW w:w="15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347" w:right="9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排查登记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4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48" w:line="217" w:lineRule="auto"/>
              <w:ind w:firstLine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11"/>
                <w:sz w:val="24"/>
                <w:szCs w:val="24"/>
              </w:rPr>
              <w:t>备注</w:t>
            </w:r>
          </w:p>
        </w:tc>
        <w:tc>
          <w:tcPr>
            <w:tcW w:w="86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92" w:lineRule="auto"/>
              <w:ind w:left="13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3"/>
                <w:szCs w:val="23"/>
              </w:rPr>
              <w:t>1.此表由乡镇、社区按照自建房情况逐幢(院落)填写,存档备查</w:t>
            </w:r>
            <w:r>
              <w:rPr>
                <w:rFonts w:hint="eastAsia" w:ascii="宋体" w:hAnsi="宋体" w:eastAsia="宋体" w:cs="宋体"/>
                <w:spacing w:val="12"/>
                <w:w w:val="102"/>
                <w:sz w:val="23"/>
                <w:szCs w:val="23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2.具体使用功能分类示例:经营类包括超市商店、餐饮饭店、歌舞娱乐游艺放映、医疗卫生、教育培训、洗浴美发等,住宿类包括民宿客栈、集体宿舍等,生产加工</w:t>
            </w:r>
            <w:r>
              <w:rPr>
                <w:rFonts w:ascii="宋体" w:hAnsi="宋体" w:eastAsia="宋体" w:cs="宋体"/>
                <w:spacing w:val="13"/>
                <w:w w:val="101"/>
                <w:sz w:val="23"/>
                <w:szCs w:val="23"/>
              </w:rPr>
              <w:t>作坊类按照甲、乙类,丙类,丁、戊类等</w:t>
            </w:r>
            <w:r>
              <w:rPr>
                <w:rFonts w:hint="eastAsia" w:ascii="宋体" w:hAnsi="宋体" w:eastAsia="宋体" w:cs="宋体"/>
                <w:spacing w:val="13"/>
                <w:w w:val="101"/>
                <w:sz w:val="23"/>
                <w:szCs w:val="23"/>
                <w:lang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140" w:h="16990"/>
          <w:pgMar w:top="1444" w:right="1554" w:bottom="1019" w:left="1145" w:header="0" w:footer="866" w:gutter="0"/>
          <w:pgNumType w:fmt="numberInDash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68" w:line="161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18"/>
          <w:sz w:val="32"/>
          <w:szCs w:val="32"/>
        </w:rPr>
        <w:t>附件3: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行业部门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生产、经营、租住自建房火灾风险隐患综合治理整治措施清单</w:t>
      </w:r>
    </w:p>
    <w:tbl>
      <w:tblPr>
        <w:tblStyle w:val="5"/>
        <w:tblpPr w:leftFromText="180" w:rightFromText="180" w:vertAnchor="text" w:horzAnchor="page" w:tblpX="691" w:tblpY="319"/>
        <w:tblOverlap w:val="never"/>
        <w:tblW w:w="148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96"/>
        <w:gridCol w:w="1318"/>
        <w:gridCol w:w="955"/>
        <w:gridCol w:w="543"/>
        <w:gridCol w:w="744"/>
        <w:gridCol w:w="825"/>
        <w:gridCol w:w="624"/>
        <w:gridCol w:w="3180"/>
        <w:gridCol w:w="1549"/>
        <w:gridCol w:w="996"/>
        <w:gridCol w:w="1046"/>
        <w:gridCol w:w="764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村(社区)名称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建筑(场所) 名称</w:t>
            </w: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产权(使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用)单位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建筑层数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建筑 面积 ((m2)</w:t>
            </w: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使用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功能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68" w:line="161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住人数量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火灾风险隐患情形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管控、整改措 施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整改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时限</w:t>
            </w: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产权(使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用)单位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责任人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核查人员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连片地区</w:t>
            </w:r>
          </w:p>
          <w:p>
            <w:pPr>
              <w:spacing w:before="68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161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</w:t>
            </w:r>
          </w:p>
          <w:p>
            <w:pPr>
              <w:spacing w:before="68" w:line="16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/镇</w:t>
            </w: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5" w:line="219" w:lineRule="auto"/>
              <w:ind w:firstLine="2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XX村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7" w:line="219" w:lineRule="auto"/>
              <w:ind w:firstLine="1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XX社区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</w:t>
            </w:r>
          </w:p>
          <w:p>
            <w:pPr>
              <w:spacing w:line="388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行业</w:t>
            </w:r>
          </w:p>
          <w:p>
            <w:pPr>
              <w:spacing w:line="388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部门</w:t>
            </w:r>
          </w:p>
          <w:p>
            <w:pPr>
              <w:spacing w:before="117" w:line="221" w:lineRule="auto"/>
              <w:ind w:firstLine="160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6" w:line="219" w:lineRule="auto"/>
              <w:ind w:firstLine="2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89" w:line="207" w:lineRule="auto"/>
              <w:ind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填表说</w:t>
            </w:r>
            <w:r>
              <w:rPr>
                <w:rFonts w:ascii="宋体" w:hAnsi="宋体" w:eastAsia="宋体" w:cs="宋体"/>
                <w:spacing w:val="22"/>
                <w:w w:val="102"/>
                <w:position w:val="-1"/>
                <w:sz w:val="21"/>
                <w:szCs w:val="21"/>
              </w:rPr>
              <w:t>明</w:t>
            </w:r>
          </w:p>
        </w:tc>
        <w:tc>
          <w:tcPr>
            <w:tcW w:w="1422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8"/>
                <w:sz w:val="21"/>
                <w:szCs w:val="21"/>
              </w:rPr>
              <w:t>1.按照乡镇、村(社区)</w:t>
            </w:r>
            <w:r>
              <w:rPr>
                <w:rFonts w:hint="eastAsia" w:ascii="宋体" w:hAnsi="宋体" w:eastAsia="宋体" w:cs="宋体"/>
                <w:position w:val="8"/>
                <w:sz w:val="21"/>
                <w:szCs w:val="21"/>
                <w:lang w:eastAsia="zh-CN"/>
              </w:rPr>
              <w:t>、行业部门</w:t>
            </w:r>
            <w:r>
              <w:rPr>
                <w:rFonts w:ascii="宋体" w:hAnsi="宋体" w:eastAsia="宋体" w:cs="宋体"/>
                <w:position w:val="8"/>
                <w:sz w:val="21"/>
                <w:szCs w:val="21"/>
              </w:rPr>
              <w:t>名称分别填写,并报消防救援</w:t>
            </w:r>
            <w:r>
              <w:rPr>
                <w:rFonts w:hint="eastAsia" w:ascii="宋体" w:hAnsi="宋体" w:eastAsia="宋体" w:cs="宋体"/>
                <w:position w:val="8"/>
                <w:sz w:val="21"/>
                <w:szCs w:val="21"/>
                <w:lang w:eastAsia="zh-CN"/>
              </w:rPr>
              <w:t>大队。</w:t>
            </w:r>
          </w:p>
          <w:p>
            <w:pPr>
              <w:spacing w:line="218" w:lineRule="auto"/>
              <w:ind w:firstLine="13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2.使用功能按照生产、经营或者租住分类填写、具体火灾风险情形按照附表1中列举的情形填写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29" w:lineRule="auto"/>
        <w:ind w:firstLine="7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position w:val="-3"/>
          <w:sz w:val="20"/>
          <w:szCs w:val="20"/>
        </w:rPr>
        <w:t>审核人</w:t>
      </w:r>
      <w:r>
        <w:rPr>
          <w:rFonts w:ascii="宋体" w:hAnsi="宋体" w:eastAsia="宋体" w:cs="宋体"/>
          <w:spacing w:val="-43"/>
          <w:position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-3"/>
          <w:sz w:val="20"/>
          <w:szCs w:val="20"/>
        </w:rPr>
        <w:t>:</w:t>
      </w:r>
      <w:r>
        <w:rPr>
          <w:rFonts w:ascii="宋体" w:hAnsi="宋体" w:eastAsia="宋体" w:cs="宋体"/>
          <w:spacing w:val="2"/>
          <w:position w:val="-3"/>
          <w:sz w:val="20"/>
          <w:szCs w:val="20"/>
        </w:rPr>
        <w:t xml:space="preserve">                               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  填表人 :   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            </w:t>
      </w:r>
      <w:r>
        <w:rPr>
          <w:rFonts w:hint="eastAsia" w:ascii="仿宋" w:hAnsi="仿宋" w:eastAsia="仿宋" w:cs="仿宋"/>
          <w:spacing w:val="4"/>
          <w:sz w:val="20"/>
          <w:szCs w:val="20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4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填报时间</w:t>
      </w:r>
      <w:r>
        <w:rPr>
          <w:rFonts w:ascii="宋体" w:hAnsi="宋体" w:eastAsia="宋体" w:cs="宋体"/>
          <w:spacing w:val="-3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: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                          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联系电话:</w:t>
      </w:r>
    </w:p>
    <w:p>
      <w:pPr>
        <w:sectPr>
          <w:footerReference r:id="rId9" w:type="default"/>
          <w:pgSz w:w="16840" w:h="11920"/>
          <w:pgMar w:top="1013" w:right="1014" w:bottom="1267" w:left="424" w:header="0" w:footer="1100" w:gutter="0"/>
          <w:pgNumType w:fmt="numberInDash"/>
          <w:cols w:space="720" w:num="1"/>
        </w:sectPr>
      </w:pPr>
    </w:p>
    <w:p>
      <w:pPr>
        <w:spacing w:before="227" w:line="222" w:lineRule="auto"/>
        <w:ind w:firstLine="69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"/>
          <w:sz w:val="36"/>
          <w:szCs w:val="36"/>
        </w:rPr>
        <w:t>附件4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行业部门</w:t>
      </w:r>
    </w:p>
    <w:p>
      <w:pPr>
        <w:spacing w:before="68" w:line="161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生产、经营、租住自建房火灾风险综合治理进展情况汇总表</w:t>
      </w:r>
    </w:p>
    <w:p>
      <w:pPr>
        <w:spacing w:line="45" w:lineRule="exact"/>
      </w:pPr>
    </w:p>
    <w:tbl>
      <w:tblPr>
        <w:tblStyle w:val="5"/>
        <w:tblW w:w="15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69"/>
        <w:gridCol w:w="440"/>
        <w:gridCol w:w="859"/>
        <w:gridCol w:w="130"/>
        <w:gridCol w:w="390"/>
        <w:gridCol w:w="380"/>
        <w:gridCol w:w="210"/>
        <w:gridCol w:w="829"/>
        <w:gridCol w:w="320"/>
        <w:gridCol w:w="420"/>
        <w:gridCol w:w="220"/>
        <w:gridCol w:w="490"/>
        <w:gridCol w:w="430"/>
        <w:gridCol w:w="834"/>
        <w:gridCol w:w="858"/>
        <w:gridCol w:w="271"/>
        <w:gridCol w:w="568"/>
        <w:gridCol w:w="706"/>
        <w:gridCol w:w="1129"/>
        <w:gridCol w:w="599"/>
        <w:gridCol w:w="350"/>
        <w:gridCol w:w="450"/>
        <w:gridCol w:w="520"/>
        <w:gridCol w:w="753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排查自建房(幢)</w:t>
            </w:r>
          </w:p>
        </w:tc>
        <w:tc>
          <w:tcPr>
            <w:tcW w:w="181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连片地区(个)</w:t>
            </w:r>
          </w:p>
        </w:tc>
        <w:tc>
          <w:tcPr>
            <w:tcW w:w="11628" w:type="dxa"/>
            <w:gridSpan w:val="2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48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自建房使用功能情况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46" w:lineRule="auto"/>
              <w:ind w:left="552" w:right="300" w:hanging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生产类场所(含储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存)(个)</w:t>
            </w:r>
          </w:p>
        </w:tc>
        <w:tc>
          <w:tcPr>
            <w:tcW w:w="19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firstLine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经营类场所(个)</w:t>
            </w: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firstLine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租住类场所(个)</w:t>
            </w: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0" w:lineRule="auto"/>
              <w:ind w:left="277" w:right="190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"三合一""多合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一"场所(个)</w:t>
            </w:r>
          </w:p>
        </w:tc>
        <w:tc>
          <w:tcPr>
            <w:tcW w:w="33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8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有易燃易爆危险品的场所(个)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77" w:lineRule="auto"/>
              <w:ind w:left="145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存在的火灾风险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隐患总数(处)</w:t>
            </w:r>
          </w:p>
        </w:tc>
        <w:tc>
          <w:tcPr>
            <w:tcW w:w="5118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排查整治火灾风险隐患数量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firstLine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连片地区治理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政府挂</w:t>
            </w:r>
          </w:p>
          <w:p>
            <w:pPr>
              <w:spacing w:before="21"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牌督办</w:t>
            </w:r>
          </w:p>
          <w:p>
            <w:pPr>
              <w:spacing w:before="50" w:line="22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" w:line="220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清理</w:t>
            </w:r>
          </w:p>
          <w:p>
            <w:pPr>
              <w:spacing w:before="70" w:line="221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违规</w:t>
            </w:r>
          </w:p>
          <w:p>
            <w:pPr>
              <w:spacing w:before="18" w:line="219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住宿</w:t>
            </w:r>
          </w:p>
          <w:p>
            <w:pPr>
              <w:spacing w:before="50" w:line="221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人员</w:t>
            </w:r>
          </w:p>
          <w:p>
            <w:pPr>
              <w:spacing w:before="39" w:line="222" w:lineRule="auto"/>
              <w:ind w:firstLine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人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6" w:line="252" w:lineRule="auto"/>
              <w:ind w:left="346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钢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板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违章建</w:t>
            </w:r>
          </w:p>
          <w:p>
            <w:pPr>
              <w:spacing w:before="41" w:line="237" w:lineRule="auto"/>
              <w:ind w:firstLine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</w:t>
            </w:r>
          </w:p>
          <w:p>
            <w:pPr>
              <w:spacing w:line="222" w:lineRule="auto"/>
              <w:ind w:firstLine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(m2)</w:t>
            </w:r>
          </w:p>
        </w:tc>
        <w:tc>
          <w:tcPr>
            <w:tcW w:w="94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7" w:line="221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增设安</w:t>
            </w:r>
          </w:p>
          <w:p>
            <w:pPr>
              <w:spacing w:before="48" w:line="223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全出</w:t>
            </w:r>
          </w:p>
          <w:p>
            <w:pPr>
              <w:spacing w:before="77" w:line="221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口、疏</w:t>
            </w:r>
          </w:p>
          <w:p>
            <w:pPr>
              <w:spacing w:before="18" w:line="219" w:lineRule="auto"/>
              <w:ind w:firstLine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散楼梯</w:t>
            </w:r>
          </w:p>
          <w:p>
            <w:pPr>
              <w:spacing w:before="50" w:line="219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9" w:line="254" w:lineRule="auto"/>
              <w:ind w:left="59" w:right="47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盗网、广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告牌、铁</w:t>
            </w:r>
          </w:p>
          <w:p>
            <w:pPr>
              <w:spacing w:before="42" w:line="290" w:lineRule="exact"/>
              <w:ind w:firstLine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1"/>
                <w:szCs w:val="21"/>
              </w:rPr>
              <w:t>栅栏</w:t>
            </w:r>
          </w:p>
          <w:p>
            <w:pPr>
              <w:spacing w:line="222" w:lineRule="auto"/>
              <w:ind w:firstLine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)</w:t>
            </w: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6" w:line="267" w:lineRule="auto"/>
              <w:ind w:left="168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清理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行</w:t>
            </w:r>
          </w:p>
          <w:p>
            <w:pPr>
              <w:spacing w:before="2" w:line="243" w:lineRule="auto"/>
              <w:ind w:left="168" w:right="108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辆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)</w:t>
            </w:r>
          </w:p>
        </w:tc>
        <w:tc>
          <w:tcPr>
            <w:tcW w:w="12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270" w:lineRule="auto"/>
              <w:ind w:left="116" w:righ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建设电动自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行车集中停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放场所和充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电设施(个)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691" w:right="106" w:hanging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十类重大火灾风险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隐患(处)</w:t>
            </w:r>
          </w:p>
        </w:tc>
        <w:tc>
          <w:tcPr>
            <w:tcW w:w="19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70" w:lineRule="auto"/>
              <w:ind w:left="692" w:right="133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其他火灾风险隐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(处)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1"/>
                <w:szCs w:val="21"/>
              </w:rPr>
              <w:t>总整</w:t>
            </w:r>
          </w:p>
          <w:p>
            <w:pPr>
              <w:spacing w:line="219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改率</w:t>
            </w:r>
          </w:p>
        </w:tc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拆除</w:t>
            </w:r>
          </w:p>
          <w:p>
            <w:pPr>
              <w:spacing w:before="40" w:line="219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个</w:t>
            </w: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列入改</w:t>
            </w:r>
          </w:p>
          <w:p>
            <w:pPr>
              <w:spacing w:before="30" w:line="252" w:lineRule="auto"/>
              <w:ind w:left="189" w:right="72" w:hanging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造计划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83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firstLine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排查</w:t>
            </w:r>
          </w:p>
        </w:tc>
        <w:tc>
          <w:tcPr>
            <w:tcW w:w="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4" w:lineRule="auto"/>
              <w:ind w:firstLine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已整治</w:t>
            </w:r>
          </w:p>
        </w:tc>
        <w:tc>
          <w:tcPr>
            <w:tcW w:w="10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1" w:lineRule="auto"/>
              <w:ind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排查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4" w:lineRule="auto"/>
              <w:ind w:firstLine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已整治</w:t>
            </w:r>
          </w:p>
        </w:tc>
        <w:tc>
          <w:tcPr>
            <w:tcW w:w="92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4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1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监督执法情况</w:t>
            </w:r>
          </w:p>
        </w:tc>
        <w:tc>
          <w:tcPr>
            <w:tcW w:w="354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1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强化技防情况</w:t>
            </w:r>
          </w:p>
        </w:tc>
        <w:tc>
          <w:tcPr>
            <w:tcW w:w="24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应急力量建设情况</w:t>
            </w:r>
          </w:p>
        </w:tc>
        <w:tc>
          <w:tcPr>
            <w:tcW w:w="509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1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宣传教育情况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69" w:lineRule="auto"/>
              <w:ind w:left="255" w:right="223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(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万元)</w:t>
            </w: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firstLine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临时查</w:t>
            </w:r>
          </w:p>
          <w:p>
            <w:pPr>
              <w:spacing w:before="91" w:line="221" w:lineRule="auto"/>
              <w:ind w:firstLine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封</w:t>
            </w:r>
          </w:p>
          <w:p>
            <w:pPr>
              <w:spacing w:before="37" w:line="206" w:lineRule="auto"/>
              <w:ind w:firstLine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责令三</w:t>
            </w:r>
          </w:p>
          <w:p>
            <w:pPr>
              <w:spacing w:before="51" w:line="22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停单位</w:t>
            </w:r>
          </w:p>
          <w:p>
            <w:pPr>
              <w:spacing w:before="49" w:line="197" w:lineRule="auto"/>
              <w:ind w:firstLine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9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320" w:lineRule="exact"/>
              <w:ind w:firstLine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1"/>
                <w:szCs w:val="21"/>
              </w:rPr>
              <w:t>拘留</w:t>
            </w:r>
          </w:p>
          <w:p>
            <w:pPr>
              <w:spacing w:line="222" w:lineRule="auto"/>
              <w:ind w:firstLine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安装简易</w:t>
            </w:r>
          </w:p>
          <w:p>
            <w:pPr>
              <w:spacing w:before="61" w:line="218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喷淋设施</w:t>
            </w:r>
          </w:p>
          <w:p>
            <w:pPr>
              <w:spacing w:before="51" w:line="206" w:lineRule="auto"/>
              <w:ind w:firstLine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)</w:t>
            </w:r>
          </w:p>
        </w:tc>
        <w:tc>
          <w:tcPr>
            <w:tcW w:w="11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安装独立</w:t>
            </w:r>
          </w:p>
          <w:p>
            <w:pPr>
              <w:spacing w:before="50" w:line="230" w:lineRule="auto"/>
              <w:ind w:left="243" w:right="154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感烟报警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器(个)</w:t>
            </w:r>
          </w:p>
        </w:tc>
        <w:tc>
          <w:tcPr>
            <w:tcW w:w="12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94" w:lineRule="auto"/>
              <w:ind w:left="94" w:righ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安装漏电保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护装置(套)</w:t>
            </w:r>
          </w:p>
        </w:tc>
        <w:tc>
          <w:tcPr>
            <w:tcW w:w="1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86" w:lineRule="auto"/>
              <w:ind w:left="129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实地调研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熟悉(次)</w:t>
            </w:r>
          </w:p>
        </w:tc>
        <w:tc>
          <w:tcPr>
            <w:tcW w:w="12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50" w:lineRule="auto"/>
              <w:ind w:left="100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建立微型消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防站或志愿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消防队(个)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69" w:lineRule="auto"/>
              <w:ind w:left="136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开展业务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培训(次)</w:t>
            </w:r>
          </w:p>
        </w:tc>
        <w:tc>
          <w:tcPr>
            <w:tcW w:w="13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86" w:lineRule="auto"/>
              <w:ind w:left="287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组织媒体曝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光(次)</w:t>
            </w:r>
          </w:p>
        </w:tc>
        <w:tc>
          <w:tcPr>
            <w:tcW w:w="12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86" w:lineRule="auto"/>
              <w:ind w:left="129" w:righ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发放宣传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资料(份)</w:t>
            </w:r>
          </w:p>
        </w:tc>
        <w:tc>
          <w:tcPr>
            <w:tcW w:w="1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86" w:lineRule="auto"/>
              <w:ind w:left="106" w:righ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开展疏散逃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生演练(次)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" w:line="231" w:lineRule="auto"/>
        <w:ind w:firstLine="615"/>
        <w:rPr>
          <w:rFonts w:hint="eastAsia" w:ascii="宋体" w:hAnsi="宋体" w:eastAsia="宋体" w:cs="宋体"/>
          <w:spacing w:val="-7"/>
          <w:position w:val="-5"/>
          <w:sz w:val="22"/>
          <w:szCs w:val="22"/>
          <w:lang w:eastAsia="zh-CN"/>
        </w:rPr>
        <w:sectPr>
          <w:footerReference r:id="rId10" w:type="default"/>
          <w:pgSz w:w="16838" w:h="11923" w:orient="landscape"/>
          <w:pgMar w:top="1015" w:right="1071" w:bottom="1366" w:left="573" w:header="0" w:footer="1213" w:gutter="0"/>
          <w:pgNumType w:fmt="numberInDash"/>
          <w:cols w:space="0" w:num="1"/>
        </w:sectPr>
      </w:pPr>
      <w:r>
        <w:rPr>
          <w:rFonts w:ascii="仿宋" w:hAnsi="仿宋" w:eastAsia="仿宋" w:cs="仿宋"/>
          <w:spacing w:val="-7"/>
          <w:position w:val="5"/>
          <w:sz w:val="22"/>
          <w:szCs w:val="22"/>
        </w:rPr>
        <w:t>审核人:</w:t>
      </w:r>
      <w:r>
        <w:rPr>
          <w:rFonts w:ascii="仿宋" w:hAnsi="仿宋" w:eastAsia="仿宋" w:cs="仿宋"/>
          <w:spacing w:val="3"/>
          <w:position w:val="5"/>
          <w:sz w:val="22"/>
          <w:szCs w:val="22"/>
        </w:rPr>
        <w:t xml:space="preserve">                                   </w:t>
      </w:r>
      <w:r>
        <w:rPr>
          <w:rFonts w:ascii="宋体" w:hAnsi="宋体" w:eastAsia="宋体" w:cs="宋体"/>
          <w:spacing w:val="-7"/>
          <w:position w:val="2"/>
          <w:sz w:val="22"/>
          <w:szCs w:val="22"/>
        </w:rPr>
        <w:t>填表人:</w:t>
      </w:r>
      <w:r>
        <w:rPr>
          <w:rFonts w:ascii="宋体" w:hAnsi="宋体" w:eastAsia="宋体" w:cs="宋体"/>
          <w:spacing w:val="3"/>
          <w:position w:val="2"/>
          <w:sz w:val="22"/>
          <w:szCs w:val="22"/>
        </w:rPr>
        <w:t xml:space="preserve">                           </w:t>
      </w:r>
      <w:r>
        <w:rPr>
          <w:rFonts w:ascii="宋体" w:hAnsi="宋体" w:eastAsia="宋体" w:cs="宋体"/>
          <w:spacing w:val="-7"/>
          <w:position w:val="-1"/>
          <w:sz w:val="22"/>
          <w:szCs w:val="22"/>
        </w:rPr>
        <w:t>填报时间:</w:t>
      </w:r>
      <w:r>
        <w:rPr>
          <w:rFonts w:ascii="宋体" w:hAnsi="宋体" w:eastAsia="宋体" w:cs="宋体"/>
          <w:spacing w:val="5"/>
          <w:position w:val="-1"/>
          <w:sz w:val="22"/>
          <w:szCs w:val="22"/>
        </w:rPr>
        <w:t xml:space="preserve">                   </w:t>
      </w:r>
      <w:r>
        <w:rPr>
          <w:rFonts w:ascii="宋体" w:hAnsi="宋体" w:eastAsia="宋体" w:cs="宋体"/>
          <w:spacing w:val="-7"/>
          <w:position w:val="-5"/>
          <w:sz w:val="22"/>
          <w:szCs w:val="22"/>
        </w:rPr>
        <w:t>联系电</w:t>
      </w:r>
      <w:r>
        <w:rPr>
          <w:rFonts w:hint="eastAsia" w:ascii="宋体" w:hAnsi="宋体" w:eastAsia="宋体" w:cs="宋体"/>
          <w:spacing w:val="-7"/>
          <w:position w:val="-5"/>
          <w:sz w:val="22"/>
          <w:szCs w:val="22"/>
          <w:lang w:eastAsia="zh-CN"/>
        </w:rPr>
        <w:t>话：</w:t>
      </w:r>
    </w:p>
    <w:p>
      <w:pPr>
        <w:pStyle w:val="2"/>
      </w:pPr>
    </w:p>
    <w:sectPr>
      <w:footerReference r:id="rId11" w:type="default"/>
      <w:pgSz w:w="11923" w:h="16838"/>
      <w:pgMar w:top="1071" w:right="1366" w:bottom="573" w:left="1015" w:header="0" w:footer="1213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9" w:lineRule="exact"/>
      <w:rPr>
        <w:rFonts w:ascii="幼圆" w:hAnsi="幼圆" w:eastAsia="幼圆" w:cs="幼圆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hCC3N0BAAC9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9&#10;Sur0Ia4o6S5QGg5v/EA7M/sjORPpoQWb/kSHUZy0PV20VQMymS4tq+WypJCk2Hwg/OL+eoCI75S3&#10;LBk1Bxpe1lQcP0QcU+eUVM35W21MHqBx/zgIM3mK1PvYY7Jw2A0ToZ1vTsSHXgHV6Tx846ynHai5&#10;o5XnzLx3JHFal9mA2djNhnCSLtYcORvNtziu1SGA3nd50VJTMdwckDrNBFIbY+2pO5pqlmDawLQ2&#10;D8856/7V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oQgtz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6919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FMuHt0BAAC9AwAADgAAAGRycy9lMm9Eb2MueG1srVPBjtMwEL0j8Q+W&#10;7zTZroS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BTLh7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rFonts w:ascii="Arial" w:hAnsi="Arial" w:eastAsia="Arial" w:cs="Arial"/>
        <w:snapToGrid w:val="0"/>
        <w:color w:val="000000"/>
        <w:kern w:val="0"/>
        <w:sz w:val="2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ZD4Pt0BAAC9AwAADgAAAGRycy9lMm9Eb2MueG1srVPBjtMwEL0j8Q+W&#10;7zTZaoW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WQ+D7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4675"/>
      <w:rPr>
        <w:rFonts w:ascii="幼圆" w:hAnsi="幼圆" w:eastAsia="幼圆" w:cs="幼圆"/>
        <w:sz w:val="22"/>
        <w:szCs w:val="22"/>
      </w:rPr>
    </w:pPr>
    <w:r>
      <w:rPr>
        <w:rFonts w:ascii="Arial" w:hAnsi="Arial" w:eastAsia="Arial" w:cs="Arial"/>
        <w:snapToGrid w:val="0"/>
        <w:color w:val="000000"/>
        <w:kern w:val="0"/>
        <w:sz w:val="22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/TVPz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napToGrid w:val="0"/>
        <w:color w:val="000000"/>
        <w:kern w:val="0"/>
        <w:sz w:val="24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- 15 -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BDRYNwBAAC9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- 15 -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7505"/>
      <w:rPr>
        <w:rFonts w:ascii="幼圆" w:hAnsi="幼圆" w:eastAsia="幼圆" w:cs="幼圆"/>
        <w:sz w:val="22"/>
        <w:szCs w:val="22"/>
      </w:rPr>
    </w:pPr>
    <w:r>
      <w:rPr>
        <w:rFonts w:ascii="Arial" w:hAnsi="Arial" w:eastAsia="Arial" w:cs="Arial"/>
        <w:snapToGrid w:val="0"/>
        <w:color w:val="000000"/>
        <w:kern w:val="0"/>
        <w:sz w:val="22"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N9ot0BAAC9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9fr&#10;pE4fsKKku0BpcXjtB9qZ2Y/kTKSHFmz6Ex1GcdL2dNFWDZHJdGm1XK1KCkmKzQfCLx6uB8D4VnnL&#10;klFzoOFlTcXxPcYxdU5J1Zy/1cbkARr3l4Mwk6dIvY89JisOu2EitPPNifjQK6A6nYcvnPW0AzV3&#10;tPKcmXeOJE7rMhswG7vZEE7SxZpHzkbzTRzX6hBA77u8aKkpDK8OkTrNBFIbY+2pO5pqlmDawLQ2&#10;f55z1sOr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BpTfaLdAQAAv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2" w:lineRule="exact"/>
      <w:ind w:firstLine="7505"/>
      <w:rPr>
        <w:rFonts w:ascii="幼圆" w:hAnsi="幼圆" w:eastAsia="幼圆" w:cs="幼圆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119DF"/>
    <w:multiLevelType w:val="singleLevel"/>
    <w:tmpl w:val="F92119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417B1D"/>
    <w:multiLevelType w:val="singleLevel"/>
    <w:tmpl w:val="62417B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00000000"/>
    <w:rsid w:val="1DAE4AB1"/>
    <w:rsid w:val="348712BD"/>
    <w:rsid w:val="668A6490"/>
    <w:rsid w:val="72713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7922</Words>
  <Characters>8110</Characters>
  <Lines>0</Lines>
  <Paragraphs>0</Paragraphs>
  <TotalTime>2</TotalTime>
  <ScaleCrop>false</ScaleCrop>
  <LinksUpToDate>false</LinksUpToDate>
  <CharactersWithSpaces>8815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2022-03-24T07:30:00Z</dcterms:created>
  <dc:creator>Lenovo</dc:creator>
  <cp:lastModifiedBy>XURUIRUI</cp:lastModifiedBy>
  <cp:lastPrinted>2022-04-18T09:01:00Z</cp:lastPrinted>
  <dcterms:modified xsi:type="dcterms:W3CDTF">2025-07-30T07:50:19Z</dcterms:modified>
  <dc:title>翼安委办发〔2022〕12号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2022-03-24T15:30:00Z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C1D45F2117E8482098046BAE264C06D1</vt:lpwstr>
  </property>
</Properties>
</file>