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2" w:lineRule="auto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"/>
          <w:sz w:val="36"/>
          <w:szCs w:val="36"/>
        </w:rPr>
        <w:t>附件</w:t>
      </w:r>
      <w:r>
        <w:rPr>
          <w:rFonts w:hint="eastAsia" w:ascii="仿宋" w:hAnsi="仿宋" w:eastAsia="仿宋" w:cs="仿宋"/>
          <w:spacing w:val="-3"/>
          <w:sz w:val="36"/>
          <w:szCs w:val="36"/>
          <w:lang w:val="en-US" w:eastAsia="zh-CN"/>
        </w:rPr>
        <w:t>1</w:t>
      </w:r>
      <w:r>
        <w:rPr>
          <w:rFonts w:ascii="仿宋" w:hAnsi="仿宋" w:eastAsia="仿宋" w:cs="仿宋"/>
          <w:spacing w:val="-3"/>
          <w:sz w:val="36"/>
          <w:szCs w:val="36"/>
        </w:rPr>
        <w:t>:</w:t>
      </w:r>
    </w:p>
    <w:p>
      <w:pPr>
        <w:spacing w:before="57" w:line="219" w:lineRule="auto"/>
        <w:ind w:firstLine="198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9"/>
          <w:sz w:val="36"/>
          <w:szCs w:val="36"/>
        </w:rPr>
        <w:t>生产、经营、租住自建房火灾风险隐患排查整治标准(供参考)</w:t>
      </w:r>
    </w:p>
    <w:p>
      <w:pPr>
        <w:spacing w:line="18" w:lineRule="exact"/>
      </w:pPr>
    </w:p>
    <w:tbl>
      <w:tblPr>
        <w:tblStyle w:val="3"/>
        <w:tblW w:w="13999" w:type="dxa"/>
        <w:tblInd w:w="1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1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1" w:lineRule="auto"/>
              <w:ind w:firstLine="5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排查重点</w:t>
            </w:r>
          </w:p>
        </w:tc>
        <w:tc>
          <w:tcPr>
            <w:tcW w:w="118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firstLine="5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整</w:t>
            </w: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标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2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19" w:lineRule="auto"/>
              <w:ind w:firstLine="5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建筑布局</w:t>
            </w:r>
          </w:p>
        </w:tc>
        <w:tc>
          <w:tcPr>
            <w:tcW w:w="118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33" w:lineRule="auto"/>
              <w:ind w:firstLine="15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1.不得使用易燃可燃夹芯彩钢板或易燃材料搭建临时房屋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。</w:t>
            </w:r>
          </w:p>
          <w:p>
            <w:pPr>
              <w:spacing w:line="218" w:lineRule="auto"/>
              <w:ind w:firstLine="15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2.供人员疏散穿行的内院、天井不得设置顶棚、雨棚影响自然排烟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48" w:line="216" w:lineRule="auto"/>
              <w:ind w:firstLine="15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3.住宿内部隔墙应采用不燃烧体,且应砌筑至楼板底部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39" w:line="239" w:lineRule="auto"/>
              <w:ind w:left="152" w:righ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21"/>
                <w:szCs w:val="21"/>
              </w:rPr>
              <w:t>4.供人员租住的场所室内净高不得小于2.4m</w:t>
            </w:r>
            <w:r>
              <w:rPr>
                <w:rFonts w:hint="eastAsia" w:ascii="宋体" w:hAnsi="宋体" w:eastAsia="宋体" w:cs="宋体"/>
                <w:spacing w:val="12"/>
                <w:w w:val="105"/>
                <w:sz w:val="21"/>
                <w:szCs w:val="21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</w:t>
            </w:r>
          </w:p>
          <w:p>
            <w:pPr>
              <w:spacing w:before="39" w:line="239" w:lineRule="auto"/>
              <w:ind w:left="152" w:righ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5"/>
                <w:sz w:val="21"/>
                <w:szCs w:val="21"/>
              </w:rPr>
              <w:t>5.房间采用隔断方式改变原有格局设置群租房,人均租住使用面积不得小于6</w:t>
            </w: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m2</w:t>
            </w:r>
            <w:r>
              <w:rPr>
                <w:rFonts w:ascii="宋体" w:hAnsi="宋体" w:eastAsia="宋体" w:cs="宋体"/>
                <w:spacing w:val="11"/>
                <w:w w:val="105"/>
                <w:sz w:val="21"/>
                <w:szCs w:val="21"/>
              </w:rPr>
              <w:t>,且应符合《山西省租赁住房</w:t>
            </w: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改建导则》(试行)的有关隔断要求</w:t>
            </w:r>
            <w:r>
              <w:rPr>
                <w:rFonts w:hint="eastAsia" w:ascii="宋体" w:hAnsi="宋体" w:eastAsia="宋体" w:cs="宋体"/>
                <w:spacing w:val="12"/>
                <w:w w:val="104"/>
                <w:sz w:val="21"/>
                <w:szCs w:val="21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                                             </w:t>
            </w:r>
          </w:p>
          <w:p>
            <w:pPr>
              <w:spacing w:before="39" w:line="239" w:lineRule="auto"/>
              <w:ind w:left="152" w:right="13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6.租住住房不得将过道、厨房、卫生间、阳台、储物间和地下储藏室改建为居室,或影响、破坏其功能使用</w:t>
            </w:r>
            <w:r>
              <w:rPr>
                <w:rFonts w:hint="eastAsia" w:ascii="宋体" w:hAnsi="宋体" w:eastAsia="宋体" w:cs="宋体"/>
                <w:spacing w:val="12"/>
                <w:w w:val="10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</w:trPr>
        <w:tc>
          <w:tcPr>
            <w:tcW w:w="2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firstLine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违规住人</w:t>
            </w:r>
          </w:p>
        </w:tc>
        <w:tc>
          <w:tcPr>
            <w:tcW w:w="118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330" w:lineRule="exact"/>
              <w:ind w:firstLine="152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position w:val="7"/>
                <w:sz w:val="23"/>
                <w:szCs w:val="23"/>
              </w:rPr>
              <w:t>1.生产、储存、经营易燃易爆危险品的自建房不得设置居住场所</w:t>
            </w:r>
            <w:r>
              <w:rPr>
                <w:rFonts w:hint="eastAsia" w:ascii="宋体" w:hAnsi="宋体" w:eastAsia="宋体" w:cs="宋体"/>
                <w:spacing w:val="7"/>
                <w:position w:val="7"/>
                <w:sz w:val="23"/>
                <w:szCs w:val="23"/>
                <w:lang w:eastAsia="zh-CN"/>
              </w:rPr>
              <w:t>。</w:t>
            </w:r>
          </w:p>
          <w:p>
            <w:pPr>
              <w:spacing w:line="219" w:lineRule="auto"/>
              <w:ind w:firstLine="152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2.在使用性质为厂房或仓库内的自建房内不得设置居住场所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。</w:t>
            </w:r>
          </w:p>
          <w:p>
            <w:pPr>
              <w:spacing w:before="16" w:line="310" w:lineRule="exact"/>
              <w:ind w:firstLine="152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1"/>
                <w:position w:val="5"/>
                <w:sz w:val="23"/>
                <w:szCs w:val="23"/>
              </w:rPr>
              <w:t>3.严禁违规设置夹层住人</w:t>
            </w:r>
            <w:r>
              <w:rPr>
                <w:rFonts w:hint="eastAsia" w:ascii="宋体" w:hAnsi="宋体" w:eastAsia="宋体" w:cs="宋体"/>
                <w:spacing w:val="1"/>
                <w:position w:val="5"/>
                <w:sz w:val="23"/>
                <w:szCs w:val="23"/>
                <w:lang w:eastAsia="zh-CN"/>
              </w:rPr>
              <w:t>。</w:t>
            </w:r>
          </w:p>
          <w:p>
            <w:pPr>
              <w:spacing w:line="219" w:lineRule="auto"/>
              <w:ind w:firstLine="152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3"/>
                <w:szCs w:val="23"/>
              </w:rPr>
              <w:t>4.合用场所(生产、储存、经营与住宿)严禁在地下室、半地下室设置居住场所</w:t>
            </w:r>
            <w:r>
              <w:rPr>
                <w:rFonts w:hint="eastAsia" w:ascii="宋体" w:hAnsi="宋体" w:eastAsia="宋体" w:cs="宋体"/>
                <w:spacing w:val="11"/>
                <w:w w:val="101"/>
                <w:sz w:val="23"/>
                <w:szCs w:val="23"/>
                <w:lang w:eastAsia="zh-CN"/>
              </w:rPr>
              <w:t>。</w:t>
            </w:r>
          </w:p>
          <w:p>
            <w:pPr>
              <w:spacing w:before="17" w:line="219" w:lineRule="auto"/>
              <w:ind w:firstLine="152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5.严禁在建筑耐火等级低于二级的自建房内设置合用场所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。</w:t>
            </w:r>
          </w:p>
          <w:p>
            <w:pPr>
              <w:spacing w:before="25" w:line="234" w:lineRule="auto"/>
              <w:ind w:left="152" w:right="103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23"/>
                <w:szCs w:val="23"/>
              </w:rPr>
              <w:t>6.场所建筑高度大于</w:t>
            </w:r>
            <w:r>
              <w:rPr>
                <w:rFonts w:ascii="宋体" w:hAnsi="宋体" w:eastAsia="宋体" w:cs="宋体"/>
                <w:spacing w:val="-2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4"/>
                <w:sz w:val="23"/>
                <w:szCs w:val="23"/>
              </w:rPr>
              <w:t>15m,或建筑面积大于2000m2,或住宿人数超过20人的合用场所应采用不开门窗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洞口的防火隔墙、楼板等将住宿部分与非住宿部分完全分隔,且应分别设置独立的疏散设施</w:t>
            </w: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</w:t>
            </w:r>
            <w:r>
              <w:rPr>
                <w:rFonts w:ascii="宋体" w:hAnsi="宋体" w:eastAsia="宋体" w:cs="宋体"/>
                <w:spacing w:val="12"/>
                <w:w w:val="102"/>
                <w:sz w:val="23"/>
                <w:szCs w:val="23"/>
              </w:rPr>
              <w:t>7.住宿人数少于20人的合用场所,其住宿与非住宿部分应完全分隔,当无法分隔时,应设置自动喷水灭火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3"/>
                <w:szCs w:val="23"/>
              </w:rPr>
              <w:t>系统或自动喷水局部应用系统,当设置独立的疏散设施确有困难时,应设置室外金属梯、配备逃生避难设施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的阳台和外窗等独立的辅助疏散设施;应设置火灾自动报警系统或独立式感烟火灾探测器</w:t>
            </w: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2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4" w:line="255" w:lineRule="auto"/>
              <w:ind w:left="814" w:right="342" w:hanging="4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用火用电用气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管理</w:t>
            </w:r>
          </w:p>
        </w:tc>
        <w:tc>
          <w:tcPr>
            <w:tcW w:w="118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37" w:lineRule="auto"/>
              <w:ind w:left="152" w:right="96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1.严禁地下室、半地下室或高层部分使用瓶装液化石油气钢瓶,存放液化石油气钢瓶的厨房应采取防火分隔</w:t>
            </w:r>
            <w:r>
              <w:rPr>
                <w:rFonts w:ascii="宋体" w:hAnsi="宋体" w:eastAsia="宋体" w:cs="宋体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措施,且设置自然排风窗</w:t>
            </w: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eastAsia="zh-CN"/>
              </w:rPr>
              <w:t>。</w:t>
            </w:r>
          </w:p>
          <w:p>
            <w:pPr>
              <w:spacing w:before="30" w:line="220" w:lineRule="auto"/>
              <w:ind w:firstLine="152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2.厨房、灶间油烟道应进行定期清洗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。</w:t>
            </w:r>
          </w:p>
          <w:p>
            <w:pPr>
              <w:spacing w:before="17" w:line="243" w:lineRule="auto"/>
              <w:ind w:left="131" w:right="124" w:firstLine="20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3.严禁点蜡焚香、明火照明等违规用火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                                              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4.应规范电气设计、电气线路的敷设,电气线路应穿管保护;电气线路、移动插座不得直接敷设放置在可燃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3"/>
                <w:szCs w:val="23"/>
              </w:rPr>
              <w:t>物上;配电箱应设置漏电保护开关</w:t>
            </w:r>
            <w:r>
              <w:rPr>
                <w:rFonts w:hint="eastAsia" w:ascii="宋体" w:hAnsi="宋体" w:eastAsia="宋体" w:cs="宋体"/>
                <w:spacing w:val="11"/>
                <w:w w:val="101"/>
                <w:sz w:val="23"/>
                <w:szCs w:val="23"/>
                <w:lang w:eastAsia="zh-CN"/>
              </w:rPr>
              <w:t>。</w:t>
            </w:r>
          </w:p>
          <w:p>
            <w:pPr>
              <w:spacing w:before="1" w:line="216" w:lineRule="auto"/>
              <w:ind w:left="152" w:right="145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3"/>
                <w:szCs w:val="23"/>
              </w:rPr>
              <w:t>5.严禁采用电炉、煤气炉等大功率取暖设备取暖,不得使用无3C认证的电暖气,电热毯等电气产品;靠近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可燃物的电器,应采取隔热、散热等措施</w:t>
            </w: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eastAsia="zh-CN"/>
              </w:rPr>
              <w:t>。</w:t>
            </w:r>
          </w:p>
        </w:tc>
      </w:tr>
    </w:tbl>
    <w:p>
      <w:pPr>
        <w:sectPr>
          <w:footerReference r:id="rId5" w:type="default"/>
          <w:pgSz w:w="16910" w:h="12020"/>
          <w:pgMar w:top="1021" w:right="1945" w:bottom="1259" w:left="1210" w:header="0" w:footer="1092" w:gutter="0"/>
          <w:pgNumType w:fmt="numberInDash"/>
          <w:cols w:space="720" w:num="1"/>
        </w:sectPr>
      </w:pPr>
    </w:p>
    <w:p/>
    <w:p>
      <w:pPr>
        <w:spacing w:line="139" w:lineRule="exact"/>
      </w:pPr>
    </w:p>
    <w:tbl>
      <w:tblPr>
        <w:tblStyle w:val="3"/>
        <w:tblW w:w="141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3"/>
        <w:gridCol w:w="11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1" w:lineRule="auto"/>
              <w:ind w:firstLine="5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排查重点</w:t>
            </w:r>
          </w:p>
        </w:tc>
        <w:tc>
          <w:tcPr>
            <w:tcW w:w="11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firstLine="52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5"/>
                <w:w w:val="105"/>
                <w:sz w:val="24"/>
                <w:szCs w:val="24"/>
              </w:rPr>
              <w:t>整治标准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</w:trPr>
        <w:tc>
          <w:tcPr>
            <w:tcW w:w="2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易燃可燃物使用</w:t>
            </w:r>
          </w:p>
        </w:tc>
        <w:tc>
          <w:tcPr>
            <w:tcW w:w="11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before="53" w:line="221" w:lineRule="auto"/>
              <w:ind w:left="132" w:righ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屋顶、围护结构不得使用易燃可燃夹芯彩钢板搭建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numPr>
                <w:ilvl w:val="0"/>
                <w:numId w:val="0"/>
              </w:numPr>
              <w:spacing w:before="53" w:line="221" w:lineRule="auto"/>
              <w:ind w:righ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2.公共区域、疏散走道、楼梯间、安全出口处不得长期、大量堆放易燃可燃杂物,不得违规存放易燃易爆危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险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物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品</w:t>
            </w:r>
            <w:r>
              <w:rPr>
                <w:rFonts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。</w:t>
            </w:r>
          </w:p>
          <w:p>
            <w:pPr>
              <w:spacing w:before="1" w:line="222" w:lineRule="auto"/>
              <w:ind w:left="132" w:right="7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3.餐饮场所不得使用LNG杜瓦瓶,用餐区不得使用丙烷、丁烷、液化石油气、天然气等燃气灶具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</w:p>
          <w:p>
            <w:pPr>
              <w:spacing w:before="1" w:line="222" w:lineRule="auto"/>
              <w:ind w:left="132" w:right="738"/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4.使用醇基燃料的,应设置单独的储燃料间并与其他部位进行分隔,进出口管道处应安装紧急切断阀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  <w:t>。</w:t>
            </w:r>
          </w:p>
          <w:p>
            <w:pPr>
              <w:spacing w:before="1" w:line="222" w:lineRule="auto"/>
              <w:ind w:left="132" w:right="738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5.用于租住的自建房内不得设置采用易燃可燃保温材料的冷库、不得设置液氨制冷剂的冷库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</w:trPr>
        <w:tc>
          <w:tcPr>
            <w:tcW w:w="2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5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安全疏散</w:t>
            </w:r>
          </w:p>
        </w:tc>
        <w:tc>
          <w:tcPr>
            <w:tcW w:w="11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32" w:lineRule="auto"/>
              <w:ind w:left="132" w:righ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地下或半地下区域应保证至少有1个直通室外的独立安全出口。每层建筑面积超过200平方米的自建房、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屋顶承重构件和楼板为可燃材料的自建房、建筑层数为4层及以上的自建房,疏散楼梯不少于2部,首层安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全出口不少于2个。</w:t>
            </w:r>
          </w:p>
          <w:p>
            <w:pPr>
              <w:spacing w:before="16" w:line="232" w:lineRule="auto"/>
              <w:ind w:left="132" w:right="14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2.疏散楼梯不得采用木质等可燃材料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spacing w:before="16" w:line="232" w:lineRule="auto"/>
              <w:ind w:left="132" w:right="14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3.疏散走道和疏散楼梯的净宽度不得小于1.1m,紧靠门口内外各1.4m范围内不得设置踏步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before="16" w:line="232" w:lineRule="auto"/>
              <w:ind w:left="132" w:right="1487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4.建筑外窗、疏散走道严禁安装防盗网、广告牌、铁栅栏,确需安装时应能从内部易于开启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2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35" w:lineRule="auto"/>
              <w:ind w:left="84" w:right="73" w:firstLine="11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电动自行车和电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动摩托车停放、充</w:t>
            </w:r>
          </w:p>
          <w:p>
            <w:pPr>
              <w:spacing w:line="225" w:lineRule="auto"/>
              <w:ind w:firstLine="92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</w:p>
        </w:tc>
        <w:tc>
          <w:tcPr>
            <w:tcW w:w="11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numPr>
                <w:ilvl w:val="0"/>
                <w:numId w:val="2"/>
              </w:numPr>
              <w:spacing w:before="67" w:line="232" w:lineRule="auto"/>
              <w:ind w:left="132" w:right="1" w:firstLine="9"/>
              <w:jc w:val="left"/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严禁电动车及其蓄电池在公共门厅、疏散走道、楼梯间、安全出口等公共区域和其他室内场所停放或充电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before="67" w:line="232" w:lineRule="auto"/>
              <w:ind w:left="132" w:right="1" w:firstLine="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严禁违反安全用电要求,采取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飞线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或其他私拉乱接电线和插座的方式进行充电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3.电动车停放充电场所应设置在室外时,不得使用易燃可燃材料搭建,且应与其他建筑、疏散通道、安全出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口保持有效的安全距离。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2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78" w:line="276" w:lineRule="auto"/>
              <w:ind w:left="924" w:right="196" w:hanging="7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消防安全责任落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实</w:t>
            </w:r>
          </w:p>
        </w:tc>
        <w:tc>
          <w:tcPr>
            <w:tcW w:w="11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132" w:righ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1.自建房用于出租的,应在房屋租赁合同明确双方的消防安全责任.出租人不得将违法建筑或者不符合消防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安全条件的房屋出租。</w:t>
            </w:r>
          </w:p>
          <w:p>
            <w:pPr>
              <w:spacing w:line="219" w:lineRule="auto"/>
              <w:ind w:firstLine="132"/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2.承租人不得擅自改变出租自建房屋的使用性质和功能结构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。</w:t>
            </w:r>
          </w:p>
          <w:p>
            <w:pPr>
              <w:spacing w:line="219" w:lineRule="auto"/>
              <w:ind w:firstLine="13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3.按规定配置消防设施器材并保持完好有效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ectPr>
          <w:footerReference r:id="rId6" w:type="default"/>
          <w:pgSz w:w="17010" w:h="12170"/>
          <w:pgMar w:top="1034" w:right="1995" w:bottom="400" w:left="1375" w:header="0" w:footer="0" w:gutter="0"/>
          <w:pgNumType w:fmt="numberInDash"/>
          <w:cols w:space="720" w:num="1"/>
        </w:sectPr>
      </w:pPr>
    </w:p>
    <w:p>
      <w:pPr>
        <w:pStyle w:val="2"/>
      </w:pPr>
      <w:bookmarkStart w:id="0" w:name="_GoBack"/>
      <w:bookmarkEnd w:id="0"/>
    </w:p>
    <w:p/>
    <w:sectPr>
      <w:footerReference r:id="rId7" w:type="default"/>
      <w:pgSz w:w="11923" w:h="16838"/>
      <w:pgMar w:top="1071" w:right="1366" w:bottom="573" w:left="1015" w:header="0" w:footer="1213" w:gutter="0"/>
      <w:pgNumType w:fmt="numberInDash"/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exact"/>
      <w:ind w:firstLine="6919"/>
      <w:rPr>
        <w:rFonts w:ascii="宋体" w:hAnsi="宋体" w:eastAsia="宋体" w:cs="宋体"/>
        <w:sz w:val="24"/>
        <w:szCs w:val="24"/>
      </w:rPr>
    </w:pPr>
    <w:r>
      <w:rPr>
        <w:rFonts w:ascii="Arial" w:hAnsi="Arial" w:eastAsia="Arial" w:cs="Arial"/>
        <w:snapToGrid w:val="0"/>
        <w:color w:val="000000"/>
        <w:kern w:val="0"/>
        <w:sz w:val="24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P+rf8gBAACY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/fr&#10;rE4foMak+4BpaXjnB9yZ2Q/ozKQHFW3+Ih2CcdT2dNFWDomI/Gi1XK0qDAmMzRfEZw/PQ4T0XnpL&#10;stHQiMMrmvLjR0hj6pySqzl/p40pAzTuHwdiZg/LvY89ZisNu2EitPPtCfn0OPeGOlxzSswHh7Lm&#10;FZmNOBu72TiEqPdd2aFcD8LtIWETpbdcYYSdCuPACrtpufJGPL6XrIcfavM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ED/q3/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rFonts w:ascii="Arial" w:hAnsi="Arial" w:eastAsia="Arial" w:cs="Arial"/>
        <w:snapToGrid w:val="0"/>
        <w:color w:val="000000"/>
        <w:kern w:val="0"/>
        <w:sz w:val="2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- 12 -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UEhj8gBAACY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/fr&#10;rE4foMak+4BpaXjnB9yZ2Q/ozKQHFW3+Ih2CcdT2dNFWDomI/Gi1XK0qDAmMzRfEZw/PQ4T0XnpL&#10;stHQiMMrmvLjR0hj6pySqzl/p40pAzTuHwdiZg/LvY89ZisNu2EitPPtCfn0OPeGOlxzSswHh7Lm&#10;FZmNOBu72TiEqPdd2aFcD8LtIWETpbdcYYSdCuPACrtpufJGPL6XrIcfavM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H1BIY/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t>- 12 -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2" w:lineRule="exact"/>
      <w:ind w:firstLine="7505"/>
      <w:rPr>
        <w:rFonts w:ascii="幼圆" w:hAnsi="幼圆" w:eastAsia="幼圆" w:cs="幼圆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2119DF"/>
    <w:multiLevelType w:val="singleLevel"/>
    <w:tmpl w:val="F92119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2417B1D"/>
    <w:multiLevelType w:val="singleLevel"/>
    <w:tmpl w:val="62417B1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mFmMDEyMzM0MTNlM2IyZDM5YjdmMDg2ZTUyN2IifQ=="/>
  </w:docVars>
  <w:rsids>
    <w:rsidRoot w:val="7847746E"/>
    <w:rsid w:val="26BB5A5B"/>
    <w:rsid w:val="7847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2648</Words>
  <Characters>2736</Characters>
  <Lines>0</Lines>
  <Paragraphs>0</Paragraphs>
  <TotalTime>1</TotalTime>
  <ScaleCrop>false</ScaleCrop>
  <LinksUpToDate>false</LinksUpToDate>
  <CharactersWithSpaces>3141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2023-01-09T02:48:00Z</dcterms:created>
  <dc:creator>XURUIRUI</dc:creator>
  <cp:lastModifiedBy>XURUIRUI</cp:lastModifiedBy>
  <dcterms:modified xsi:type="dcterms:W3CDTF">2023-01-09T02:50:09Z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ABDC8D0CBB1A4929BBC9990A8D5517B5</vt:lpwstr>
  </property>
</Properties>
</file>