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</w:rPr>
        <w:t>1</w:t>
      </w:r>
      <w:r>
        <w:rPr>
          <w:rFonts w:ascii="仿宋" w:hAnsi="仿宋" w:eastAsia="仿宋" w:cs="仿宋"/>
          <w:spacing w:val="-3"/>
          <w:sz w:val="36"/>
          <w:szCs w:val="36"/>
        </w:rPr>
        <w:t>:</w:t>
      </w:r>
    </w:p>
    <w:p>
      <w:pPr>
        <w:spacing w:before="57" w:line="219" w:lineRule="auto"/>
        <w:ind w:firstLine="19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9"/>
          <w:sz w:val="36"/>
          <w:szCs w:val="36"/>
        </w:rPr>
        <w:t>生产、经营、租住自建房火灾风险隐患排查整治标准(供参考)</w:t>
      </w:r>
    </w:p>
    <w:p>
      <w:pPr>
        <w:spacing w:line="18" w:lineRule="exact"/>
      </w:pPr>
    </w:p>
    <w:tbl>
      <w:tblPr>
        <w:tblStyle w:val="3"/>
        <w:tblW w:w="13999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firstLine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排查重点</w:t>
            </w:r>
          </w:p>
        </w:tc>
        <w:tc>
          <w:tcPr>
            <w:tcW w:w="11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5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219" w:lineRule="auto"/>
              <w:ind w:firstLine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建筑布局</w:t>
            </w:r>
          </w:p>
        </w:tc>
        <w:tc>
          <w:tcPr>
            <w:tcW w:w="11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3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1.不得使用易燃可燃夹芯彩钢板或易燃材料搭建临时房屋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。</w:t>
            </w:r>
          </w:p>
          <w:p>
            <w:pPr>
              <w:spacing w:line="218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2.供人员疏散穿行的内院、天井不得设置顶棚、雨棚影响自然排烟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8" w:line="216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3.住宿内部隔墙应采用不燃烧体,且应砌筑至楼板底部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39" w:line="239" w:lineRule="auto"/>
              <w:ind w:left="152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21"/>
                <w:szCs w:val="21"/>
              </w:rPr>
              <w:t>4.供人员租住的场所室内净高不得小于2.4m</w:t>
            </w:r>
            <w:r>
              <w:rPr>
                <w:rFonts w:hint="eastAsia" w:ascii="宋体" w:hAnsi="宋体" w:eastAsia="宋体" w:cs="宋体"/>
                <w:spacing w:val="12"/>
                <w:w w:val="105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spacing w:before="39" w:line="239" w:lineRule="auto"/>
              <w:ind w:left="152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5.房间采用隔断方式改变原有格局设置群租房,人均租住使用面积不得小于6</w:t>
            </w:r>
            <w:r>
              <w:rPr>
                <w:rFonts w:ascii="宋体" w:hAnsi="宋体" w:eastAsia="宋体" w:cs="宋体"/>
                <w:spacing w:val="12"/>
                <w:w w:val="104"/>
                <w:sz w:val="21"/>
                <w:szCs w:val="21"/>
              </w:rPr>
              <w:t>m2</w:t>
            </w: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,且应符合《山西省租赁住房</w:t>
            </w:r>
            <w:r>
              <w:rPr>
                <w:rFonts w:ascii="宋体" w:hAnsi="宋体" w:eastAsia="宋体" w:cs="宋体"/>
                <w:spacing w:val="12"/>
                <w:w w:val="104"/>
                <w:sz w:val="21"/>
                <w:szCs w:val="21"/>
              </w:rPr>
              <w:t>改建导则》(试行)的有关隔断要求</w:t>
            </w:r>
            <w:r>
              <w:rPr>
                <w:rFonts w:hint="eastAsia" w:ascii="宋体" w:hAnsi="宋体" w:eastAsia="宋体" w:cs="宋体"/>
                <w:spacing w:val="12"/>
                <w:w w:val="104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          </w:t>
            </w:r>
          </w:p>
          <w:p>
            <w:pPr>
              <w:spacing w:before="39" w:line="239" w:lineRule="auto"/>
              <w:ind w:left="152" w:right="13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1"/>
                <w:szCs w:val="21"/>
              </w:rPr>
              <w:t>6.租住住房不得将过道、厨房、卫生间、阳台、储物间和地下储藏室改建为居室,或影响、破坏其功能使用</w:t>
            </w:r>
            <w:r>
              <w:rPr>
                <w:rFonts w:hint="eastAsia" w:ascii="宋体" w:hAnsi="宋体" w:eastAsia="宋体" w:cs="宋体"/>
                <w:spacing w:val="12"/>
                <w:w w:val="10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违规住人</w:t>
            </w:r>
          </w:p>
        </w:tc>
        <w:tc>
          <w:tcPr>
            <w:tcW w:w="11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330" w:lineRule="exact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3"/>
                <w:szCs w:val="23"/>
              </w:rPr>
              <w:t>1.生产、储存、经营易燃易爆危险品的自建房不得设置居住场所</w:t>
            </w:r>
            <w:r>
              <w:rPr>
                <w:rFonts w:hint="eastAsia" w:ascii="宋体" w:hAnsi="宋体" w:eastAsia="宋体" w:cs="宋体"/>
                <w:spacing w:val="7"/>
                <w:position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2.在使用性质为厂房或仓库内的自建房内不得设置居住场所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6" w:line="310" w:lineRule="exact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3"/>
                <w:szCs w:val="23"/>
              </w:rPr>
              <w:t>3.严禁违规设置夹层住人</w:t>
            </w:r>
            <w:r>
              <w:rPr>
                <w:rFonts w:hint="eastAsia" w:ascii="宋体" w:hAnsi="宋体" w:eastAsia="宋体" w:cs="宋体"/>
                <w:spacing w:val="1"/>
                <w:position w:val="5"/>
                <w:sz w:val="23"/>
                <w:szCs w:val="23"/>
                <w:lang w:eastAsia="zh-CN"/>
              </w:rPr>
              <w:t>。</w:t>
            </w:r>
          </w:p>
          <w:p>
            <w:pPr>
              <w:spacing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4.合用场所(生产、储存、经营与住宿)严禁在地下室、半地下室设置居住场所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7"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5.严禁在建筑耐火等级低于二级的自建房内设置合用场所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25" w:line="234" w:lineRule="auto"/>
              <w:ind w:left="152" w:right="10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6.场所建筑高度大于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15m,或建筑面积大于2000m2,或住宿人数超过20人的合用场所应采用不开门窗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洞口的防火隔墙、楼板等将住宿部分与非住宿部分完全分隔,且应分别设置独立的疏散设施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7.住宿人数少于20人的合用场所,其住宿与非住宿部分应完全分隔,当无法分隔时,应设置自动喷水灭火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系统或自动喷水局部应用系统,当设置独立的疏散设施确有困难时,应设置室外金属梯、配备逃生避难设施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的阳台和外窗等独立的辅助疏散设施;应设置火灾自动报警系统或独立式感烟火灾探测器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814" w:right="342" w:hanging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用火用电用气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管理</w:t>
            </w:r>
          </w:p>
        </w:tc>
        <w:tc>
          <w:tcPr>
            <w:tcW w:w="11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7" w:lineRule="auto"/>
              <w:ind w:left="152" w:right="9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1.严禁地下室、半地下室或高层部分使用瓶装液化石油气钢瓶,存放液化石油气钢瓶的厨房应采取防火分隔</w:t>
            </w: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措施,且设置自然排风窗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30" w:line="220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2.厨房、灶间油烟道应进行定期清洗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7" w:line="243" w:lineRule="auto"/>
              <w:ind w:left="131" w:right="124" w:firstLine="2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3.严禁点蜡焚香、明火照明等违规用火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4.应规范电气设计、电气线路的敷设,电气线路应穿管保护;电气线路、移动插座不得直接敷设放置在可燃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物上;配电箱应设置漏电保护开关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" w:line="216" w:lineRule="auto"/>
              <w:ind w:left="152" w:right="14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5.严禁采用电炉、煤气炉等大功率取暖设备取暖,不得使用无3C认证的电暖气,电热毯等电气产品;靠近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可燃物的电器,应采取隔热、散热等措施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</w:tc>
      </w:tr>
    </w:tbl>
    <w:p>
      <w:pPr>
        <w:sectPr>
          <w:footerReference r:id="rId5" w:type="default"/>
          <w:pgSz w:w="16910" w:h="12020"/>
          <w:pgMar w:top="1021" w:right="1945" w:bottom="1259" w:left="1210" w:header="0" w:footer="1092" w:gutter="0"/>
          <w:pgNumType w:fmt="numberInDash"/>
          <w:cols w:space="720" w:num="1"/>
        </w:sectPr>
      </w:pPr>
    </w:p>
    <w:p/>
    <w:p>
      <w:pPr>
        <w:spacing w:line="139" w:lineRule="exact"/>
      </w:pPr>
    </w:p>
    <w:tbl>
      <w:tblPr>
        <w:tblStyle w:val="3"/>
        <w:tblW w:w="14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1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1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排查重点</w:t>
            </w:r>
          </w:p>
        </w:tc>
        <w:tc>
          <w:tcPr>
            <w:tcW w:w="1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5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5"/>
                <w:sz w:val="24"/>
                <w:szCs w:val="24"/>
              </w:rPr>
              <w:t>整治标准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2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易燃可燃物使用</w:t>
            </w:r>
          </w:p>
        </w:tc>
        <w:tc>
          <w:tcPr>
            <w:tcW w:w="1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53" w:line="221" w:lineRule="auto"/>
              <w:ind w:left="132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屋顶、围护结构不得使用易燃可燃夹芯彩钢板搭建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numPr>
                <w:ilvl w:val="0"/>
                <w:numId w:val="0"/>
              </w:numPr>
              <w:spacing w:before="53" w:line="221" w:lineRule="auto"/>
              <w:ind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2.公共区域、疏散走道、楼梯间、安全出口处不得长期、大量堆放易燃可燃杂物,不得违规存放易燃易爆危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险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。</w:t>
            </w:r>
          </w:p>
          <w:p>
            <w:pPr>
              <w:spacing w:before="1" w:line="222" w:lineRule="auto"/>
              <w:ind w:left="132" w:right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3.餐饮场所不得使用LNG杜瓦瓶,用餐区不得使用丙烷、丁烷、液化石油气、天然气等燃气灶具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before="1" w:line="222" w:lineRule="auto"/>
              <w:ind w:left="132" w:right="738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4.使用醇基燃料的,应设置单独的储燃料间并与其他部位进行分隔,进出口管道处应安装紧急切断阀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" w:line="222" w:lineRule="auto"/>
              <w:ind w:left="132" w:right="73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5.用于租住的自建房内不得设置采用易燃可燃保温材料的冷库、不得设置液氨制冷剂的冷库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2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安全疏散</w:t>
            </w:r>
          </w:p>
        </w:tc>
        <w:tc>
          <w:tcPr>
            <w:tcW w:w="1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2" w:lineRule="auto"/>
              <w:ind w:left="132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地下或半地下区域应保证至少有1个直通室外的独立安全出口。每层建筑面积超过200平方米的自建房、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屋顶承重构件和楼板为可燃材料的自建房、建筑层数为4层及以上的自建房,疏散楼梯不少于2部,首层安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全出口不少于2个。</w:t>
            </w:r>
          </w:p>
          <w:p>
            <w:pPr>
              <w:spacing w:before="16" w:line="232" w:lineRule="auto"/>
              <w:ind w:left="132" w:righ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2.疏散楼梯不得采用木质等可燃材料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before="16" w:line="232" w:lineRule="auto"/>
              <w:ind w:left="132" w:righ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3.疏散走道和疏散楼梯的净宽度不得小于1.1m,紧靠门口内外各1.4m范围内不得设置踏步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16" w:line="232" w:lineRule="auto"/>
              <w:ind w:left="132" w:right="148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4.建筑外窗、疏散走道严禁安装防盗网、广告牌、铁栅栏,确需安装时应能从内部易于开启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35" w:lineRule="auto"/>
              <w:ind w:left="84" w:right="73" w:firstLine="11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电动自行车和电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动摩托车停放、充</w:t>
            </w:r>
          </w:p>
          <w:p>
            <w:pPr>
              <w:spacing w:line="225" w:lineRule="auto"/>
              <w:ind w:firstLine="92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</w:t>
            </w:r>
          </w:p>
        </w:tc>
        <w:tc>
          <w:tcPr>
            <w:tcW w:w="1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67" w:line="232" w:lineRule="auto"/>
              <w:ind w:left="132" w:right="1" w:firstLine="9"/>
              <w:jc w:val="left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严禁电动车及其蓄电池在公共门厅、疏散走道、楼梯间、安全出口等公共区域和其他室内场所停放或充电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67" w:line="232" w:lineRule="auto"/>
              <w:ind w:left="132" w:right="1" w:firstLine="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严禁违反安全用电要求,采取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飞线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或其他私拉乱接电线和插座的方式进行充电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3.电动车停放充电场所应设置在室外时,不得使用易燃可燃材料搭建,且应与其他建筑、疏散通道、安全出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口保持有效的安全距离。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8" w:line="276" w:lineRule="auto"/>
              <w:ind w:left="924" w:right="196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消防安全责任落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实</w:t>
            </w:r>
          </w:p>
        </w:tc>
        <w:tc>
          <w:tcPr>
            <w:tcW w:w="1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132" w:righ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1.自建房用于出租的,应在房屋租赁合同明确双方的消防安全责任.出租人不得将违法建筑或者不符合消防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安全条件的房屋出租。</w:t>
            </w:r>
          </w:p>
          <w:p>
            <w:pPr>
              <w:spacing w:line="219" w:lineRule="auto"/>
              <w:ind w:firstLine="132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2.承租人不得擅自改变出租自建房屋的使用性质和功能结构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spacing w:line="219" w:lineRule="auto"/>
              <w:ind w:firstLine="13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3.按规定配置消防设施器材并保持完好有效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ectPr>
          <w:footerReference r:id="rId6" w:type="default"/>
          <w:pgSz w:w="17010" w:h="12170"/>
          <w:pgMar w:top="1034" w:right="1995" w:bottom="400" w:left="1375" w:header="0" w:footer="0" w:gutter="0"/>
          <w:pgNumType w:fmt="numberInDash"/>
          <w:cols w:space="720" w:num="1"/>
        </w:sectPr>
      </w:pPr>
    </w:p>
    <w:p>
      <w:pPr>
        <w:pStyle w:val="2"/>
      </w:pPr>
      <w:bookmarkStart w:id="0" w:name="_GoBack"/>
      <w:bookmarkEnd w:id="0"/>
    </w:p>
    <w:p/>
    <w:sectPr>
      <w:footerReference r:id="rId7" w:type="default"/>
      <w:pgSz w:w="11923" w:h="16838"/>
      <w:pgMar w:top="1071" w:right="1366" w:bottom="573" w:left="1015" w:header="0" w:footer="1213" w:gutter="0"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6919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napToGrid w:val="0"/>
        <w:color w:val="000000"/>
        <w:kern w:val="0"/>
        <w:sz w:val="24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+rf8gBAACY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/fr&#10;rE4foMak+4BpaXjnB9yZ2Q/ozKQHFW3+Ih2CcdT2dNFWDomI/Gi1XK0qDAmMzRfEZw/PQ4T0XnpL&#10;stHQiMMrmvLjR0hj6pySqzl/p40pAzTuHwdiZg/LvY89ZisNu2EitPPtCfn0OPeGOlxzSswHh7Lm&#10;FZmNOBu72TiEqPdd2aFcD8LtIWETpbdcYYSdCuPACrtpufJGPL6XrIcfav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D/q3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rFonts w:ascii="Arial" w:hAnsi="Arial" w:eastAsia="Arial" w:cs="Arial"/>
        <w:snapToGrid w:val="0"/>
        <w:color w:val="000000"/>
        <w:kern w:val="0"/>
        <w:sz w:val="2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UEhj8gBAACY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/fr&#10;rE4foMak+4BpaXjnB9yZ2Q/ozKQHFW3+Ih2CcdT2dNFWDomI/Gi1XK0qDAmMzRfEZw/PQ4T0XnpL&#10;stHQiMMrmvLjR0hj6pySqzl/p40pAzTuHwdiZg/LvY89ZisNu2EitPPtCfn0OPeGOlxzSswHh7Lm&#10;FZmNOBu72TiEqPdd2aFcD8LtIWETpbdcYYSdCuPACrtpufJGPL6XrIcfav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H1BIY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7505"/>
      <w:rPr>
        <w:rFonts w:ascii="幼圆" w:hAnsi="幼圆" w:eastAsia="幼圆" w:cs="幼圆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119DF"/>
    <w:multiLevelType w:val="singleLevel"/>
    <w:tmpl w:val="F92119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417B1D"/>
    <w:multiLevelType w:val="singleLevel"/>
    <w:tmpl w:val="62417B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847746E"/>
    <w:rsid w:val="26BB5A5B"/>
    <w:rsid w:val="784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2648</Words>
  <Characters>2736</Characters>
  <Lines>0</Lines>
  <Paragraphs>0</Paragraphs>
  <TotalTime>1</TotalTime>
  <ScaleCrop>false</ScaleCrop>
  <LinksUpToDate>false</LinksUpToDate>
  <CharactersWithSpaces>3141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2023-01-09T02:48:00Z</dcterms:created>
  <dc:creator>XURUIRUI</dc:creator>
  <cp:lastModifiedBy>XURUIRUI</cp:lastModifiedBy>
  <dcterms:modified xsi:type="dcterms:W3CDTF">2023-01-09T02:50:09Z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ABDC8D0CBB1A4929BBC9990A8D5517B5</vt:lpwstr>
  </property>
</Properties>
</file>