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翼城</w:t>
      </w:r>
      <w:bookmarkStart w:id="0" w:name="_GoBack"/>
      <w:bookmarkEnd w:id="0"/>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统计服务领域基层政务公开标准目录</w:t>
      </w:r>
    </w:p>
    <w:tbl>
      <w:tblPr>
        <w:tblStyle w:val="5"/>
        <w:tblW w:w="15037"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48"/>
        <w:gridCol w:w="1003"/>
        <w:gridCol w:w="2029"/>
        <w:gridCol w:w="2520"/>
        <w:gridCol w:w="1620"/>
        <w:gridCol w:w="1049"/>
        <w:gridCol w:w="1276"/>
        <w:gridCol w:w="709"/>
        <w:gridCol w:w="850"/>
        <w:gridCol w:w="567"/>
        <w:gridCol w:w="851"/>
        <w:gridCol w:w="425"/>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75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02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49"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127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559"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8"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75" w:type="dxa"/>
            <w:gridSpan w:val="3"/>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widowControl/>
              <w:jc w:val="left"/>
              <w:rPr>
                <w:rFonts w:ascii="黑体" w:hAnsi="Times New Roman" w:eastAsia="黑体"/>
                <w:color w:val="000000"/>
                <w:kern w:val="0"/>
                <w:sz w:val="22"/>
              </w:rPr>
            </w:pPr>
          </w:p>
        </w:tc>
        <w:tc>
          <w:tcPr>
            <w:tcW w:w="748"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03"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029" w:type="dxa"/>
            <w:vMerge w:val="continue"/>
            <w:vAlign w:val="center"/>
          </w:tcPr>
          <w:p>
            <w:pPr>
              <w:widowControl/>
              <w:jc w:val="left"/>
              <w:rPr>
                <w:rFonts w:ascii="黑体" w:hAnsi="宋体" w:eastAsia="黑体" w:cs="宋体"/>
                <w:color w:val="000000"/>
                <w:kern w:val="0"/>
                <w:sz w:val="22"/>
              </w:rPr>
            </w:pPr>
          </w:p>
        </w:tc>
        <w:tc>
          <w:tcPr>
            <w:tcW w:w="2520" w:type="dxa"/>
            <w:vMerge w:val="continue"/>
            <w:vAlign w:val="center"/>
          </w:tcPr>
          <w:p>
            <w:pPr>
              <w:widowControl/>
              <w:jc w:val="left"/>
              <w:rPr>
                <w:rFonts w:ascii="黑体" w:hAnsi="宋体" w:eastAsia="黑体" w:cs="宋体"/>
                <w:color w:val="000000"/>
                <w:kern w:val="0"/>
                <w:sz w:val="22"/>
              </w:rPr>
            </w:pPr>
          </w:p>
        </w:tc>
        <w:tc>
          <w:tcPr>
            <w:tcW w:w="1620" w:type="dxa"/>
            <w:vMerge w:val="continue"/>
            <w:vAlign w:val="center"/>
          </w:tcPr>
          <w:p>
            <w:pPr>
              <w:widowControl/>
              <w:jc w:val="left"/>
              <w:rPr>
                <w:rFonts w:ascii="黑体" w:hAnsi="宋体" w:eastAsia="黑体" w:cs="宋体"/>
                <w:color w:val="000000"/>
                <w:kern w:val="0"/>
                <w:sz w:val="22"/>
              </w:rPr>
            </w:pPr>
          </w:p>
        </w:tc>
        <w:tc>
          <w:tcPr>
            <w:tcW w:w="1049" w:type="dxa"/>
            <w:vMerge w:val="continue"/>
            <w:vAlign w:val="center"/>
          </w:tcPr>
          <w:p>
            <w:pPr>
              <w:widowControl/>
              <w:jc w:val="left"/>
              <w:rPr>
                <w:rFonts w:ascii="黑体" w:hAnsi="宋体" w:eastAsia="黑体" w:cs="宋体"/>
                <w:color w:val="000000"/>
                <w:kern w:val="0"/>
                <w:sz w:val="22"/>
              </w:rPr>
            </w:pPr>
          </w:p>
        </w:tc>
        <w:tc>
          <w:tcPr>
            <w:tcW w:w="1276" w:type="dxa"/>
            <w:vMerge w:val="continue"/>
            <w:vAlign w:val="center"/>
          </w:tcPr>
          <w:p>
            <w:pPr>
              <w:widowControl/>
              <w:jc w:val="left"/>
              <w:rPr>
                <w:rFonts w:ascii="黑体" w:hAnsi="宋体" w:eastAsia="黑体" w:cs="宋体"/>
                <w:kern w:val="0"/>
                <w:sz w:val="22"/>
              </w:rPr>
            </w:pP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50"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特定群体</w:t>
            </w:r>
          </w:p>
        </w:tc>
        <w:tc>
          <w:tcPr>
            <w:tcW w:w="567"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市级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4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w:t>
            </w:r>
          </w:p>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件</w:t>
            </w: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统计法律</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《统计法》、《统计法实施条例》、《人口普查条例》、《经济普查条例》、《农业普查条例》</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709"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540" w:type="dxa"/>
            <w:vMerge w:val="continue"/>
            <w:vAlign w:val="center"/>
          </w:tcPr>
          <w:p>
            <w:pPr>
              <w:rPr>
                <w:rFonts w:ascii="仿宋_GB2312" w:hAnsi="宋体" w:eastAsia="仿宋_GB2312" w:cs="宋体"/>
                <w:color w:val="000000"/>
                <w:sz w:val="18"/>
                <w:szCs w:val="18"/>
              </w:rPr>
            </w:pPr>
          </w:p>
        </w:tc>
        <w:tc>
          <w:tcPr>
            <w:tcW w:w="748" w:type="dxa"/>
            <w:vMerge w:val="continue"/>
            <w:vAlign w:val="center"/>
          </w:tcPr>
          <w:p>
            <w:pP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部门和地方政府规章、各类统计政策文件</w:t>
            </w:r>
          </w:p>
        </w:tc>
        <w:tc>
          <w:tcPr>
            <w:tcW w:w="2520"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政府公报</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709"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trPr>
        <w:tc>
          <w:tcPr>
            <w:tcW w:w="540" w:type="dxa"/>
            <w:vMerge w:val="restart"/>
            <w:vAlign w:val="center"/>
          </w:tcPr>
          <w:p>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748"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统</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息</w:t>
            </w:r>
          </w:p>
          <w:p>
            <w:pPr>
              <w:jc w:val="cente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统计事业发展主要情况</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统计事业发展主要情况</w:t>
            </w:r>
          </w:p>
        </w:tc>
        <w:tc>
          <w:tcPr>
            <w:tcW w:w="2520" w:type="dxa"/>
            <w:vMerge w:val="restart"/>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w:t>
            </w: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09"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3" w:hRule="atLeast"/>
        </w:trPr>
        <w:tc>
          <w:tcPr>
            <w:tcW w:w="540" w:type="dxa"/>
            <w:vMerge w:val="continue"/>
            <w:vAlign w:val="center"/>
          </w:tcPr>
          <w:p>
            <w:pPr>
              <w:jc w:val="center"/>
              <w:rPr>
                <w:rFonts w:ascii="仿宋_GB2312" w:hAnsi="宋体" w:eastAsia="仿宋_GB2312"/>
                <w:color w:val="000000"/>
                <w:sz w:val="18"/>
                <w:szCs w:val="18"/>
              </w:rPr>
            </w:pPr>
          </w:p>
        </w:tc>
        <w:tc>
          <w:tcPr>
            <w:tcW w:w="748" w:type="dxa"/>
            <w:vMerge w:val="continue"/>
            <w:vAlign w:val="center"/>
          </w:tcPr>
          <w:p>
            <w:pPr>
              <w:jc w:val="center"/>
              <w:rPr>
                <w:rFonts w:ascii="仿宋_GB2312" w:hAnsi="宋体" w:eastAsia="仿宋_GB2312"/>
                <w:color w:val="000000"/>
                <w:sz w:val="18"/>
                <w:szCs w:val="18"/>
              </w:rPr>
            </w:pPr>
          </w:p>
        </w:tc>
        <w:tc>
          <w:tcPr>
            <w:tcW w:w="100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统计信息发布</w:t>
            </w:r>
          </w:p>
        </w:tc>
        <w:tc>
          <w:tcPr>
            <w:tcW w:w="2029"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《统计公报》、《县情概览》、季度经济运行分析等</w:t>
            </w:r>
          </w:p>
        </w:tc>
        <w:tc>
          <w:tcPr>
            <w:tcW w:w="2520" w:type="dxa"/>
            <w:vMerge w:val="continue"/>
            <w:vAlign w:val="center"/>
          </w:tcPr>
          <w:p>
            <w:pPr>
              <w:rPr>
                <w:rFonts w:ascii="仿宋_GB2312" w:hAnsi="宋体" w:eastAsia="仿宋_GB2312"/>
                <w:color w:val="000000"/>
                <w:sz w:val="18"/>
                <w:szCs w:val="18"/>
              </w:rPr>
            </w:pPr>
          </w:p>
        </w:tc>
        <w:tc>
          <w:tcPr>
            <w:tcW w:w="1620"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tc>
        <w:tc>
          <w:tcPr>
            <w:tcW w:w="709"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850"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c>
          <w:tcPr>
            <w:tcW w:w="567"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851"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c>
          <w:tcPr>
            <w:tcW w:w="425" w:type="dxa"/>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w:t>
            </w:r>
          </w:p>
        </w:tc>
        <w:tc>
          <w:tcPr>
            <w:tcW w:w="425" w:type="dxa"/>
            <w:vAlign w:val="center"/>
          </w:tcPr>
          <w:p>
            <w:pPr>
              <w:jc w:val="center"/>
              <w:rPr>
                <w:rFonts w:ascii="仿宋_GB2312" w:hAnsi="仿宋" w:eastAsia="仿宋_GB2312"/>
                <w:color w:val="000000"/>
                <w:sz w:val="18"/>
                <w:szCs w:val="18"/>
              </w:rPr>
            </w:pPr>
            <w:r>
              <w:rPr>
                <w:rFonts w:hint="eastAsia" w:ascii="仿宋_GB2312" w:hAnsi="仿宋"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1" w:hRule="atLeast"/>
        </w:trPr>
        <w:tc>
          <w:tcPr>
            <w:tcW w:w="540" w:type="dxa"/>
            <w:vMerge w:val="continue"/>
            <w:vAlign w:val="center"/>
          </w:tcPr>
          <w:p>
            <w:pPr>
              <w:rPr>
                <w:rFonts w:ascii="仿宋_GB2312" w:hAnsi="宋体" w:eastAsia="仿宋_GB2312" w:cs="宋体"/>
                <w:color w:val="000000"/>
                <w:sz w:val="18"/>
                <w:szCs w:val="18"/>
              </w:rPr>
            </w:pPr>
          </w:p>
        </w:tc>
        <w:tc>
          <w:tcPr>
            <w:tcW w:w="748" w:type="dxa"/>
            <w:vMerge w:val="continue"/>
            <w:vAlign w:val="center"/>
          </w:tcPr>
          <w:p>
            <w:pPr>
              <w:rPr>
                <w:rFonts w:ascii="仿宋_GB2312" w:hAnsi="宋体" w:eastAsia="仿宋_GB2312" w:cs="宋体"/>
                <w:color w:val="000000"/>
                <w:sz w:val="18"/>
                <w:szCs w:val="18"/>
              </w:rPr>
            </w:pPr>
          </w:p>
        </w:tc>
        <w:tc>
          <w:tcPr>
            <w:tcW w:w="1003"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统计诚信信息</w:t>
            </w:r>
          </w:p>
        </w:tc>
        <w:tc>
          <w:tcPr>
            <w:tcW w:w="2029" w:type="dxa"/>
            <w:vAlign w:val="center"/>
          </w:tcPr>
          <w:p>
            <w:pPr>
              <w:rPr>
                <w:rFonts w:ascii="仿宋_GB2312" w:hAnsi="宋体" w:eastAsia="仿宋_GB2312" w:cs="宋体"/>
                <w:color w:val="000000"/>
                <w:sz w:val="18"/>
                <w:szCs w:val="18"/>
              </w:rPr>
            </w:pPr>
            <w:r>
              <w:rPr>
                <w:rFonts w:hint="eastAsia" w:ascii="仿宋_GB2312" w:hAnsi="宋体" w:eastAsia="仿宋_GB2312"/>
                <w:color w:val="000000"/>
                <w:sz w:val="18"/>
                <w:szCs w:val="18"/>
              </w:rPr>
              <w:t>统计失信企业、个人</w:t>
            </w:r>
          </w:p>
        </w:tc>
        <w:tc>
          <w:tcPr>
            <w:tcW w:w="2520" w:type="dxa"/>
            <w:vMerge w:val="continue"/>
            <w:vAlign w:val="center"/>
          </w:tcPr>
          <w:p>
            <w:pPr>
              <w:rPr>
                <w:rFonts w:ascii="仿宋_GB2312" w:hAnsi="宋体" w:eastAsia="仿宋_GB2312" w:cs="宋体"/>
                <w:color w:val="000000"/>
                <w:sz w:val="18"/>
                <w:szCs w:val="18"/>
              </w:rPr>
            </w:pPr>
          </w:p>
        </w:tc>
        <w:tc>
          <w:tcPr>
            <w:tcW w:w="1620"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1049" w:type="dxa"/>
            <w:vAlign w:val="center"/>
          </w:tcPr>
          <w:p>
            <w:pPr>
              <w:rPr>
                <w:rFonts w:ascii="仿宋_GB2312" w:hAnsi="仿宋" w:eastAsia="仿宋_GB2312" w:cs="宋体"/>
                <w:color w:val="000000"/>
                <w:sz w:val="18"/>
                <w:szCs w:val="18"/>
              </w:rPr>
            </w:pPr>
            <w:r>
              <w:rPr>
                <w:rFonts w:hint="eastAsia" w:ascii="仿宋_GB2312" w:hAnsi="仿宋" w:eastAsia="仿宋_GB2312"/>
                <w:color w:val="000000"/>
                <w:sz w:val="18"/>
                <w:szCs w:val="18"/>
              </w:rPr>
              <w:t>统计部门</w:t>
            </w:r>
          </w:p>
        </w:tc>
        <w:tc>
          <w:tcPr>
            <w:tcW w:w="1276" w:type="dxa"/>
            <w:vAlign w:val="center"/>
          </w:tcPr>
          <w:p>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09"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0"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67"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851"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425" w:type="dxa"/>
            <w:vAlign w:val="center"/>
          </w:tcPr>
          <w:p>
            <w:pPr>
              <w:jc w:val="center"/>
              <w:rPr>
                <w:rFonts w:ascii="仿宋_GB2312" w:hAnsi="仿宋" w:eastAsia="仿宋_GB2312" w:cs="宋体"/>
                <w:color w:val="000000"/>
                <w:sz w:val="18"/>
                <w:szCs w:val="18"/>
              </w:rPr>
            </w:pP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425" w:type="dxa"/>
            <w:vAlign w:val="center"/>
          </w:tcPr>
          <w:p>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pPr>
        <w:jc w:val="center"/>
        <w:rPr>
          <w:rFonts w:hint="eastAsia" w:ascii="仿宋_GB2312" w:hAnsi="方正小标宋简体" w:eastAsia="仿宋_GB2312" w:cs="方正小标宋简体"/>
          <w:sz w:val="44"/>
          <w:szCs w:val="44"/>
        </w:rPr>
      </w:pPr>
    </w:p>
    <w:tbl>
      <w:tblPr>
        <w:tblStyle w:val="6"/>
        <w:tblpPr w:leftFromText="180" w:rightFromText="180" w:vertAnchor="text" w:horzAnchor="margin" w:tblpXSpec="center" w:tblpY="286"/>
        <w:tblW w:w="147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951"/>
        <w:gridCol w:w="1842"/>
        <w:gridCol w:w="2835"/>
        <w:gridCol w:w="1701"/>
        <w:gridCol w:w="993"/>
        <w:gridCol w:w="1134"/>
        <w:gridCol w:w="567"/>
        <w:gridCol w:w="850"/>
        <w:gridCol w:w="567"/>
        <w:gridCol w:w="709"/>
        <w:gridCol w:w="567"/>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6" w:hRule="atLeast"/>
        </w:trPr>
        <w:tc>
          <w:tcPr>
            <w:tcW w:w="2097" w:type="dxa"/>
            <w:gridSpan w:val="3"/>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p>
            <w:pPr>
              <w:spacing w:line="240" w:lineRule="exact"/>
              <w:jc w:val="center"/>
              <w:rPr>
                <w:rFonts w:hint="eastAsia" w:ascii="仿宋_GB2312" w:hAnsi="黑体" w:eastAsia="仿宋_GB2312" w:cs="黑体"/>
                <w:kern w:val="0"/>
                <w:sz w:val="21"/>
                <w:szCs w:val="21"/>
              </w:rPr>
            </w:pPr>
          </w:p>
        </w:tc>
        <w:tc>
          <w:tcPr>
            <w:tcW w:w="12615" w:type="dxa"/>
            <w:gridSpan w:val="12"/>
            <w:tcBorders>
              <w:top w:val="nil"/>
              <w:left w:val="nil"/>
              <w:right w:val="nil"/>
            </w:tcBorders>
            <w:vAlign w:val="center"/>
          </w:tcPr>
          <w:p>
            <w:pPr>
              <w:spacing w:line="240" w:lineRule="exact"/>
              <w:jc w:val="center"/>
              <w:rPr>
                <w:rFonts w:hint="eastAsia" w:ascii="仿宋_GB2312" w:hAnsi="黑体" w:eastAsia="仿宋_GB2312" w:cs="黑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处</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罚</w:t>
            </w: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对常规统计工作中统计调查对象违法行为的处罚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1.《中华人民共和国统计法》                                                                  </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 2.《中华人民共和国统计法实施条例》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60"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对重大国情国力调查中的违法行为的处罚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r>
              <w:rPr>
                <w:rFonts w:hint="eastAsia" w:ascii="仿宋_GB2312" w:eastAsia="仿宋_GB2312"/>
                <w:kern w:val="0"/>
                <w:sz w:val="20"/>
              </w:rPr>
              <w:t xml:space="preserve"> </w:t>
            </w:r>
            <w:r>
              <w:rPr>
                <w:rFonts w:hint="eastAsia" w:ascii="仿宋_GB2312" w:hAnsi="仿宋" w:eastAsia="仿宋_GB2312" w:cs="仿宋"/>
                <w:kern w:val="0"/>
                <w:sz w:val="18"/>
                <w:szCs w:val="18"/>
              </w:rPr>
              <w:t>《全国经济普查条例》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2.《全国农业普查条例》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 《全国人口普查条例》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4.《全国污染源普查条例》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5.</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8"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95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对迟报统计资料或未按照国家有关规定设置原始记录、统计台账违法行为的处罚</w:t>
            </w:r>
          </w:p>
        </w:tc>
        <w:tc>
          <w:tcPr>
            <w:tcW w:w="1842"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2.案由；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3.处罚依据；</w:t>
            </w:r>
          </w:p>
          <w:p>
            <w:pPr>
              <w:spacing w:line="240" w:lineRule="exact"/>
              <w:jc w:val="both"/>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4.处罚结果。</w:t>
            </w:r>
          </w:p>
        </w:tc>
        <w:tc>
          <w:tcPr>
            <w:tcW w:w="2835"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1.《中华人民共和国统计法》</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 xml:space="preserve">2. </w:t>
            </w:r>
            <w:r>
              <w:rPr>
                <w:rFonts w:hint="eastAsia" w:ascii="仿宋_GB2312" w:hAnsi="宋体" w:eastAsia="仿宋_GB2312"/>
                <w:color w:val="000000"/>
                <w:kern w:val="0"/>
                <w:sz w:val="18"/>
                <w:szCs w:val="18"/>
              </w:rPr>
              <w:t>《政府信息公开条例》</w:t>
            </w:r>
            <w:r>
              <w:rPr>
                <w:rFonts w:hint="eastAsia" w:ascii="仿宋_GB2312" w:hAnsi="仿宋" w:eastAsia="仿宋_GB2312" w:cs="仿宋"/>
                <w:kern w:val="0"/>
                <w:sz w:val="18"/>
                <w:szCs w:val="18"/>
              </w:rPr>
              <w:t xml:space="preserve">    </w:t>
            </w:r>
          </w:p>
        </w:tc>
        <w:tc>
          <w:tcPr>
            <w:tcW w:w="1701"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执法决定信息在决定作出之日起7个工作日内公开，其它相关信息形成或变更之日起20个工作日内公开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850"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709" w:type="dxa"/>
            <w:vAlign w:val="center"/>
          </w:tcPr>
          <w:p>
            <w:pPr>
              <w:spacing w:line="240" w:lineRule="exact"/>
              <w:jc w:val="center"/>
              <w:rPr>
                <w:rFonts w:hint="eastAsia" w:ascii="仿宋_GB2312" w:hAnsi="仿宋" w:eastAsia="仿宋_GB2312" w:cs="仿宋"/>
                <w:kern w:val="0"/>
                <w:sz w:val="15"/>
                <w:szCs w:val="15"/>
              </w:rPr>
            </w:pPr>
          </w:p>
        </w:tc>
        <w:tc>
          <w:tcPr>
            <w:tcW w:w="567" w:type="dxa"/>
            <w:vAlign w:val="center"/>
          </w:tcPr>
          <w:p>
            <w:pPr>
              <w:spacing w:line="240" w:lineRule="exact"/>
              <w:jc w:val="center"/>
              <w:rPr>
                <w:rFonts w:hint="eastAsia" w:ascii="仿宋_GB2312" w:hAnsi="仿宋" w:eastAsia="仿宋_GB2312" w:cs="仿宋"/>
                <w:kern w:val="0"/>
                <w:sz w:val="15"/>
                <w:szCs w:val="15"/>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bl>
    <w:p>
      <w:pPr>
        <w:jc w:val="center"/>
        <w:rPr>
          <w:rFonts w:hint="eastAsia" w:ascii="仿宋_GB2312" w:hAnsi="方正小标宋简体" w:eastAsia="仿宋_GB2312" w:cs="方正小标宋简体"/>
          <w:sz w:val="44"/>
          <w:szCs w:val="44"/>
        </w:rPr>
      </w:pPr>
    </w:p>
    <w:tbl>
      <w:tblPr>
        <w:tblStyle w:val="6"/>
        <w:tblW w:w="14712"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993"/>
        <w:gridCol w:w="1134"/>
        <w:gridCol w:w="567"/>
        <w:gridCol w:w="850"/>
        <w:gridCol w:w="567"/>
        <w:gridCol w:w="664"/>
        <w:gridCol w:w="612"/>
        <w:gridCol w:w="425"/>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奖</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励</w:t>
            </w: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对经济普查中表现突出的集体和个人给予表彰和奖励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对经济普查违法行为举报有功的单位和个人给予奖励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1.《全国经济普查条例》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对农业普查中表现突出的单位和个人给予奖励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1.《全国农业普查条例》</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4</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对农业普查违法行为举报有功人员给予奖励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1.《全国农业普查条例》</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425" w:type="dxa"/>
            <w:vAlign w:val="center"/>
          </w:tcPr>
          <w:p>
            <w:pPr>
              <w:spacing w:line="240" w:lineRule="exact"/>
              <w:jc w:val="center"/>
              <w:rPr>
                <w:rFonts w:hint="eastAsia" w:ascii="仿宋_GB2312" w:hAnsi="仿宋" w:eastAsia="仿宋_GB2312" w:cs="仿宋"/>
                <w:kern w:val="0"/>
                <w:sz w:val="15"/>
                <w:szCs w:val="15"/>
              </w:rPr>
            </w:pPr>
          </w:p>
        </w:tc>
      </w:tr>
    </w:tbl>
    <w:p>
      <w:pPr>
        <w:jc w:val="center"/>
        <w:rPr>
          <w:rFonts w:hint="eastAsia" w:ascii="方正小标宋简体" w:hAnsi="方正小标宋简体" w:eastAsia="方正小标宋简体" w:cs="方正小标宋简体"/>
          <w:sz w:val="44"/>
          <w:szCs w:val="44"/>
        </w:rPr>
      </w:pPr>
    </w:p>
    <w:p>
      <w:pPr>
        <w:jc w:val="center"/>
        <w:rPr>
          <w:rFonts w:hint="eastAsia" w:ascii="仿宋_GB2312" w:hAnsi="方正小标宋简体" w:eastAsia="仿宋_GB2312" w:cs="方正小标宋简体"/>
          <w:sz w:val="44"/>
          <w:szCs w:val="44"/>
        </w:rPr>
      </w:pPr>
    </w:p>
    <w:tbl>
      <w:tblPr>
        <w:tblStyle w:val="6"/>
        <w:tblW w:w="14603"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646"/>
        <w:gridCol w:w="1085"/>
        <w:gridCol w:w="1431"/>
        <w:gridCol w:w="3112"/>
        <w:gridCol w:w="1701"/>
        <w:gridCol w:w="993"/>
        <w:gridCol w:w="1134"/>
        <w:gridCol w:w="567"/>
        <w:gridCol w:w="850"/>
        <w:gridCol w:w="567"/>
        <w:gridCol w:w="664"/>
        <w:gridCol w:w="612"/>
        <w:gridCol w:w="425"/>
        <w:gridCol w:w="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5</w:t>
            </w:r>
          </w:p>
        </w:tc>
        <w:tc>
          <w:tcPr>
            <w:tcW w:w="646" w:type="dxa"/>
            <w:vMerge w:val="restart"/>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行</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政</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奖</w:t>
            </w:r>
          </w:p>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励</w:t>
            </w: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对人口普查中表现突出的单位和个人给予表彰和奖励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1.《全国人口普查条例》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5"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6</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对统计工作做出突出贡献、取得显著成绩的单位和个人给予表彰和奖励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1.《中华人民共和国统计法实施条例》</w:t>
            </w:r>
          </w:p>
          <w:p>
            <w:pPr>
              <w:spacing w:line="240" w:lineRule="exact"/>
              <w:jc w:val="lef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统计局行政部门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3" w:hRule="atLeast"/>
        </w:trPr>
        <w:tc>
          <w:tcPr>
            <w:tcW w:w="500" w:type="dxa"/>
            <w:vAlign w:val="center"/>
          </w:tcPr>
          <w:p>
            <w:pPr>
              <w:spacing w:line="240" w:lineRule="exact"/>
              <w:jc w:val="center"/>
              <w:rPr>
                <w:rFonts w:hint="eastAsia" w:ascii="仿宋_GB2312" w:hAnsi="仿宋" w:eastAsia="仿宋_GB2312" w:cs="仿宋"/>
                <w:kern w:val="0"/>
                <w:sz w:val="18"/>
                <w:szCs w:val="18"/>
              </w:rPr>
            </w:pPr>
            <w:r>
              <w:rPr>
                <w:rFonts w:hint="eastAsia" w:ascii="仿宋_GB2312" w:hAnsi="仿宋" w:eastAsia="仿宋_GB2312" w:cs="仿宋"/>
                <w:kern w:val="0"/>
                <w:sz w:val="18"/>
                <w:szCs w:val="18"/>
              </w:rPr>
              <w:t>7</w:t>
            </w:r>
          </w:p>
        </w:tc>
        <w:tc>
          <w:tcPr>
            <w:tcW w:w="646" w:type="dxa"/>
            <w:vMerge w:val="continue"/>
            <w:vAlign w:val="center"/>
          </w:tcPr>
          <w:p>
            <w:pPr>
              <w:spacing w:line="240" w:lineRule="exact"/>
              <w:jc w:val="center"/>
              <w:rPr>
                <w:rFonts w:hint="eastAsia" w:ascii="仿宋_GB2312" w:hAnsi="仿宋" w:eastAsia="仿宋_GB2312" w:cs="仿宋"/>
                <w:kern w:val="0"/>
                <w:sz w:val="18"/>
                <w:szCs w:val="18"/>
              </w:rPr>
            </w:pPr>
          </w:p>
        </w:tc>
        <w:tc>
          <w:tcPr>
            <w:tcW w:w="1085"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2"/>
                <w:sz w:val="18"/>
                <w:szCs w:val="18"/>
              </w:rPr>
              <w:t>对统计中弄虚作假等违法行为检举有功的单位和个人给予表彰和奖励</w:t>
            </w:r>
          </w:p>
        </w:tc>
        <w:tc>
          <w:tcPr>
            <w:tcW w:w="1431" w:type="dxa"/>
            <w:vAlign w:val="center"/>
          </w:tcPr>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1.主体信息；</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2.奖励理由；</w:t>
            </w:r>
          </w:p>
          <w:p>
            <w:pPr>
              <w:spacing w:line="240" w:lineRule="exact"/>
              <w:rPr>
                <w:rFonts w:hint="eastAsia" w:ascii="仿宋_GB2312" w:hAnsi="仿宋" w:eastAsia="仿宋_GB2312" w:cs="仿宋"/>
                <w:kern w:val="0"/>
                <w:sz w:val="18"/>
                <w:szCs w:val="18"/>
              </w:rPr>
            </w:pPr>
            <w:r>
              <w:rPr>
                <w:rFonts w:hint="eastAsia" w:ascii="仿宋_GB2312" w:hAnsi="仿宋" w:eastAsia="仿宋_GB2312" w:cs="仿宋"/>
                <w:kern w:val="0"/>
                <w:sz w:val="18"/>
                <w:szCs w:val="18"/>
              </w:rPr>
              <w:t>3.奖励依据；</w:t>
            </w:r>
          </w:p>
          <w:p>
            <w:pPr>
              <w:spacing w:line="240" w:lineRule="exact"/>
              <w:rPr>
                <w:rFonts w:hint="eastAsia" w:ascii="仿宋_GB2312" w:hAnsi="仿宋" w:eastAsia="仿宋_GB2312" w:cs="仿宋"/>
                <w:kern w:val="2"/>
                <w:sz w:val="18"/>
                <w:szCs w:val="18"/>
              </w:rPr>
            </w:pPr>
            <w:r>
              <w:rPr>
                <w:rFonts w:hint="eastAsia" w:ascii="仿宋_GB2312" w:hAnsi="仿宋" w:eastAsia="仿宋_GB2312" w:cs="仿宋"/>
                <w:kern w:val="0"/>
                <w:sz w:val="18"/>
                <w:szCs w:val="18"/>
              </w:rPr>
              <w:t>4.奖励结果。</w:t>
            </w:r>
          </w:p>
        </w:tc>
        <w:tc>
          <w:tcPr>
            <w:tcW w:w="3112" w:type="dxa"/>
            <w:vAlign w:val="center"/>
          </w:tcPr>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1.《全国农业普查条例》</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2.《中华人民共和国统计法》</w:t>
            </w:r>
          </w:p>
          <w:p>
            <w:pPr>
              <w:spacing w:line="240" w:lineRule="exact"/>
              <w:jc w:val="left"/>
              <w:rPr>
                <w:rFonts w:hint="eastAsia" w:ascii="仿宋_GB2312" w:hAnsi="仿宋" w:eastAsia="仿宋_GB2312" w:cs="仿宋"/>
                <w:kern w:val="2"/>
                <w:sz w:val="18"/>
                <w:szCs w:val="18"/>
              </w:rPr>
            </w:pPr>
            <w:r>
              <w:rPr>
                <w:rFonts w:hint="eastAsia" w:ascii="仿宋_GB2312" w:hAnsi="仿宋" w:eastAsia="仿宋_GB2312" w:cs="仿宋"/>
                <w:kern w:val="2"/>
                <w:sz w:val="18"/>
                <w:szCs w:val="18"/>
              </w:rPr>
              <w:t>3.</w:t>
            </w:r>
            <w:r>
              <w:rPr>
                <w:rFonts w:hint="eastAsia" w:ascii="仿宋_GB2312" w:hAnsi="宋体" w:eastAsia="仿宋_GB2312"/>
                <w:color w:val="000000"/>
                <w:kern w:val="0"/>
                <w:sz w:val="18"/>
                <w:szCs w:val="18"/>
              </w:rPr>
              <w:t xml:space="preserve"> 《政府信息公开条例》</w:t>
            </w:r>
          </w:p>
        </w:tc>
        <w:tc>
          <w:tcPr>
            <w:tcW w:w="1701"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奖励决定信息在决定作出之日起7个工作日内公开，其它相关信息形成或变更之日起20个工作日内公开</w:t>
            </w:r>
          </w:p>
        </w:tc>
        <w:tc>
          <w:tcPr>
            <w:tcW w:w="993"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统计局行政部门</w:t>
            </w:r>
          </w:p>
        </w:tc>
        <w:tc>
          <w:tcPr>
            <w:tcW w:w="1134"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政府网站</w:t>
            </w: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850" w:type="dxa"/>
            <w:vAlign w:val="center"/>
          </w:tcPr>
          <w:p>
            <w:pPr>
              <w:spacing w:line="240" w:lineRule="exact"/>
              <w:jc w:val="center"/>
              <w:rPr>
                <w:rFonts w:hint="eastAsia" w:ascii="仿宋_GB2312" w:hAnsi="仿宋" w:eastAsia="仿宋_GB2312" w:cs="仿宋"/>
                <w:kern w:val="2"/>
                <w:sz w:val="18"/>
                <w:szCs w:val="18"/>
              </w:rPr>
            </w:pPr>
          </w:p>
        </w:tc>
        <w:tc>
          <w:tcPr>
            <w:tcW w:w="567" w:type="dxa"/>
            <w:vAlign w:val="center"/>
          </w:tcPr>
          <w:p>
            <w:pPr>
              <w:spacing w:line="240" w:lineRule="exact"/>
              <w:jc w:val="center"/>
              <w:rPr>
                <w:rFonts w:hint="eastAsia" w:ascii="仿宋_GB2312" w:hAnsi="仿宋" w:eastAsia="仿宋_GB2312" w:cs="仿宋"/>
                <w:kern w:val="2"/>
                <w:sz w:val="18"/>
                <w:szCs w:val="18"/>
              </w:rPr>
            </w:pPr>
            <w:r>
              <w:rPr>
                <w:rFonts w:hint="eastAsia" w:ascii="仿宋_GB2312" w:hAnsi="仿宋" w:eastAsia="仿宋_GB2312" w:cs="仿宋"/>
                <w:kern w:val="0"/>
                <w:sz w:val="18"/>
                <w:szCs w:val="18"/>
              </w:rPr>
              <w:t>√</w:t>
            </w:r>
          </w:p>
        </w:tc>
        <w:tc>
          <w:tcPr>
            <w:tcW w:w="664" w:type="dxa"/>
            <w:vAlign w:val="center"/>
          </w:tcPr>
          <w:p>
            <w:pPr>
              <w:spacing w:line="240" w:lineRule="exact"/>
              <w:jc w:val="center"/>
              <w:rPr>
                <w:rFonts w:hint="eastAsia" w:ascii="仿宋_GB2312" w:hAnsi="仿宋" w:eastAsia="仿宋_GB2312" w:cs="仿宋"/>
                <w:kern w:val="2"/>
                <w:sz w:val="18"/>
                <w:szCs w:val="18"/>
              </w:rPr>
            </w:pPr>
          </w:p>
        </w:tc>
        <w:tc>
          <w:tcPr>
            <w:tcW w:w="612" w:type="dxa"/>
            <w:vAlign w:val="center"/>
          </w:tcPr>
          <w:p>
            <w:pPr>
              <w:spacing w:line="240" w:lineRule="exact"/>
              <w:jc w:val="center"/>
              <w:rPr>
                <w:rFonts w:hint="eastAsia" w:ascii="仿宋_GB2312" w:hAnsi="仿宋" w:eastAsia="仿宋_GB2312" w:cs="仿宋"/>
                <w:kern w:val="2"/>
                <w:sz w:val="18"/>
                <w:szCs w:val="18"/>
              </w:rPr>
            </w:pPr>
          </w:p>
        </w:tc>
        <w:tc>
          <w:tcPr>
            <w:tcW w:w="425" w:type="dxa"/>
            <w:vAlign w:val="center"/>
          </w:tcPr>
          <w:p>
            <w:pPr>
              <w:spacing w:line="240" w:lineRule="exact"/>
              <w:jc w:val="center"/>
              <w:rPr>
                <w:rFonts w:hint="eastAsia" w:ascii="仿宋_GB2312" w:hAnsi="仿宋" w:eastAsia="仿宋_GB2312" w:cs="仿宋"/>
                <w:kern w:val="0"/>
                <w:sz w:val="15"/>
                <w:szCs w:val="15"/>
              </w:rPr>
            </w:pPr>
            <w:r>
              <w:rPr>
                <w:rFonts w:hint="eastAsia" w:ascii="仿宋_GB2312" w:hAnsi="仿宋" w:eastAsia="仿宋_GB2312" w:cs="仿宋"/>
                <w:kern w:val="0"/>
                <w:sz w:val="15"/>
                <w:szCs w:val="15"/>
              </w:rPr>
              <w:t>√</w:t>
            </w:r>
          </w:p>
        </w:tc>
        <w:tc>
          <w:tcPr>
            <w:tcW w:w="316" w:type="dxa"/>
            <w:vAlign w:val="center"/>
          </w:tcPr>
          <w:p>
            <w:pPr>
              <w:spacing w:line="240" w:lineRule="exact"/>
              <w:jc w:val="center"/>
              <w:rPr>
                <w:rFonts w:hint="eastAsia" w:ascii="仿宋_GB2312" w:hAnsi="仿宋" w:eastAsia="仿宋_GB2312" w:cs="仿宋"/>
                <w:kern w:val="0"/>
                <w:sz w:val="15"/>
                <w:szCs w:val="15"/>
              </w:rPr>
            </w:pPr>
          </w:p>
        </w:tc>
      </w:tr>
    </w:tbl>
    <w:p>
      <w:pPr>
        <w:rPr>
          <w:rFonts w:hint="eastAsi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小标宋简体">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339B0"/>
    <w:rsid w:val="000311F3"/>
    <w:rsid w:val="00141135"/>
    <w:rsid w:val="00183387"/>
    <w:rsid w:val="002400AF"/>
    <w:rsid w:val="00241BFC"/>
    <w:rsid w:val="0025433A"/>
    <w:rsid w:val="00266D1F"/>
    <w:rsid w:val="00273DCF"/>
    <w:rsid w:val="002831C2"/>
    <w:rsid w:val="002E68C4"/>
    <w:rsid w:val="00314DB2"/>
    <w:rsid w:val="003C262B"/>
    <w:rsid w:val="00434E9C"/>
    <w:rsid w:val="00436633"/>
    <w:rsid w:val="00452724"/>
    <w:rsid w:val="00484569"/>
    <w:rsid w:val="00531E35"/>
    <w:rsid w:val="00553CE0"/>
    <w:rsid w:val="0058309A"/>
    <w:rsid w:val="007242D1"/>
    <w:rsid w:val="00794BEA"/>
    <w:rsid w:val="008339B0"/>
    <w:rsid w:val="00841569"/>
    <w:rsid w:val="0092524A"/>
    <w:rsid w:val="009D1B83"/>
    <w:rsid w:val="00A659EE"/>
    <w:rsid w:val="00AB5EBE"/>
    <w:rsid w:val="00B47B24"/>
    <w:rsid w:val="00B564F6"/>
    <w:rsid w:val="00B61AB3"/>
    <w:rsid w:val="00C1447F"/>
    <w:rsid w:val="00D135AB"/>
    <w:rsid w:val="00D37FA6"/>
    <w:rsid w:val="00D559CF"/>
    <w:rsid w:val="00E36E05"/>
    <w:rsid w:val="00F34C5F"/>
    <w:rsid w:val="00F522FC"/>
    <w:rsid w:val="00F7344B"/>
    <w:rsid w:val="05B24A97"/>
    <w:rsid w:val="17921E2F"/>
    <w:rsid w:val="450D116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semiHidden/>
    <w:qFormat/>
    <w:uiPriority w:val="99"/>
    <w:rPr>
      <w:rFonts w:ascii="Calibri" w:hAnsi="Calibri" w:eastAsia="宋体" w:cs="Times New Roman"/>
      <w:sz w:val="18"/>
      <w:szCs w:val="18"/>
    </w:rPr>
  </w:style>
  <w:style w:type="character" w:customStyle="1" w:styleId="8">
    <w:name w:val="页脚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722CF-E9F4-4A32-B919-11470C15538A}">
  <ds:schemaRefs/>
</ds:datastoreItem>
</file>

<file path=docProps/app.xml><?xml version="1.0" encoding="utf-8"?>
<Properties xmlns="http://schemas.openxmlformats.org/officeDocument/2006/extended-properties" xmlns:vt="http://schemas.openxmlformats.org/officeDocument/2006/docPropsVTypes">
  <Template>Normal</Template>
  <Pages>4</Pages>
  <Words>352</Words>
  <Characters>2011</Characters>
  <Lines>16</Lines>
  <Paragraphs>4</Paragraphs>
  <TotalTime>0</TotalTime>
  <ScaleCrop>false</ScaleCrop>
  <LinksUpToDate>false</LinksUpToDate>
  <CharactersWithSpaces>2359</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2020-11-10T02:34:00Z</dcterms:created>
  <dc:creator>Administrator</dc:creator>
  <cp:lastModifiedBy>Administrator</cp:lastModifiedBy>
  <dcterms:modified xsi:type="dcterms:W3CDTF">2020-11-19T03:37:43Z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