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page" w:tblpXSpec="center" w:tblpY="618"/>
        <w:tblOverlap w:val="never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FF0000"/>
                <w:spacing w:val="0"/>
                <w:w w:val="53"/>
                <w:sz w:val="120"/>
                <w:szCs w:val="120"/>
                <w:vertAlign w:val="baseline"/>
                <w:lang w:eastAsia="zh-CN"/>
              </w:rPr>
              <w:t>翼城县行政审批服务管理局文件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翼城县行政审批服务管理局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翼城县祥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怡塑业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有限公司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产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塑料果品包装框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6万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只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建设项目环境影响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的批复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翼城县祥怡塑业有限公司：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你单位报送的《翼城县祥怡塑业有限公司扩建年产塑料果品包装框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万只建设项目环境影响报告表》（以下简称《报告表》）及申请材料已收悉，根据《中华人民共和国环境影响评价法》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《建设项目环境保护管理条例》有关规定，结合专家评审意见，经研究，现批复如下：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一、原则同意经技术审查后修改编制的《报告表》。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二、本项目位于山西省临汾市翼城县里砦镇上韩村西北约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米。主要建设内容：在现有厂区车间内扩建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条塑料果筐生产线（扩建后共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条生产线），年生产塑料果筐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万个（扩建后总规模为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万个/年），购置注塑机等生产设备及其他相关配套设施。项目总投资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万元，其中环保投资为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万元。在严格落实《报告表》中提出的各项生态保护和污染防治措施、项目污染物满足达标排放及本批复要求的前提下，从环保角度分析，建设项目可行。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、落实施工期污染防治措施。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严格落实建筑施工工地周边围挡、物料堆放覆盖、土方开挖湿法作业、路面硬化、出入车辆清洗、渣土车辆密闭运输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措施；汽车冲洗废水沉淀后用于施工场地洒水抑尘，不外排，施工人员的生活污水收集后回用于洒水抑尘，不外排；施工期应制定严格合理的施工计划，集中安排高噪声施工阶段，并事先告知周边受影响单位施工状况，便于合理控制，施工设备选型上应尽量采用低噪声设备，对动力机械设备进行定期的维修、养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输车辆在附近村庄行驶时，要减速缓行、减少鸣笛；建筑垃圾进行分类回收利用，不能回收利用的建筑垃圾送当地环卫部门指定地点处置，施工期生活垃圾送当地环卫部门指定地点处置，施工弃土送当地环卫部门指定地点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、落实运营期大气污染防治措施。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注塑机置于全封闭车间内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注塑机产生的废气进行密闭收集，将收集的废气引至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套二级活性炭吸附装置处理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后通过高排气筒排放，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项目产生的边角料和不合格产品收集经粉碎机粉碎后重新用于生产，在破碎机出料口设置软帘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集气罩收集废气，收集的废气布袋除尘器处理，处理达标后废气由高排气筒排放。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、落实运营期水污染治理措施。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本项目无生产废水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冷却水循环使用不外排；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职工办公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污水，用于厂区洒水抑尘，不外排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、落实运营期噪声污染治理措施。从声源设备上进行噪声控制，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在设备选型上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尽量选取低噪声设备和工艺，对高噪声设备，订货时按设计要求对制造厂家提出噪声限值要求；设备全部置于室内，高噪声设备必须安装在基础减振底座上，机座四周要留有一定深度的消声槽，槽内填充玻璃纤维、矿棉等隔声材料，用微穿孔板制成的上盖封好；确保降噪设施的有效运行，并加强对生产设备的保养、检修与润滑，保证设备处于良好的运转状态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、落实固体废物污染防治措施。在厂区设置一座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10m²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废贮存库，废润滑油、废润滑油桶以及废活性炭，暂存于危废贮存库，定期交由有资质单位进行处置；边角料、不合格品全部收集后破碎，作为原料回用于生产；废包装袋全部收集后外售废品回收站；生活垃圾厂区内集中收集后交由环卫部门进行清运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、建立完善有效的环境风险防范与应急管理体系。严格落实《突发环境事件应急预案管理暂行办法》，落实各项环境风险防范措施，严防各类环境风险和次生环境污染问题发生。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、《报告表》要求的其他环保措施。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343535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翼城县行政审批服务管理局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5"/>
        <w:tblpPr w:leftFromText="181" w:rightFromText="181" w:horzAnchor="page" w:tblpXSpec="center" w:tblpYSpec="bottom"/>
        <w:tblOverlap w:val="never"/>
        <w:tblW w:w="88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翼城县行政审批服务管理局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日印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0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（共印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份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B7BE3-BE21-43DF-AC81-02E61C20E1F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9C4486-567D-4D13-987E-8216A2E26A8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DD614B-992C-4FD2-9C97-D9C3474E8D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13CF63D-A94F-4B22-ABA0-540F883DC4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2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197F217C"/>
    <w:rsid w:val="00B93F2F"/>
    <w:rsid w:val="00DE0C5C"/>
    <w:rsid w:val="02921C49"/>
    <w:rsid w:val="02B41BBD"/>
    <w:rsid w:val="03613E1C"/>
    <w:rsid w:val="055E1CB0"/>
    <w:rsid w:val="05F04400"/>
    <w:rsid w:val="06452CD8"/>
    <w:rsid w:val="078758E5"/>
    <w:rsid w:val="084408DC"/>
    <w:rsid w:val="0B35628F"/>
    <w:rsid w:val="0BF808E6"/>
    <w:rsid w:val="11B50E57"/>
    <w:rsid w:val="12F5438F"/>
    <w:rsid w:val="13A34700"/>
    <w:rsid w:val="153D6320"/>
    <w:rsid w:val="16651332"/>
    <w:rsid w:val="17F673BF"/>
    <w:rsid w:val="1889473F"/>
    <w:rsid w:val="197F217C"/>
    <w:rsid w:val="19EF234A"/>
    <w:rsid w:val="1A6D7AEC"/>
    <w:rsid w:val="1AA37AEA"/>
    <w:rsid w:val="1B563362"/>
    <w:rsid w:val="20553A63"/>
    <w:rsid w:val="21F71AC8"/>
    <w:rsid w:val="22A305CD"/>
    <w:rsid w:val="24DF6791"/>
    <w:rsid w:val="2755491D"/>
    <w:rsid w:val="29127F33"/>
    <w:rsid w:val="2A1865C3"/>
    <w:rsid w:val="2C153E60"/>
    <w:rsid w:val="2C740E03"/>
    <w:rsid w:val="2E4146DD"/>
    <w:rsid w:val="2E6D4F04"/>
    <w:rsid w:val="2E794440"/>
    <w:rsid w:val="300D25F8"/>
    <w:rsid w:val="31582AE3"/>
    <w:rsid w:val="32305768"/>
    <w:rsid w:val="33AA6EA7"/>
    <w:rsid w:val="3521599A"/>
    <w:rsid w:val="354D25F5"/>
    <w:rsid w:val="36BD65E5"/>
    <w:rsid w:val="37647048"/>
    <w:rsid w:val="37FC15EC"/>
    <w:rsid w:val="38ED5B64"/>
    <w:rsid w:val="39FB2218"/>
    <w:rsid w:val="3B1A2EA9"/>
    <w:rsid w:val="3B6F4922"/>
    <w:rsid w:val="3D5642D8"/>
    <w:rsid w:val="3FC65372"/>
    <w:rsid w:val="3FD370BE"/>
    <w:rsid w:val="442D1E43"/>
    <w:rsid w:val="443D5C42"/>
    <w:rsid w:val="44797D33"/>
    <w:rsid w:val="46307C73"/>
    <w:rsid w:val="477405D9"/>
    <w:rsid w:val="484D5598"/>
    <w:rsid w:val="4E9A453D"/>
    <w:rsid w:val="501920B7"/>
    <w:rsid w:val="506E58F8"/>
    <w:rsid w:val="50966A6E"/>
    <w:rsid w:val="50AF606C"/>
    <w:rsid w:val="515E4487"/>
    <w:rsid w:val="51BD44CE"/>
    <w:rsid w:val="53743AF0"/>
    <w:rsid w:val="53BF1359"/>
    <w:rsid w:val="53D67F9B"/>
    <w:rsid w:val="553E2A28"/>
    <w:rsid w:val="57D468AC"/>
    <w:rsid w:val="589B50CA"/>
    <w:rsid w:val="58E874FC"/>
    <w:rsid w:val="596D24C3"/>
    <w:rsid w:val="5AAB75B9"/>
    <w:rsid w:val="5B9B596C"/>
    <w:rsid w:val="5C7F7B03"/>
    <w:rsid w:val="5D8D288B"/>
    <w:rsid w:val="5DF72981"/>
    <w:rsid w:val="622A5351"/>
    <w:rsid w:val="64984A74"/>
    <w:rsid w:val="66142F6C"/>
    <w:rsid w:val="68585541"/>
    <w:rsid w:val="685D173A"/>
    <w:rsid w:val="68C40628"/>
    <w:rsid w:val="68E86E05"/>
    <w:rsid w:val="6A844BC4"/>
    <w:rsid w:val="6C057672"/>
    <w:rsid w:val="6E6D3339"/>
    <w:rsid w:val="6F8C6076"/>
    <w:rsid w:val="6FCF7E32"/>
    <w:rsid w:val="721645EA"/>
    <w:rsid w:val="73AC26EE"/>
    <w:rsid w:val="7527352B"/>
    <w:rsid w:val="785310BB"/>
    <w:rsid w:val="79D44464"/>
    <w:rsid w:val="7B1C0C73"/>
    <w:rsid w:val="7B6F2F4D"/>
    <w:rsid w:val="7D2034B1"/>
    <w:rsid w:val="7F42376E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ind w:left="960" w:firstLine="479"/>
    </w:pPr>
    <w:rPr>
      <w:rFonts w:ascii="宋体" w:hAnsi="宋体" w:eastAsia="宋体" w:cs="宋体"/>
      <w:sz w:val="24"/>
    </w:rPr>
  </w:style>
  <w:style w:type="paragraph" w:customStyle="1" w:styleId="6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ind w:firstLine="600"/>
    </w:pPr>
    <w:rPr>
      <w:sz w:val="28"/>
    </w:rPr>
  </w:style>
  <w:style w:type="paragraph" w:styleId="8">
    <w:name w:val="Plain Text"/>
    <w:basedOn w:val="1"/>
    <w:next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13">
    <w:name w:val="Body Text First Indent 2"/>
    <w:basedOn w:val="7"/>
    <w:next w:val="1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9">
    <w:name w:val="font31"/>
    <w:basedOn w:val="1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20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1">
    <w:name w:val="标准文件_章标题"/>
    <w:next w:val="18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一级条标题"/>
    <w:basedOn w:val="21"/>
    <w:next w:val="18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3">
    <w:name w:val="标准文件_二级无标题"/>
    <w:basedOn w:val="24"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24">
    <w:name w:val="标准文件_二级条标题"/>
    <w:next w:val="18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25">
    <w:name w:val="报告表表格文字"/>
    <w:qFormat/>
    <w:uiPriority w:val="0"/>
    <w:pPr>
      <w:widowControl/>
      <w:jc w:val="center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1579</Words>
  <Characters>1598</Characters>
  <Lines>0</Lines>
  <Paragraphs>0</Paragraphs>
  <TotalTime>6</TotalTime>
  <ScaleCrop>false</ScaleCrop>
  <LinksUpToDate>false</LinksUpToDate>
  <CharactersWithSpaces>2071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XURUIRUI</cp:lastModifiedBy>
  <cp:lastPrinted>2025-07-29T10:45:00Z</cp:lastPrinted>
  <dcterms:modified xsi:type="dcterms:W3CDTF">2025-07-30T07:20:02Z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8FAECD9741CC41F3BF059F7F74AFE7A3_13</vt:lpwstr>
  </property>
  <property fmtid="{D5CDD505-2E9C-101B-9397-08002B2CF9AE}" pid="4" name="KSOTemplateDocerSaveRecord">
    <vt:lpwstr>eyJoZGlkIjoiOWNmNDkyNjQ5MDc3MjlmODU3MDk3NDY3NzBhYWE1ZmEifQ==</vt:lpwstr>
  </property>
</Properties>
</file>