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jc w:val="center"/>
        <w:textAlignment w:val="baseline"/>
        <w:rPr>
          <w:sz w:val="72"/>
          <w:szCs w:val="20"/>
        </w:rPr>
      </w:pPr>
      <w:r>
        <w:rPr>
          <w:sz w:val="72"/>
          <w:szCs w:val="20"/>
        </w:rPr>
        <w:t>建设项目环境影响报告表</w:t>
      </w:r>
    </w:p>
    <w:p>
      <w:pPr>
        <w:adjustRightInd w:val="0"/>
        <w:spacing w:before="249" w:beforeLines="80"/>
        <w:jc w:val="center"/>
        <w:textAlignment w:val="baseline"/>
        <w:rPr>
          <w:rFonts w:eastAsia="楷体"/>
          <w:sz w:val="48"/>
          <w:szCs w:val="20"/>
        </w:rPr>
      </w:pPr>
      <w:r>
        <w:rPr>
          <w:rFonts w:eastAsia="楷体"/>
          <w:sz w:val="48"/>
          <w:szCs w:val="20"/>
        </w:rPr>
        <w:t>（污染影响类）</w:t>
      </w: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tabs>
          <w:tab w:val="left" w:pos="8100"/>
        </w:tabs>
        <w:adjustRightInd w:val="0"/>
        <w:spacing w:line="288" w:lineRule="auto"/>
        <w:ind w:left="1650" w:leftChars="100" w:hanging="1440" w:hangingChars="400"/>
        <w:textAlignment w:val="baseline"/>
        <w:rPr>
          <w:rFonts w:eastAsia="仿宋"/>
          <w:sz w:val="36"/>
          <w:szCs w:val="36"/>
          <w:u w:val="single"/>
        </w:rPr>
      </w:pPr>
      <w:r>
        <w:rPr>
          <w:rFonts w:eastAsia="仿宋"/>
          <w:sz w:val="36"/>
          <w:szCs w:val="36"/>
        </w:rPr>
        <w:t>项目名称：</w:t>
      </w:r>
      <w:r>
        <w:rPr>
          <w:rFonts w:eastAsia="仿宋"/>
          <w:sz w:val="36"/>
          <w:szCs w:val="36"/>
          <w:u w:val="single"/>
        </w:rPr>
        <w:t>翼城县祥怡塑业有限公司扩建年产塑料果品</w:t>
      </w:r>
    </w:p>
    <w:p>
      <w:pPr>
        <w:tabs>
          <w:tab w:val="left" w:pos="8100"/>
        </w:tabs>
        <w:adjustRightInd w:val="0"/>
        <w:spacing w:line="288" w:lineRule="auto"/>
        <w:ind w:left="1050" w:leftChars="500" w:firstLine="950" w:firstLineChars="264"/>
        <w:textAlignment w:val="baseline"/>
        <w:rPr>
          <w:rFonts w:eastAsia="仿宋"/>
          <w:sz w:val="36"/>
          <w:szCs w:val="36"/>
        </w:rPr>
      </w:pPr>
      <w:r>
        <w:rPr>
          <w:rFonts w:eastAsia="仿宋"/>
          <w:sz w:val="36"/>
          <w:szCs w:val="36"/>
          <w:u w:val="single"/>
        </w:rPr>
        <w:t>包装</w:t>
      </w:r>
      <w:r>
        <w:rPr>
          <w:rFonts w:hint="eastAsia" w:eastAsia="仿宋"/>
          <w:sz w:val="36"/>
          <w:szCs w:val="36"/>
          <w:u w:val="single"/>
          <w:lang w:eastAsia="zh-CN"/>
        </w:rPr>
        <w:t>框</w:t>
      </w:r>
      <w:bookmarkStart w:id="13" w:name="_GoBack"/>
      <w:bookmarkEnd w:id="13"/>
      <w:r>
        <w:rPr>
          <w:rFonts w:eastAsia="仿宋"/>
          <w:sz w:val="36"/>
          <w:szCs w:val="36"/>
          <w:u w:val="single"/>
        </w:rPr>
        <w:t xml:space="preserve">6万只建设项目                  </w:t>
      </w:r>
    </w:p>
    <w:p>
      <w:pPr>
        <w:tabs>
          <w:tab w:val="left" w:pos="8100"/>
        </w:tabs>
        <w:adjustRightInd w:val="0"/>
        <w:spacing w:line="288" w:lineRule="auto"/>
        <w:ind w:left="1650" w:leftChars="100" w:hanging="1440" w:hangingChars="400"/>
        <w:textAlignment w:val="baseline"/>
        <w:rPr>
          <w:rFonts w:eastAsia="仿宋"/>
          <w:sz w:val="36"/>
          <w:szCs w:val="36"/>
        </w:rPr>
      </w:pPr>
      <w:r>
        <w:rPr>
          <w:rFonts w:eastAsia="仿宋"/>
          <w:sz w:val="36"/>
          <w:szCs w:val="36"/>
        </w:rPr>
        <w:t>建设单位（盖章）：</w:t>
      </w:r>
      <w:r>
        <w:rPr>
          <w:rFonts w:eastAsia="仿宋"/>
          <w:sz w:val="36"/>
          <w:szCs w:val="36"/>
          <w:u w:val="single"/>
        </w:rPr>
        <w:t xml:space="preserve">翼城县祥怡塑业有限公司        </w:t>
      </w:r>
    </w:p>
    <w:p>
      <w:pPr>
        <w:tabs>
          <w:tab w:val="left" w:pos="8100"/>
        </w:tabs>
        <w:adjustRightInd w:val="0"/>
        <w:spacing w:line="288" w:lineRule="auto"/>
        <w:ind w:left="1650" w:leftChars="100" w:hanging="1440" w:hangingChars="400"/>
        <w:textAlignment w:val="baseline"/>
        <w:rPr>
          <w:rFonts w:eastAsia="仿宋"/>
          <w:sz w:val="36"/>
          <w:szCs w:val="36"/>
        </w:rPr>
      </w:pPr>
      <w:r>
        <w:rPr>
          <w:rFonts w:eastAsia="仿宋"/>
          <w:sz w:val="36"/>
          <w:szCs w:val="36"/>
        </w:rPr>
        <w:t>编制日期：</w:t>
      </w:r>
      <w:r>
        <w:rPr>
          <w:rFonts w:eastAsia="仿宋"/>
          <w:sz w:val="36"/>
          <w:szCs w:val="36"/>
          <w:u w:val="single"/>
        </w:rPr>
        <w:t xml:space="preserve">             2025年6月              </w:t>
      </w: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type="lines" w:linePitch="312" w:charSpace="0"/>
        </w:sectPr>
      </w:pPr>
      <w:r>
        <w:rPr>
          <w:rFonts w:eastAsia="楷体_GB2312"/>
          <w:sz w:val="36"/>
          <w:szCs w:val="36"/>
        </w:rPr>
        <w:t>中华人民共和国生态环境部制</w:t>
      </w:r>
    </w:p>
    <w:p>
      <w:pPr>
        <w:pStyle w:val="2"/>
        <w:spacing w:line="240" w:lineRule="auto"/>
        <w:ind w:firstLine="0" w:firstLineChars="0"/>
      </w:pPr>
    </w:p>
    <w:p>
      <w:pPr>
        <w:pStyle w:val="2"/>
        <w:ind w:firstLine="0" w:firstLineChars="0"/>
      </w:pPr>
    </w:p>
    <w:tbl>
      <w:tblPr>
        <w:tblStyle w:val="2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77820" cy="2159635"/>
                  <wp:effectExtent l="0" t="0" r="0" b="0"/>
                  <wp:docPr id="14845675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67565" name="图片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8370" cy="2160000"/>
                          </a:xfrm>
                          <a:prstGeom prst="rect">
                            <a:avLst/>
                          </a:prstGeom>
                          <a:noFill/>
                          <a:ln>
                            <a:noFill/>
                          </a:ln>
                        </pic:spPr>
                      </pic:pic>
                    </a:graphicData>
                  </a:graphic>
                </wp:inline>
              </w:drawing>
            </w:r>
          </w:p>
        </w:tc>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28925" cy="2159635"/>
                  <wp:effectExtent l="0" t="0" r="9525" b="0"/>
                  <wp:docPr id="7305844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4465" name="图片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29407" cy="216000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30" w:type="dxa"/>
            <w:vAlign w:val="center"/>
          </w:tcPr>
          <w:p>
            <w:pPr>
              <w:adjustRightInd w:val="0"/>
              <w:snapToGrid w:val="0"/>
              <w:spacing w:line="288" w:lineRule="auto"/>
              <w:jc w:val="center"/>
              <w:rPr>
                <w:b/>
                <w:bCs/>
                <w:snapToGrid w:val="0"/>
                <w:sz w:val="24"/>
              </w:rPr>
            </w:pPr>
            <w:r>
              <w:rPr>
                <w:b/>
                <w:bCs/>
                <w:snapToGrid w:val="0"/>
                <w:sz w:val="24"/>
              </w:rPr>
              <w:t>现有生产线</w:t>
            </w:r>
          </w:p>
        </w:tc>
        <w:tc>
          <w:tcPr>
            <w:tcW w:w="4530" w:type="dxa"/>
            <w:vAlign w:val="center"/>
          </w:tcPr>
          <w:p>
            <w:pPr>
              <w:adjustRightInd w:val="0"/>
              <w:snapToGrid w:val="0"/>
              <w:spacing w:line="288" w:lineRule="auto"/>
              <w:jc w:val="center"/>
              <w:rPr>
                <w:b/>
                <w:bCs/>
                <w:snapToGrid w:val="0"/>
                <w:sz w:val="24"/>
              </w:rPr>
            </w:pPr>
            <w:r>
              <w:rPr>
                <w:b/>
                <w:bCs/>
                <w:snapToGrid w:val="0"/>
                <w:sz w:val="24"/>
              </w:rPr>
              <w:t>拟建扩建生产线位置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77820" cy="2159635"/>
                  <wp:effectExtent l="0" t="0" r="0" b="0"/>
                  <wp:docPr id="834764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64316" name="图片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8371" cy="2160000"/>
                          </a:xfrm>
                          <a:prstGeom prst="rect">
                            <a:avLst/>
                          </a:prstGeom>
                          <a:noFill/>
                          <a:ln>
                            <a:noFill/>
                          </a:ln>
                        </pic:spPr>
                      </pic:pic>
                    </a:graphicData>
                  </a:graphic>
                </wp:inline>
              </w:drawing>
            </w:r>
          </w:p>
        </w:tc>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77820" cy="2159635"/>
                  <wp:effectExtent l="0" t="0" r="0" b="0"/>
                  <wp:docPr id="5245919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91933"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8371"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30" w:type="dxa"/>
            <w:vAlign w:val="center"/>
          </w:tcPr>
          <w:p>
            <w:pPr>
              <w:adjustRightInd w:val="0"/>
              <w:snapToGrid w:val="0"/>
              <w:spacing w:line="288" w:lineRule="auto"/>
              <w:jc w:val="center"/>
              <w:rPr>
                <w:b/>
                <w:bCs/>
                <w:snapToGrid w:val="0"/>
                <w:sz w:val="24"/>
              </w:rPr>
            </w:pPr>
            <w:r>
              <w:rPr>
                <w:b/>
                <w:bCs/>
                <w:snapToGrid w:val="0"/>
                <w:sz w:val="24"/>
              </w:rPr>
              <w:t>现有环保设施及厂区</w:t>
            </w:r>
          </w:p>
        </w:tc>
        <w:tc>
          <w:tcPr>
            <w:tcW w:w="4530" w:type="dxa"/>
            <w:vAlign w:val="center"/>
          </w:tcPr>
          <w:p>
            <w:pPr>
              <w:adjustRightInd w:val="0"/>
              <w:snapToGrid w:val="0"/>
              <w:spacing w:line="288" w:lineRule="auto"/>
              <w:jc w:val="center"/>
              <w:rPr>
                <w:b/>
                <w:bCs/>
                <w:snapToGrid w:val="0"/>
                <w:sz w:val="24"/>
              </w:rPr>
            </w:pPr>
            <w:r>
              <w:rPr>
                <w:b/>
                <w:bCs/>
                <w:snapToGrid w:val="0"/>
                <w:sz w:val="24"/>
              </w:rPr>
              <w:t>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76550" cy="2159635"/>
                  <wp:effectExtent l="0" t="0" r="0" b="0"/>
                  <wp:docPr id="4884034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476"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76594" cy="2160000"/>
                          </a:xfrm>
                          <a:prstGeom prst="rect">
                            <a:avLst/>
                          </a:prstGeom>
                          <a:noFill/>
                          <a:ln>
                            <a:noFill/>
                          </a:ln>
                        </pic:spPr>
                      </pic:pic>
                    </a:graphicData>
                  </a:graphic>
                </wp:inline>
              </w:drawing>
            </w:r>
          </w:p>
        </w:tc>
        <w:tc>
          <w:tcPr>
            <w:tcW w:w="4530" w:type="dxa"/>
            <w:vAlign w:val="center"/>
          </w:tcPr>
          <w:p>
            <w:pPr>
              <w:adjustRightInd w:val="0"/>
              <w:snapToGrid w:val="0"/>
              <w:spacing w:line="288" w:lineRule="auto"/>
              <w:jc w:val="center"/>
              <w:rPr>
                <w:b/>
                <w:bCs/>
                <w:snapToGrid w:val="0"/>
                <w:sz w:val="24"/>
              </w:rPr>
            </w:pPr>
            <w:r>
              <w:rPr>
                <w:b/>
                <w:bCs/>
                <w:snapToGrid w:val="0"/>
                <w:sz w:val="24"/>
              </w:rPr>
              <w:drawing>
                <wp:inline distT="0" distB="0" distL="0" distR="0">
                  <wp:extent cx="2877820" cy="2159635"/>
                  <wp:effectExtent l="0" t="0" r="0" b="0"/>
                  <wp:docPr id="18671937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93704"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8372"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30" w:type="dxa"/>
            <w:vAlign w:val="center"/>
          </w:tcPr>
          <w:p>
            <w:pPr>
              <w:adjustRightInd w:val="0"/>
              <w:snapToGrid w:val="0"/>
              <w:spacing w:line="288" w:lineRule="auto"/>
              <w:jc w:val="center"/>
              <w:rPr>
                <w:b/>
                <w:bCs/>
                <w:snapToGrid w:val="0"/>
                <w:sz w:val="24"/>
              </w:rPr>
            </w:pPr>
            <w:r>
              <w:rPr>
                <w:b/>
                <w:bCs/>
                <w:snapToGrid w:val="0"/>
                <w:sz w:val="24"/>
              </w:rPr>
              <w:t>成品库</w:t>
            </w:r>
          </w:p>
        </w:tc>
        <w:tc>
          <w:tcPr>
            <w:tcW w:w="4530" w:type="dxa"/>
            <w:vAlign w:val="center"/>
          </w:tcPr>
          <w:p>
            <w:pPr>
              <w:adjustRightInd w:val="0"/>
              <w:snapToGrid w:val="0"/>
              <w:spacing w:line="288" w:lineRule="auto"/>
              <w:jc w:val="center"/>
              <w:rPr>
                <w:rFonts w:hint="eastAsia" w:eastAsia="宋体"/>
                <w:b/>
                <w:bCs/>
                <w:snapToGrid w:val="0"/>
                <w:sz w:val="24"/>
                <w:lang w:eastAsia="zh-CN"/>
              </w:rPr>
            </w:pPr>
            <w:r>
              <w:rPr>
                <w:b/>
                <w:bCs/>
                <w:snapToGrid w:val="0"/>
                <w:sz w:val="24"/>
              </w:rPr>
              <w:t>成品果</w:t>
            </w:r>
            <w:r>
              <w:rPr>
                <w:rFonts w:hint="eastAsia"/>
                <w:b/>
                <w:bCs/>
                <w:snapToGrid w:val="0"/>
                <w:sz w:val="24"/>
                <w:lang w:eastAsia="zh-CN"/>
              </w:rPr>
              <w:t>框</w:t>
            </w:r>
          </w:p>
        </w:tc>
      </w:tr>
    </w:tbl>
    <w:p>
      <w:pPr>
        <w:pStyle w:val="2"/>
        <w:ind w:firstLine="0" w:firstLineChars="0"/>
      </w:pPr>
    </w:p>
    <w:p>
      <w:pPr>
        <w:pStyle w:val="2"/>
        <w:ind w:firstLine="0" w:firstLineChars="0"/>
        <w:sectPr>
          <w:pgSz w:w="11906" w:h="16838"/>
          <w:pgMar w:top="1701" w:right="1531" w:bottom="1701" w:left="1531" w:header="851" w:footer="1077" w:gutter="0"/>
          <w:pgNumType w:start="3"/>
          <w:cols w:space="720" w:num="1"/>
          <w:docGrid w:type="lines" w:linePitch="312" w:charSpace="0"/>
        </w:sectPr>
      </w:pPr>
    </w:p>
    <w:sdt>
      <w:sdtPr>
        <w:rPr>
          <w:rFonts w:ascii="Times New Roman" w:hAnsi="Times New Roman" w:eastAsia="宋体" w:cs="Times New Roman"/>
          <w:b w:val="0"/>
          <w:bCs w:val="0"/>
          <w:color w:val="auto"/>
          <w:kern w:val="2"/>
          <w:sz w:val="36"/>
          <w:szCs w:val="44"/>
          <w:lang w:val="zh-CN"/>
        </w:rPr>
        <w:id w:val="25641450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73"/>
            <w:jc w:val="center"/>
            <w:rPr>
              <w:rFonts w:ascii="Times New Roman" w:hAnsi="Times New Roman" w:cs="Times New Roman"/>
              <w:color w:val="auto"/>
              <w:sz w:val="36"/>
              <w:szCs w:val="44"/>
              <w:lang w:val="zh-CN"/>
            </w:rPr>
          </w:pPr>
          <w:r>
            <w:rPr>
              <w:rFonts w:ascii="Times New Roman" w:hAnsi="Times New Roman" w:cs="Times New Roman"/>
              <w:color w:val="auto"/>
              <w:sz w:val="36"/>
              <w:szCs w:val="44"/>
              <w:lang w:val="zh-CN"/>
            </w:rPr>
            <w:t>目  录</w:t>
          </w:r>
        </w:p>
        <w:p>
          <w:pPr>
            <w:rPr>
              <w:lang w:val="zh-CN"/>
            </w:rPr>
          </w:pPr>
        </w:p>
        <w:p>
          <w:pPr>
            <w:pStyle w:val="16"/>
            <w:tabs>
              <w:tab w:val="right" w:leader="dot" w:pos="8296"/>
            </w:tabs>
            <w:rPr>
              <w:rFonts w:cs="Times New Roman"/>
              <w:kern w:val="2"/>
              <w:szCs w:val="24"/>
              <w14:ligatures w14:val="standardContextual"/>
            </w:rPr>
          </w:pPr>
          <w:r>
            <w:rPr>
              <w:rFonts w:cs="Times New Roman"/>
            </w:rPr>
            <w:fldChar w:fldCharType="begin"/>
          </w:r>
          <w:r>
            <w:rPr>
              <w:rFonts w:cs="Times New Roman"/>
            </w:rPr>
            <w:instrText xml:space="preserve"> TOC \o "1-2" \h \z \u </w:instrText>
          </w:r>
          <w:r>
            <w:rPr>
              <w:rFonts w:cs="Times New Roman"/>
            </w:rPr>
            <w:fldChar w:fldCharType="separate"/>
          </w:r>
          <w:r>
            <w:fldChar w:fldCharType="begin"/>
          </w:r>
          <w:r>
            <w:instrText xml:space="preserve"> HYPERLINK \l "_Toc196816300" </w:instrText>
          </w:r>
          <w:r>
            <w:fldChar w:fldCharType="separate"/>
          </w:r>
          <w:r>
            <w:rPr>
              <w:rStyle w:val="26"/>
              <w:rFonts w:eastAsia="黑体" w:cs="Times New Roman"/>
              <w:snapToGrid w:val="0"/>
              <w:color w:val="auto"/>
            </w:rPr>
            <w:t>一、建设项目基本情况</w:t>
          </w:r>
          <w:r>
            <w:rPr>
              <w:rFonts w:cs="Times New Roman"/>
            </w:rPr>
            <w:tab/>
          </w:r>
          <w:r>
            <w:rPr>
              <w:rFonts w:cs="Times New Roman"/>
            </w:rPr>
            <w:fldChar w:fldCharType="begin"/>
          </w:r>
          <w:r>
            <w:rPr>
              <w:rFonts w:cs="Times New Roman"/>
            </w:rPr>
            <w:instrText xml:space="preserve"> PAGEREF _Toc196816300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"_Toc196816301" </w:instrText>
          </w:r>
          <w:r>
            <w:fldChar w:fldCharType="separate"/>
          </w:r>
          <w:r>
            <w:rPr>
              <w:rStyle w:val="26"/>
              <w:rFonts w:eastAsia="黑体" w:cs="Times New Roman"/>
              <w:snapToGrid w:val="0"/>
              <w:color w:val="auto"/>
            </w:rPr>
            <w:t>二、建设项目工程分析</w:t>
          </w:r>
          <w:r>
            <w:rPr>
              <w:rFonts w:cs="Times New Roman"/>
            </w:rPr>
            <w:tab/>
          </w:r>
          <w:r>
            <w:rPr>
              <w:rFonts w:cs="Times New Roman"/>
            </w:rPr>
            <w:fldChar w:fldCharType="begin"/>
          </w:r>
          <w:r>
            <w:rPr>
              <w:rFonts w:cs="Times New Roman"/>
            </w:rPr>
            <w:instrText xml:space="preserve"> PAGEREF _Toc196816301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"_Toc196816302" </w:instrText>
          </w:r>
          <w:r>
            <w:fldChar w:fldCharType="separate"/>
          </w:r>
          <w:r>
            <w:rPr>
              <w:rStyle w:val="26"/>
              <w:rFonts w:eastAsia="黑体" w:cs="Times New Roman"/>
              <w:snapToGrid w:val="0"/>
              <w:color w:val="auto"/>
            </w:rPr>
            <w:t>三、区域环境质量现状、环境保护目标及评价标准</w:t>
          </w:r>
          <w:r>
            <w:rPr>
              <w:rFonts w:cs="Times New Roman"/>
            </w:rPr>
            <w:tab/>
          </w:r>
          <w:r>
            <w:rPr>
              <w:rFonts w:cs="Times New Roman"/>
            </w:rPr>
            <w:fldChar w:fldCharType="begin"/>
          </w:r>
          <w:r>
            <w:rPr>
              <w:rFonts w:cs="Times New Roman"/>
            </w:rPr>
            <w:instrText xml:space="preserve"> PAGEREF _Toc196816302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"_Toc196816303" </w:instrText>
          </w:r>
          <w:r>
            <w:fldChar w:fldCharType="separate"/>
          </w:r>
          <w:r>
            <w:rPr>
              <w:rStyle w:val="26"/>
              <w:rFonts w:eastAsia="黑体" w:cs="Times New Roman"/>
              <w:snapToGrid w:val="0"/>
              <w:color w:val="auto"/>
            </w:rPr>
            <w:t>四、主要环境影响和保护措施</w:t>
          </w:r>
          <w:r>
            <w:rPr>
              <w:rFonts w:cs="Times New Roman"/>
            </w:rPr>
            <w:tab/>
          </w:r>
          <w:r>
            <w:rPr>
              <w:rFonts w:cs="Times New Roman"/>
            </w:rPr>
            <w:fldChar w:fldCharType="begin"/>
          </w:r>
          <w:r>
            <w:rPr>
              <w:rFonts w:cs="Times New Roman"/>
            </w:rPr>
            <w:instrText xml:space="preserve"> PAGEREF _Toc196816303 \h </w:instrText>
          </w:r>
          <w:r>
            <w:rPr>
              <w:rFonts w:cs="Times New Roman"/>
            </w:rPr>
            <w:fldChar w:fldCharType="separate"/>
          </w:r>
          <w:r>
            <w:rPr>
              <w:rFonts w:cs="Times New Roman"/>
            </w:rPr>
            <w:t>23</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"_Toc196816304" </w:instrText>
          </w:r>
          <w:r>
            <w:fldChar w:fldCharType="separate"/>
          </w:r>
          <w:r>
            <w:rPr>
              <w:rStyle w:val="26"/>
              <w:rFonts w:eastAsia="黑体" w:cs="Times New Roman"/>
              <w:snapToGrid w:val="0"/>
              <w:color w:val="auto"/>
            </w:rPr>
            <w:t>五、环境保护措施监督检查清单</w:t>
          </w:r>
          <w:r>
            <w:rPr>
              <w:rFonts w:cs="Times New Roman"/>
            </w:rPr>
            <w:tab/>
          </w:r>
          <w:r>
            <w:rPr>
              <w:rFonts w:cs="Times New Roman"/>
            </w:rPr>
            <w:fldChar w:fldCharType="begin"/>
          </w:r>
          <w:r>
            <w:rPr>
              <w:rFonts w:cs="Times New Roman"/>
            </w:rPr>
            <w:instrText xml:space="preserve"> PAGEREF _Toc196816304 \h </w:instrText>
          </w:r>
          <w:r>
            <w:rPr>
              <w:rFonts w:cs="Times New Roman"/>
            </w:rPr>
            <w:fldChar w:fldCharType="separate"/>
          </w:r>
          <w:r>
            <w:rPr>
              <w:rFonts w:cs="Times New Roman"/>
            </w:rPr>
            <w:t>39</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"_Toc196816305" </w:instrText>
          </w:r>
          <w:r>
            <w:fldChar w:fldCharType="separate"/>
          </w:r>
          <w:r>
            <w:rPr>
              <w:rStyle w:val="26"/>
              <w:rFonts w:eastAsia="黑体" w:cs="Times New Roman"/>
              <w:snapToGrid w:val="0"/>
              <w:color w:val="auto"/>
            </w:rPr>
            <w:t>六、结论</w:t>
          </w:r>
          <w:r>
            <w:rPr>
              <w:rFonts w:cs="Times New Roman"/>
            </w:rPr>
            <w:tab/>
          </w:r>
          <w:r>
            <w:rPr>
              <w:rFonts w:cs="Times New Roman"/>
            </w:rPr>
            <w:fldChar w:fldCharType="begin"/>
          </w:r>
          <w:r>
            <w:rPr>
              <w:rFonts w:cs="Times New Roman"/>
            </w:rPr>
            <w:instrText xml:space="preserve"> PAGEREF _Toc196816305 \h </w:instrText>
          </w:r>
          <w:r>
            <w:rPr>
              <w:rFonts w:cs="Times New Roman"/>
            </w:rPr>
            <w:fldChar w:fldCharType="separate"/>
          </w:r>
          <w:r>
            <w:rPr>
              <w:rFonts w:cs="Times New Roman"/>
            </w:rPr>
            <w:t>41</w:t>
          </w:r>
          <w:r>
            <w:rPr>
              <w:rFonts w:cs="Times New Roman"/>
            </w:rPr>
            <w:fldChar w:fldCharType="end"/>
          </w:r>
          <w:r>
            <w:rPr>
              <w:rFonts w:cs="Times New Roman"/>
            </w:rPr>
            <w:fldChar w:fldCharType="end"/>
          </w:r>
        </w:p>
        <w:p>
          <w:pPr>
            <w:pStyle w:val="16"/>
            <w:tabs>
              <w:tab w:val="right" w:leader="dot" w:pos="8296"/>
            </w:tabs>
            <w:rPr>
              <w:rFonts w:cs="Times New Roman"/>
              <w:kern w:val="2"/>
              <w:szCs w:val="24"/>
              <w14:ligatures w14:val="standardContextual"/>
            </w:rPr>
          </w:pPr>
          <w:r>
            <w:fldChar w:fldCharType="begin"/>
          </w:r>
          <w:r>
            <w:instrText xml:space="preserve"> HYPERLINK \l "_Toc196816306" </w:instrText>
          </w:r>
          <w:r>
            <w:fldChar w:fldCharType="separate"/>
          </w:r>
          <w:r>
            <w:rPr>
              <w:rStyle w:val="26"/>
              <w:rFonts w:eastAsia="黑体" w:cs="Times New Roman"/>
              <w:snapToGrid w:val="0"/>
              <w:color w:val="auto"/>
            </w:rPr>
            <w:t>附表</w:t>
          </w:r>
          <w:r>
            <w:rPr>
              <w:rFonts w:cs="Times New Roman"/>
            </w:rPr>
            <w:tab/>
          </w:r>
          <w:r>
            <w:rPr>
              <w:rFonts w:cs="Times New Roman"/>
            </w:rPr>
            <w:fldChar w:fldCharType="begin"/>
          </w:r>
          <w:r>
            <w:rPr>
              <w:rFonts w:cs="Times New Roman"/>
            </w:rPr>
            <w:instrText xml:space="preserve"> PAGEREF _Toc196816306 \h </w:instrText>
          </w:r>
          <w:r>
            <w:rPr>
              <w:rFonts w:cs="Times New Roman"/>
            </w:rPr>
            <w:fldChar w:fldCharType="separate"/>
          </w:r>
          <w:r>
            <w:rPr>
              <w:rFonts w:cs="Times New Roman"/>
            </w:rPr>
            <w:t>42</w:t>
          </w:r>
          <w:r>
            <w:rPr>
              <w:rFonts w:cs="Times New Roman"/>
            </w:rPr>
            <w:fldChar w:fldCharType="end"/>
          </w:r>
          <w:r>
            <w:rPr>
              <w:rFonts w:cs="Times New Roman"/>
            </w:rPr>
            <w:fldChar w:fldCharType="end"/>
          </w:r>
        </w:p>
        <w:p>
          <w:pPr>
            <w:rPr>
              <w:lang w:val="zh-CN"/>
            </w:rPr>
          </w:pPr>
          <w:r>
            <w:rPr>
              <w:rFonts w:eastAsiaTheme="minorEastAsia"/>
              <w:kern w:val="0"/>
              <w:sz w:val="22"/>
              <w:szCs w:val="22"/>
            </w:rPr>
            <w:fldChar w:fldCharType="end"/>
          </w:r>
        </w:p>
      </w:sdtContent>
    </w:sdt>
    <w:p>
      <w:pPr>
        <w:pStyle w:val="2"/>
        <w:ind w:firstLine="0" w:firstLineChars="0"/>
        <w:sectPr>
          <w:pgSz w:w="11906" w:h="16838"/>
          <w:pgMar w:top="1440" w:right="1800" w:bottom="1440" w:left="1800" w:header="851" w:footer="1077" w:gutter="0"/>
          <w:pgNumType w:start="3"/>
          <w:cols w:space="720" w:num="1"/>
          <w:docGrid w:type="lines" w:linePitch="312" w:charSpace="0"/>
        </w:sectPr>
      </w:pPr>
    </w:p>
    <w:p>
      <w:pPr>
        <w:pStyle w:val="18"/>
        <w:spacing w:before="156" w:beforeLines="50" w:beforeAutospacing="0" w:after="156" w:afterLines="50" w:afterAutospacing="0"/>
        <w:jc w:val="center"/>
        <w:outlineLvl w:val="0"/>
        <w:rPr>
          <w:rFonts w:ascii="Times New Roman" w:hAnsi="Times New Roman" w:eastAsia="黑体"/>
          <w:snapToGrid w:val="0"/>
          <w:sz w:val="30"/>
          <w:szCs w:val="30"/>
        </w:rPr>
      </w:pPr>
      <w:bookmarkStart w:id="0" w:name="_Toc196816300"/>
      <w:r>
        <w:rPr>
          <w:rFonts w:ascii="Times New Roman" w:hAnsi="Times New Roman" w:eastAsia="黑体"/>
          <w:snapToGrid w:val="0"/>
          <w:sz w:val="30"/>
          <w:szCs w:val="30"/>
        </w:rPr>
        <w:t>一、建设项目基本情况</w:t>
      </w:r>
      <w:bookmarkEnd w:id="0"/>
    </w:p>
    <w:tbl>
      <w:tblPr>
        <w:tblStyle w:val="22"/>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80"/>
        <w:gridCol w:w="2126"/>
        <w:gridCol w:w="171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建设项目名称</w:t>
            </w:r>
          </w:p>
        </w:tc>
        <w:tc>
          <w:tcPr>
            <w:tcW w:w="6964" w:type="dxa"/>
            <w:gridSpan w:val="3"/>
            <w:tcMar>
              <w:left w:w="108" w:type="dxa"/>
              <w:right w:w="108" w:type="dxa"/>
            </w:tcMar>
            <w:vAlign w:val="center"/>
          </w:tcPr>
          <w:p>
            <w:pPr>
              <w:jc w:val="center"/>
              <w:rPr>
                <w:sz w:val="24"/>
              </w:rPr>
            </w:pPr>
            <w:r>
              <w:rPr>
                <w:sz w:val="24"/>
              </w:rPr>
              <w:t>翼城县祥怡塑业有限公司</w:t>
            </w:r>
          </w:p>
          <w:p>
            <w:pPr>
              <w:jc w:val="center"/>
              <w:rPr>
                <w:sz w:val="24"/>
              </w:rPr>
            </w:pPr>
            <w:r>
              <w:rPr>
                <w:sz w:val="24"/>
              </w:rPr>
              <w:t>扩建年产塑料果品包装框6万只建设项目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项目代码</w:t>
            </w:r>
          </w:p>
        </w:tc>
        <w:tc>
          <w:tcPr>
            <w:tcW w:w="6964" w:type="dxa"/>
            <w:gridSpan w:val="3"/>
            <w:tcMar>
              <w:left w:w="108" w:type="dxa"/>
              <w:right w:w="108" w:type="dxa"/>
            </w:tcMar>
            <w:vAlign w:val="center"/>
          </w:tcPr>
          <w:p>
            <w:pPr>
              <w:jc w:val="center"/>
              <w:rPr>
                <w:sz w:val="24"/>
              </w:rPr>
            </w:pPr>
            <w:r>
              <w:rPr>
                <w:sz w:val="24"/>
              </w:rPr>
              <w:t>2504-141022-89-05-555345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建设单位联系人</w:t>
            </w:r>
          </w:p>
        </w:tc>
        <w:tc>
          <w:tcPr>
            <w:tcW w:w="2126" w:type="dxa"/>
            <w:tcMar>
              <w:left w:w="108" w:type="dxa"/>
              <w:right w:w="108" w:type="dxa"/>
            </w:tcMar>
            <w:vAlign w:val="center"/>
          </w:tcPr>
          <w:p>
            <w:pPr>
              <w:jc w:val="center"/>
              <w:rPr>
                <w:sz w:val="24"/>
              </w:rPr>
            </w:pPr>
          </w:p>
        </w:tc>
        <w:tc>
          <w:tcPr>
            <w:tcW w:w="1719" w:type="dxa"/>
            <w:tcMar>
              <w:left w:w="108" w:type="dxa"/>
              <w:right w:w="108" w:type="dxa"/>
            </w:tcMar>
            <w:vAlign w:val="center"/>
          </w:tcPr>
          <w:p>
            <w:pPr>
              <w:jc w:val="center"/>
              <w:rPr>
                <w:sz w:val="24"/>
              </w:rPr>
            </w:pPr>
            <w:r>
              <w:rPr>
                <w:sz w:val="24"/>
              </w:rPr>
              <w:t>联系方式</w:t>
            </w:r>
          </w:p>
        </w:tc>
        <w:tc>
          <w:tcPr>
            <w:tcW w:w="3119" w:type="dxa"/>
            <w:tcMar>
              <w:left w:w="108" w:type="dxa"/>
              <w:right w:w="108" w:type="dxa"/>
            </w:tcMar>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建设地点</w:t>
            </w:r>
          </w:p>
        </w:tc>
        <w:tc>
          <w:tcPr>
            <w:tcW w:w="6964" w:type="dxa"/>
            <w:gridSpan w:val="3"/>
            <w:tcMar>
              <w:left w:w="108" w:type="dxa"/>
              <w:right w:w="108" w:type="dxa"/>
            </w:tcMar>
            <w:vAlign w:val="center"/>
          </w:tcPr>
          <w:p>
            <w:pPr>
              <w:jc w:val="center"/>
              <w:rPr>
                <w:sz w:val="24"/>
              </w:rPr>
            </w:pPr>
            <w:r>
              <w:rPr>
                <w:sz w:val="24"/>
              </w:rPr>
              <w:t>翼城县里砦镇上韩村西北约800米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地理坐标</w:t>
            </w:r>
          </w:p>
        </w:tc>
        <w:tc>
          <w:tcPr>
            <w:tcW w:w="6964" w:type="dxa"/>
            <w:gridSpan w:val="3"/>
            <w:tcMar>
              <w:left w:w="108" w:type="dxa"/>
              <w:right w:w="108" w:type="dxa"/>
            </w:tcMar>
            <w:vAlign w:val="center"/>
          </w:tcPr>
          <w:p>
            <w:pPr>
              <w:jc w:val="center"/>
              <w:rPr>
                <w:sz w:val="24"/>
              </w:rPr>
            </w:pPr>
            <w:r>
              <w:rPr>
                <w:sz w:val="24"/>
              </w:rPr>
              <w:t>东经111°37'24.5005"  北纬35°47'28.0313"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国民经济</w:t>
            </w:r>
          </w:p>
          <w:p>
            <w:pPr>
              <w:jc w:val="center"/>
              <w:rPr>
                <w:sz w:val="24"/>
              </w:rPr>
            </w:pPr>
            <w:r>
              <w:rPr>
                <w:sz w:val="24"/>
              </w:rPr>
              <w:t>行业类别</w:t>
            </w:r>
          </w:p>
        </w:tc>
        <w:tc>
          <w:tcPr>
            <w:tcW w:w="2126" w:type="dxa"/>
            <w:tcMar>
              <w:left w:w="108" w:type="dxa"/>
              <w:right w:w="108" w:type="dxa"/>
            </w:tcMar>
            <w:vAlign w:val="center"/>
          </w:tcPr>
          <w:p>
            <w:pPr>
              <w:jc w:val="center"/>
              <w:rPr>
                <w:sz w:val="24"/>
              </w:rPr>
            </w:pPr>
            <w:r>
              <w:rPr>
                <w:sz w:val="24"/>
              </w:rPr>
              <w:t>C2926 塑料包装箱及容器制造</w:t>
            </w:r>
          </w:p>
        </w:tc>
        <w:tc>
          <w:tcPr>
            <w:tcW w:w="1719" w:type="dxa"/>
            <w:tcMar>
              <w:left w:w="108" w:type="dxa"/>
              <w:right w:w="108" w:type="dxa"/>
            </w:tcMar>
            <w:vAlign w:val="center"/>
          </w:tcPr>
          <w:p>
            <w:pPr>
              <w:jc w:val="center"/>
              <w:rPr>
                <w:sz w:val="24"/>
              </w:rPr>
            </w:pPr>
            <w:bookmarkStart w:id="1" w:name="_Hlk49843745"/>
            <w:r>
              <w:rPr>
                <w:sz w:val="24"/>
              </w:rPr>
              <w:t>建设项目</w:t>
            </w:r>
          </w:p>
          <w:p>
            <w:pPr>
              <w:jc w:val="center"/>
              <w:rPr>
                <w:sz w:val="24"/>
              </w:rPr>
            </w:pPr>
            <w:r>
              <w:rPr>
                <w:sz w:val="24"/>
              </w:rPr>
              <w:t>行业类别</w:t>
            </w:r>
            <w:bookmarkEnd w:id="1"/>
          </w:p>
        </w:tc>
        <w:tc>
          <w:tcPr>
            <w:tcW w:w="3119" w:type="dxa"/>
            <w:tcMar>
              <w:left w:w="108" w:type="dxa"/>
              <w:right w:w="108" w:type="dxa"/>
            </w:tcMar>
            <w:vAlign w:val="center"/>
          </w:tcPr>
          <w:p>
            <w:pPr>
              <w:rPr>
                <w:sz w:val="24"/>
              </w:rPr>
            </w:pPr>
            <w:r>
              <w:rPr>
                <w:sz w:val="24"/>
              </w:rPr>
              <w:t>二十六、橡胶和塑料制品业29—53塑料制品业292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建设性质</w:t>
            </w:r>
          </w:p>
        </w:tc>
        <w:tc>
          <w:tcPr>
            <w:tcW w:w="2126" w:type="dxa"/>
            <w:tcMar>
              <w:left w:w="108" w:type="dxa"/>
              <w:right w:w="108" w:type="dxa"/>
            </w:tcMar>
            <w:vAlign w:val="center"/>
          </w:tcPr>
          <w:p>
            <w:pPr>
              <w:jc w:val="left"/>
              <w:rPr>
                <w:sz w:val="24"/>
              </w:rPr>
            </w:pPr>
            <w:r>
              <w:rPr>
                <w:sz w:val="24"/>
              </w:rPr>
              <w:t>□新建（迁建）</w:t>
            </w:r>
          </w:p>
          <w:p>
            <w:pPr>
              <w:jc w:val="left"/>
              <w:rPr>
                <w:sz w:val="24"/>
              </w:rPr>
            </w:pPr>
            <w:r>
              <w:rPr>
                <w:sz w:val="24"/>
              </w:rPr>
              <w:t>□改建</w:t>
            </w:r>
          </w:p>
          <w:p>
            <w:pPr>
              <w:jc w:val="left"/>
              <w:rPr>
                <w:sz w:val="24"/>
              </w:rPr>
            </w:pPr>
            <w:r>
              <w:rPr>
                <w:rFonts w:ascii="Segoe UI Symbol" w:hAnsi="Segoe UI Symbol" w:eastAsia="MS Gothic" w:cs="Segoe UI Symbol"/>
                <w:sz w:val="24"/>
              </w:rPr>
              <w:t>☑</w:t>
            </w:r>
            <w:r>
              <w:rPr>
                <w:sz w:val="24"/>
              </w:rPr>
              <w:t>扩建</w:t>
            </w:r>
          </w:p>
          <w:p>
            <w:pPr>
              <w:jc w:val="left"/>
              <w:rPr>
                <w:sz w:val="24"/>
              </w:rPr>
            </w:pPr>
            <w:r>
              <w:rPr>
                <w:sz w:val="24"/>
              </w:rPr>
              <w:t>□技术改造</w:t>
            </w:r>
          </w:p>
        </w:tc>
        <w:tc>
          <w:tcPr>
            <w:tcW w:w="1719" w:type="dxa"/>
            <w:tcMar>
              <w:left w:w="108" w:type="dxa"/>
              <w:right w:w="108" w:type="dxa"/>
            </w:tcMar>
            <w:vAlign w:val="center"/>
          </w:tcPr>
          <w:p>
            <w:pPr>
              <w:jc w:val="center"/>
              <w:rPr>
                <w:sz w:val="24"/>
              </w:rPr>
            </w:pPr>
            <w:r>
              <w:rPr>
                <w:sz w:val="24"/>
              </w:rPr>
              <w:t>建设项目</w:t>
            </w:r>
          </w:p>
          <w:p>
            <w:pPr>
              <w:jc w:val="center"/>
              <w:rPr>
                <w:sz w:val="24"/>
              </w:rPr>
            </w:pPr>
            <w:r>
              <w:rPr>
                <w:sz w:val="24"/>
              </w:rPr>
              <w:t>申报情形</w:t>
            </w:r>
          </w:p>
        </w:tc>
        <w:tc>
          <w:tcPr>
            <w:tcW w:w="3119" w:type="dxa"/>
            <w:tcMar>
              <w:left w:w="108" w:type="dxa"/>
              <w:right w:w="108" w:type="dxa"/>
            </w:tcMar>
            <w:vAlign w:val="center"/>
          </w:tcPr>
          <w:p>
            <w:pPr>
              <w:jc w:val="left"/>
              <w:rPr>
                <w:sz w:val="24"/>
              </w:rPr>
            </w:pPr>
            <w:r>
              <w:rPr>
                <w:rFonts w:ascii="Segoe UI Symbol" w:hAnsi="Segoe UI Symbol" w:eastAsia="MS Gothic" w:cs="Segoe UI Symbol"/>
                <w:sz w:val="24"/>
              </w:rPr>
              <w:t>☑</w:t>
            </w:r>
            <w:r>
              <w:rPr>
                <w:sz w:val="24"/>
              </w:rPr>
              <w:t>首次申报项目</w:t>
            </w:r>
          </w:p>
          <w:p>
            <w:pPr>
              <w:jc w:val="left"/>
              <w:rPr>
                <w:sz w:val="24"/>
              </w:rPr>
            </w:pPr>
            <w:r>
              <w:rPr>
                <w:sz w:val="24"/>
              </w:rPr>
              <w:t>□不予批准后再次申报项目</w:t>
            </w:r>
          </w:p>
          <w:p>
            <w:pPr>
              <w:jc w:val="left"/>
              <w:rPr>
                <w:sz w:val="24"/>
              </w:rPr>
            </w:pPr>
            <w:r>
              <w:rPr>
                <w:sz w:val="24"/>
              </w:rPr>
              <w:t>□超五年重新审核项目</w:t>
            </w:r>
          </w:p>
          <w:p>
            <w:pPr>
              <w:jc w:val="left"/>
              <w:rPr>
                <w:sz w:val="24"/>
              </w:rPr>
            </w:pPr>
            <w:r>
              <w:rPr>
                <w:sz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项目审批（核准/备案）部门（选填）</w:t>
            </w:r>
          </w:p>
        </w:tc>
        <w:tc>
          <w:tcPr>
            <w:tcW w:w="2126" w:type="dxa"/>
            <w:tcMar>
              <w:left w:w="108" w:type="dxa"/>
              <w:right w:w="108" w:type="dxa"/>
            </w:tcMar>
            <w:vAlign w:val="center"/>
          </w:tcPr>
          <w:p>
            <w:pPr>
              <w:jc w:val="center"/>
              <w:rPr>
                <w:sz w:val="24"/>
              </w:rPr>
            </w:pPr>
            <w:r>
              <w:rPr>
                <w:sz w:val="24"/>
              </w:rPr>
              <w:t>翼城县行政审批服务管理局</w:t>
            </w:r>
          </w:p>
        </w:tc>
        <w:tc>
          <w:tcPr>
            <w:tcW w:w="1719" w:type="dxa"/>
            <w:tcMar>
              <w:left w:w="108" w:type="dxa"/>
              <w:right w:w="108" w:type="dxa"/>
            </w:tcMar>
            <w:vAlign w:val="center"/>
          </w:tcPr>
          <w:p>
            <w:pPr>
              <w:jc w:val="center"/>
              <w:rPr>
                <w:sz w:val="24"/>
              </w:rPr>
            </w:pPr>
            <w:r>
              <w:rPr>
                <w:sz w:val="24"/>
              </w:rPr>
              <w:t>项目审批（核准/备案）文号（选填）</w:t>
            </w:r>
          </w:p>
        </w:tc>
        <w:tc>
          <w:tcPr>
            <w:tcW w:w="3119" w:type="dxa"/>
            <w:tcMar>
              <w:left w:w="108" w:type="dxa"/>
              <w:right w:w="108" w:type="dxa"/>
            </w:tcMar>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总投资（万元）</w:t>
            </w:r>
          </w:p>
        </w:tc>
        <w:tc>
          <w:tcPr>
            <w:tcW w:w="2126" w:type="dxa"/>
            <w:tcMar>
              <w:left w:w="108" w:type="dxa"/>
              <w:right w:w="108" w:type="dxa"/>
            </w:tcMar>
            <w:vAlign w:val="center"/>
          </w:tcPr>
          <w:p>
            <w:pPr>
              <w:jc w:val="center"/>
              <w:rPr>
                <w:sz w:val="24"/>
              </w:rPr>
            </w:pPr>
            <w:r>
              <w:rPr>
                <w:sz w:val="24"/>
              </w:rPr>
              <w:t>30</w:t>
            </w:r>
          </w:p>
        </w:tc>
        <w:tc>
          <w:tcPr>
            <w:tcW w:w="1719" w:type="dxa"/>
            <w:tcMar>
              <w:top w:w="16" w:type="dxa"/>
              <w:left w:w="108" w:type="dxa"/>
              <w:right w:w="108" w:type="dxa"/>
            </w:tcMar>
            <w:vAlign w:val="center"/>
          </w:tcPr>
          <w:p>
            <w:pPr>
              <w:jc w:val="center"/>
              <w:rPr>
                <w:sz w:val="24"/>
              </w:rPr>
            </w:pPr>
            <w:r>
              <w:rPr>
                <w:sz w:val="24"/>
              </w:rPr>
              <w:t>环保投资（万元）</w:t>
            </w:r>
          </w:p>
        </w:tc>
        <w:tc>
          <w:tcPr>
            <w:tcW w:w="3119" w:type="dxa"/>
            <w:tcMar>
              <w:left w:w="108" w:type="dxa"/>
              <w:right w:w="108" w:type="dxa"/>
            </w:tcMar>
            <w:vAlign w:val="center"/>
          </w:tcPr>
          <w:p>
            <w:pPr>
              <w:jc w:val="center"/>
              <w:rPr>
                <w:sz w:val="24"/>
              </w:rPr>
            </w:pPr>
            <w:r>
              <w:rPr>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环保投资占比（%）</w:t>
            </w:r>
          </w:p>
        </w:tc>
        <w:tc>
          <w:tcPr>
            <w:tcW w:w="2126" w:type="dxa"/>
            <w:tcMar>
              <w:left w:w="108" w:type="dxa"/>
              <w:right w:w="108" w:type="dxa"/>
            </w:tcMar>
            <w:vAlign w:val="center"/>
          </w:tcPr>
          <w:p>
            <w:pPr>
              <w:jc w:val="center"/>
              <w:rPr>
                <w:sz w:val="24"/>
              </w:rPr>
            </w:pPr>
            <w:r>
              <w:rPr>
                <w:sz w:val="24"/>
              </w:rPr>
              <w:t>26.7%</w:t>
            </w:r>
          </w:p>
        </w:tc>
        <w:tc>
          <w:tcPr>
            <w:tcW w:w="1719" w:type="dxa"/>
            <w:tcMar>
              <w:top w:w="16" w:type="dxa"/>
              <w:left w:w="108" w:type="dxa"/>
              <w:right w:w="108" w:type="dxa"/>
            </w:tcMar>
            <w:vAlign w:val="center"/>
          </w:tcPr>
          <w:p>
            <w:pPr>
              <w:jc w:val="center"/>
              <w:rPr>
                <w:sz w:val="24"/>
              </w:rPr>
            </w:pPr>
            <w:r>
              <w:rPr>
                <w:sz w:val="24"/>
              </w:rPr>
              <w:t>施工工期（月）</w:t>
            </w:r>
          </w:p>
        </w:tc>
        <w:tc>
          <w:tcPr>
            <w:tcW w:w="3119" w:type="dxa"/>
            <w:tcMar>
              <w:left w:w="108" w:type="dxa"/>
              <w:right w:w="108" w:type="dxa"/>
            </w:tcMar>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16" w:type="dxa"/>
              <w:left w:w="108" w:type="dxa"/>
              <w:right w:w="108" w:type="dxa"/>
            </w:tcMar>
            <w:vAlign w:val="center"/>
          </w:tcPr>
          <w:p>
            <w:pPr>
              <w:jc w:val="center"/>
              <w:rPr>
                <w:sz w:val="24"/>
              </w:rPr>
            </w:pPr>
            <w:r>
              <w:rPr>
                <w:sz w:val="24"/>
              </w:rPr>
              <w:t>是否开工建设</w:t>
            </w:r>
          </w:p>
        </w:tc>
        <w:tc>
          <w:tcPr>
            <w:tcW w:w="2126" w:type="dxa"/>
            <w:tcMar>
              <w:left w:w="108" w:type="dxa"/>
              <w:right w:w="108" w:type="dxa"/>
            </w:tcMar>
            <w:vAlign w:val="center"/>
          </w:tcPr>
          <w:p>
            <w:pPr>
              <w:rPr>
                <w:sz w:val="24"/>
              </w:rPr>
            </w:pPr>
            <w:r>
              <w:rPr>
                <w:rFonts w:ascii="Segoe UI Symbol" w:hAnsi="Segoe UI Symbol" w:eastAsia="MS Gothic" w:cs="Segoe UI Symbol"/>
                <w:sz w:val="24"/>
              </w:rPr>
              <w:t>☑</w:t>
            </w:r>
            <w:r>
              <w:rPr>
                <w:sz w:val="24"/>
              </w:rPr>
              <w:t>否</w:t>
            </w:r>
          </w:p>
          <w:p>
            <w:pPr>
              <w:rPr>
                <w:sz w:val="24"/>
              </w:rPr>
            </w:pPr>
            <w:r>
              <w:rPr>
                <w:sz w:val="24"/>
              </w:rPr>
              <w:t>□是：</w:t>
            </w:r>
            <w:r>
              <w:rPr>
                <w:sz w:val="24"/>
                <w:u w:val="single"/>
              </w:rPr>
              <w:t xml:space="preserve">      </w:t>
            </w:r>
          </w:p>
        </w:tc>
        <w:tc>
          <w:tcPr>
            <w:tcW w:w="1719" w:type="dxa"/>
            <w:tcMar>
              <w:top w:w="16" w:type="dxa"/>
              <w:left w:w="108" w:type="dxa"/>
              <w:right w:w="108" w:type="dxa"/>
            </w:tcMar>
            <w:vAlign w:val="center"/>
          </w:tcPr>
          <w:p>
            <w:pPr>
              <w:jc w:val="center"/>
              <w:rPr>
                <w:sz w:val="24"/>
              </w:rPr>
            </w:pPr>
            <w:r>
              <w:rPr>
                <w:sz w:val="24"/>
              </w:rPr>
              <w:t>用地（用海）</w:t>
            </w:r>
          </w:p>
          <w:p>
            <w:pPr>
              <w:jc w:val="center"/>
              <w:rPr>
                <w:sz w:val="24"/>
              </w:rPr>
            </w:pPr>
            <w:r>
              <w:rPr>
                <w:sz w:val="24"/>
              </w:rPr>
              <w:t>面积（m</w:t>
            </w:r>
            <w:r>
              <w:rPr>
                <w:sz w:val="24"/>
                <w:vertAlign w:val="superscript"/>
              </w:rPr>
              <w:t>2</w:t>
            </w:r>
            <w:r>
              <w:rPr>
                <w:sz w:val="24"/>
              </w:rPr>
              <w:t>）</w:t>
            </w:r>
          </w:p>
        </w:tc>
        <w:tc>
          <w:tcPr>
            <w:tcW w:w="3119" w:type="dxa"/>
            <w:tcMar>
              <w:left w:w="108" w:type="dxa"/>
              <w:right w:w="108" w:type="dxa"/>
            </w:tcMar>
            <w:vAlign w:val="center"/>
          </w:tcPr>
          <w:p>
            <w:pPr>
              <w:jc w:val="center"/>
              <w:rPr>
                <w:sz w:val="24"/>
              </w:rPr>
            </w:pPr>
            <w:r>
              <w:rPr>
                <w:sz w:val="24"/>
              </w:rPr>
              <w:t>0（在原厂区车间内进行扩建，不新增占地）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980" w:type="dxa"/>
            <w:tcMar>
              <w:left w:w="108" w:type="dxa"/>
              <w:right w:w="108" w:type="dxa"/>
            </w:tcMar>
            <w:vAlign w:val="center"/>
          </w:tcPr>
          <w:p>
            <w:pPr>
              <w:jc w:val="center"/>
              <w:rPr>
                <w:kern w:val="0"/>
                <w:sz w:val="24"/>
              </w:rPr>
            </w:pPr>
            <w:r>
              <w:rPr>
                <w:sz w:val="24"/>
              </w:rPr>
              <w:t>专项评价设置情况</w:t>
            </w:r>
          </w:p>
        </w:tc>
        <w:tc>
          <w:tcPr>
            <w:tcW w:w="6964" w:type="dxa"/>
            <w:gridSpan w:val="3"/>
            <w:tcMar>
              <w:left w:w="108" w:type="dxa"/>
              <w:right w:w="108" w:type="dxa"/>
            </w:tcMar>
            <w:vAlign w:val="center"/>
          </w:tcPr>
          <w:p>
            <w:pPr>
              <w:spacing w:line="360" w:lineRule="auto"/>
              <w:ind w:firstLine="480" w:firstLineChars="200"/>
              <w:textAlignment w:val="baseline"/>
              <w:rPr>
                <w:kern w:val="0"/>
                <w:sz w:val="24"/>
              </w:rPr>
            </w:pPr>
            <w:r>
              <w:rPr>
                <w:kern w:val="0"/>
                <w:sz w:val="24"/>
              </w:rPr>
              <w:t>本项目无需</w:t>
            </w:r>
            <w:r>
              <w:rPr>
                <w:sz w:val="24"/>
              </w:rPr>
              <w:t>设置</w:t>
            </w:r>
            <w:r>
              <w:rPr>
                <w:kern w:val="0"/>
                <w:sz w:val="24"/>
              </w:rPr>
              <w:t>专项评价，具体分析见下表。</w:t>
            </w:r>
          </w:p>
          <w:p>
            <w:pPr>
              <w:autoSpaceDE w:val="0"/>
              <w:autoSpaceDN w:val="0"/>
              <w:spacing w:line="360" w:lineRule="auto"/>
              <w:jc w:val="center"/>
              <w:rPr>
                <w:b/>
                <w:bCs/>
                <w:kern w:val="0"/>
                <w:szCs w:val="21"/>
              </w:rPr>
            </w:pPr>
            <w:r>
              <w:rPr>
                <w:b/>
                <w:bCs/>
                <w:kern w:val="0"/>
                <w:szCs w:val="21"/>
              </w:rPr>
              <w:t>表1-1 专题设置情况分析表</w:t>
            </w:r>
          </w:p>
          <w:tbl>
            <w:tblPr>
              <w:tblStyle w:val="22"/>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1016"/>
              <w:gridCol w:w="2967"/>
              <w:gridCol w:w="1946"/>
              <w:gridCol w:w="65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专项评价的类别</w:t>
                  </w:r>
                </w:p>
              </w:tc>
              <w:tc>
                <w:tcPr>
                  <w:tcW w:w="2967" w:type="dxa"/>
                  <w:vAlign w:val="center"/>
                </w:tcPr>
                <w:p>
                  <w:pPr>
                    <w:autoSpaceDE w:val="0"/>
                    <w:autoSpaceDN w:val="0"/>
                    <w:jc w:val="center"/>
                    <w:rPr>
                      <w:kern w:val="0"/>
                      <w:szCs w:val="21"/>
                    </w:rPr>
                  </w:pPr>
                  <w:r>
                    <w:rPr>
                      <w:kern w:val="0"/>
                      <w:szCs w:val="21"/>
                    </w:rPr>
                    <w:t>设置原则</w:t>
                  </w:r>
                </w:p>
              </w:tc>
              <w:tc>
                <w:tcPr>
                  <w:tcW w:w="1946" w:type="dxa"/>
                  <w:vAlign w:val="center"/>
                </w:tcPr>
                <w:p>
                  <w:pPr>
                    <w:autoSpaceDE w:val="0"/>
                    <w:autoSpaceDN w:val="0"/>
                    <w:jc w:val="center"/>
                    <w:rPr>
                      <w:kern w:val="0"/>
                      <w:szCs w:val="21"/>
                    </w:rPr>
                  </w:pPr>
                  <w:r>
                    <w:rPr>
                      <w:kern w:val="0"/>
                      <w:szCs w:val="21"/>
                    </w:rPr>
                    <w:t>本项目情况</w:t>
                  </w:r>
                </w:p>
              </w:tc>
              <w:tc>
                <w:tcPr>
                  <w:tcW w:w="659" w:type="dxa"/>
                  <w:vAlign w:val="center"/>
                </w:tcPr>
                <w:p>
                  <w:pPr>
                    <w:autoSpaceDE w:val="0"/>
                    <w:autoSpaceDN w:val="0"/>
                    <w:jc w:val="center"/>
                    <w:rPr>
                      <w:kern w:val="0"/>
                      <w:szCs w:val="21"/>
                    </w:rPr>
                  </w:pPr>
                  <w:r>
                    <w:rPr>
                      <w:kern w:val="0"/>
                      <w:szCs w:val="21"/>
                    </w:rPr>
                    <w:t>是否</w:t>
                  </w:r>
                </w:p>
                <w:p>
                  <w:pPr>
                    <w:autoSpaceDE w:val="0"/>
                    <w:autoSpaceDN w:val="0"/>
                    <w:jc w:val="center"/>
                    <w:rPr>
                      <w:kern w:val="0"/>
                      <w:szCs w:val="21"/>
                    </w:rPr>
                  </w:pPr>
                  <w:r>
                    <w:rPr>
                      <w:kern w:val="0"/>
                      <w:szCs w:val="21"/>
                    </w:rPr>
                    <w:t>设置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大气</w:t>
                  </w:r>
                </w:p>
              </w:tc>
              <w:tc>
                <w:tcPr>
                  <w:tcW w:w="2967" w:type="dxa"/>
                  <w:vAlign w:val="center"/>
                </w:tcPr>
                <w:p>
                  <w:pPr>
                    <w:autoSpaceDE w:val="0"/>
                    <w:autoSpaceDN w:val="0"/>
                    <w:rPr>
                      <w:kern w:val="0"/>
                      <w:szCs w:val="21"/>
                    </w:rPr>
                  </w:pPr>
                  <w:r>
                    <w:rPr>
                      <w:kern w:val="0"/>
                      <w:szCs w:val="21"/>
                    </w:rPr>
                    <w:t>排放废气含有毒有害污染物</w:t>
                  </w:r>
                  <w:r>
                    <w:rPr>
                      <w:kern w:val="0"/>
                      <w:szCs w:val="21"/>
                      <w:vertAlign w:val="superscript"/>
                    </w:rPr>
                    <w:t>1</w:t>
                  </w:r>
                  <w:r>
                    <w:rPr>
                      <w:kern w:val="0"/>
                      <w:szCs w:val="21"/>
                    </w:rPr>
                    <w:t>、二噁英、苯并〔a〕芘、氰化物、氯气且厂界外500米范围内有环境空气保护目标</w:t>
                  </w:r>
                  <w:r>
                    <w:rPr>
                      <w:kern w:val="0"/>
                      <w:szCs w:val="21"/>
                      <w:vertAlign w:val="superscript"/>
                    </w:rPr>
                    <w:t>2</w:t>
                  </w:r>
                  <w:r>
                    <w:rPr>
                      <w:kern w:val="0"/>
                      <w:szCs w:val="21"/>
                    </w:rPr>
                    <w:t>的建设项目</w:t>
                  </w:r>
                </w:p>
              </w:tc>
              <w:tc>
                <w:tcPr>
                  <w:tcW w:w="1946" w:type="dxa"/>
                  <w:vAlign w:val="center"/>
                </w:tcPr>
                <w:p>
                  <w:pPr>
                    <w:autoSpaceDE w:val="0"/>
                    <w:autoSpaceDN w:val="0"/>
                    <w:rPr>
                      <w:kern w:val="0"/>
                      <w:szCs w:val="21"/>
                    </w:rPr>
                  </w:pPr>
                  <w:r>
                    <w:rPr>
                      <w:kern w:val="0"/>
                      <w:szCs w:val="21"/>
                    </w:rPr>
                    <w:t>排放的废气不涉及上述污染物。</w:t>
                  </w:r>
                </w:p>
              </w:tc>
              <w:tc>
                <w:tcPr>
                  <w:tcW w:w="659" w:type="dxa"/>
                  <w:vAlign w:val="center"/>
                </w:tcPr>
                <w:p>
                  <w:pPr>
                    <w:autoSpaceDE w:val="0"/>
                    <w:autoSpaceDN w:val="0"/>
                    <w:jc w:val="center"/>
                    <w:rPr>
                      <w:kern w:val="0"/>
                      <w:szCs w:val="21"/>
                    </w:rPr>
                  </w:pPr>
                  <w:r>
                    <w:rPr>
                      <w:kern w:val="0"/>
                      <w:szCs w:val="21"/>
                    </w:rPr>
                    <w:t>无</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地表水</w:t>
                  </w:r>
                </w:p>
              </w:tc>
              <w:tc>
                <w:tcPr>
                  <w:tcW w:w="2967" w:type="dxa"/>
                  <w:vAlign w:val="center"/>
                </w:tcPr>
                <w:p>
                  <w:pPr>
                    <w:autoSpaceDE w:val="0"/>
                    <w:autoSpaceDN w:val="0"/>
                    <w:rPr>
                      <w:kern w:val="0"/>
                      <w:szCs w:val="21"/>
                    </w:rPr>
                  </w:pPr>
                  <w:r>
                    <w:rPr>
                      <w:kern w:val="0"/>
                      <w:szCs w:val="21"/>
                    </w:rPr>
                    <w:t>新增工业废水直排建设项目（槽罐车外送污水处理厂的除外）；新增废水直排的污水集中处理厂</w:t>
                  </w:r>
                </w:p>
              </w:tc>
              <w:tc>
                <w:tcPr>
                  <w:tcW w:w="1946" w:type="dxa"/>
                  <w:vAlign w:val="center"/>
                </w:tcPr>
                <w:p>
                  <w:pPr>
                    <w:autoSpaceDE w:val="0"/>
                    <w:autoSpaceDN w:val="0"/>
                    <w:rPr>
                      <w:kern w:val="0"/>
                      <w:szCs w:val="21"/>
                    </w:rPr>
                  </w:pPr>
                  <w:r>
                    <w:rPr>
                      <w:kern w:val="0"/>
                      <w:szCs w:val="21"/>
                    </w:rPr>
                    <w:t>无生产废水产生及排放。</w:t>
                  </w:r>
                </w:p>
              </w:tc>
              <w:tc>
                <w:tcPr>
                  <w:tcW w:w="659" w:type="dxa"/>
                  <w:vAlign w:val="center"/>
                </w:tcPr>
                <w:p>
                  <w:pPr>
                    <w:autoSpaceDE w:val="0"/>
                    <w:autoSpaceDN w:val="0"/>
                    <w:jc w:val="center"/>
                    <w:rPr>
                      <w:kern w:val="0"/>
                      <w:szCs w:val="21"/>
                    </w:rPr>
                  </w:pPr>
                  <w:r>
                    <w:rPr>
                      <w:kern w:val="0"/>
                      <w:szCs w:val="21"/>
                    </w:rPr>
                    <w:t>无</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环境风险</w:t>
                  </w:r>
                </w:p>
              </w:tc>
              <w:tc>
                <w:tcPr>
                  <w:tcW w:w="2967" w:type="dxa"/>
                  <w:vAlign w:val="center"/>
                </w:tcPr>
                <w:p>
                  <w:pPr>
                    <w:autoSpaceDE w:val="0"/>
                    <w:autoSpaceDN w:val="0"/>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1946" w:type="dxa"/>
                  <w:vAlign w:val="center"/>
                </w:tcPr>
                <w:p>
                  <w:pPr>
                    <w:autoSpaceDE w:val="0"/>
                    <w:autoSpaceDN w:val="0"/>
                    <w:rPr>
                      <w:kern w:val="0"/>
                      <w:szCs w:val="21"/>
                    </w:rPr>
                  </w:pPr>
                  <w:r>
                    <w:rPr>
                      <w:kern w:val="0"/>
                      <w:szCs w:val="21"/>
                    </w:rPr>
                    <w:t>环境风险物质存储量小于临界量。</w:t>
                  </w:r>
                </w:p>
              </w:tc>
              <w:tc>
                <w:tcPr>
                  <w:tcW w:w="659" w:type="dxa"/>
                  <w:vAlign w:val="center"/>
                </w:tcPr>
                <w:p>
                  <w:pPr>
                    <w:autoSpaceDE w:val="0"/>
                    <w:autoSpaceDN w:val="0"/>
                    <w:jc w:val="center"/>
                    <w:rPr>
                      <w:kern w:val="0"/>
                      <w:szCs w:val="21"/>
                    </w:rPr>
                  </w:pPr>
                  <w:r>
                    <w:rPr>
                      <w:kern w:val="0"/>
                      <w:szCs w:val="21"/>
                    </w:rPr>
                    <w:t>无</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生态</w:t>
                  </w:r>
                </w:p>
              </w:tc>
              <w:tc>
                <w:tcPr>
                  <w:tcW w:w="2967" w:type="dxa"/>
                  <w:vAlign w:val="center"/>
                </w:tcPr>
                <w:p>
                  <w:pPr>
                    <w:autoSpaceDE w:val="0"/>
                    <w:autoSpaceDN w:val="0"/>
                    <w:rPr>
                      <w:kern w:val="0"/>
                      <w:szCs w:val="21"/>
                    </w:rPr>
                  </w:pPr>
                  <w:r>
                    <w:rPr>
                      <w:kern w:val="0"/>
                      <w:szCs w:val="21"/>
                    </w:rPr>
                    <w:t>取水口下游500米范围内有重要水生生物的自然产卵场、索饵场、越冬场和洄游通道的新增河道取水的污染类建设项目</w:t>
                  </w:r>
                </w:p>
              </w:tc>
              <w:tc>
                <w:tcPr>
                  <w:tcW w:w="1946" w:type="dxa"/>
                  <w:vAlign w:val="center"/>
                </w:tcPr>
                <w:p>
                  <w:pPr>
                    <w:autoSpaceDE w:val="0"/>
                    <w:autoSpaceDN w:val="0"/>
                    <w:rPr>
                      <w:kern w:val="0"/>
                      <w:szCs w:val="21"/>
                    </w:rPr>
                  </w:pPr>
                  <w:r>
                    <w:rPr>
                      <w:kern w:val="0"/>
                      <w:szCs w:val="21"/>
                    </w:rPr>
                    <w:t>不涉及取水口。</w:t>
                  </w:r>
                </w:p>
              </w:tc>
              <w:tc>
                <w:tcPr>
                  <w:tcW w:w="659" w:type="dxa"/>
                  <w:vAlign w:val="center"/>
                </w:tcPr>
                <w:p>
                  <w:pPr>
                    <w:autoSpaceDE w:val="0"/>
                    <w:autoSpaceDN w:val="0"/>
                    <w:jc w:val="center"/>
                    <w:rPr>
                      <w:kern w:val="0"/>
                      <w:szCs w:val="21"/>
                    </w:rPr>
                  </w:pPr>
                  <w:r>
                    <w:rPr>
                      <w:kern w:val="0"/>
                      <w:szCs w:val="21"/>
                    </w:rPr>
                    <w:t>无</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016" w:type="dxa"/>
                  <w:vAlign w:val="center"/>
                </w:tcPr>
                <w:p>
                  <w:pPr>
                    <w:autoSpaceDE w:val="0"/>
                    <w:autoSpaceDN w:val="0"/>
                    <w:jc w:val="center"/>
                    <w:rPr>
                      <w:kern w:val="0"/>
                      <w:szCs w:val="21"/>
                    </w:rPr>
                  </w:pPr>
                  <w:r>
                    <w:rPr>
                      <w:kern w:val="0"/>
                      <w:szCs w:val="21"/>
                    </w:rPr>
                    <w:t>海洋</w:t>
                  </w:r>
                </w:p>
              </w:tc>
              <w:tc>
                <w:tcPr>
                  <w:tcW w:w="2967" w:type="dxa"/>
                  <w:vAlign w:val="center"/>
                </w:tcPr>
                <w:p>
                  <w:pPr>
                    <w:autoSpaceDE w:val="0"/>
                    <w:autoSpaceDN w:val="0"/>
                    <w:rPr>
                      <w:kern w:val="0"/>
                      <w:szCs w:val="21"/>
                    </w:rPr>
                  </w:pPr>
                  <w:r>
                    <w:rPr>
                      <w:kern w:val="0"/>
                      <w:szCs w:val="21"/>
                    </w:rPr>
                    <w:t>直接向海排放污染物的海洋工程建设项目</w:t>
                  </w:r>
                </w:p>
              </w:tc>
              <w:tc>
                <w:tcPr>
                  <w:tcW w:w="1946" w:type="dxa"/>
                  <w:vAlign w:val="center"/>
                </w:tcPr>
                <w:p>
                  <w:pPr>
                    <w:autoSpaceDE w:val="0"/>
                    <w:autoSpaceDN w:val="0"/>
                    <w:rPr>
                      <w:kern w:val="0"/>
                      <w:szCs w:val="21"/>
                    </w:rPr>
                  </w:pPr>
                  <w:r>
                    <w:rPr>
                      <w:kern w:val="0"/>
                      <w:szCs w:val="21"/>
                    </w:rPr>
                    <w:t>不属于直接向海排放污染物的海洋工程建设项目</w:t>
                  </w:r>
                </w:p>
              </w:tc>
              <w:tc>
                <w:tcPr>
                  <w:tcW w:w="659" w:type="dxa"/>
                  <w:vAlign w:val="center"/>
                </w:tcPr>
                <w:p>
                  <w:pPr>
                    <w:autoSpaceDE w:val="0"/>
                    <w:autoSpaceDN w:val="0"/>
                    <w:jc w:val="center"/>
                    <w:rPr>
                      <w:kern w:val="0"/>
                      <w:szCs w:val="21"/>
                    </w:rPr>
                  </w:pPr>
                  <w:r>
                    <w:rPr>
                      <w:kern w:val="0"/>
                      <w:szCs w:val="21"/>
                    </w:rPr>
                    <w:t>无</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588" w:type="dxa"/>
                  <w:gridSpan w:val="4"/>
                  <w:vAlign w:val="center"/>
                </w:tcPr>
                <w:p>
                  <w:pPr>
                    <w:autoSpaceDE w:val="0"/>
                    <w:autoSpaceDN w:val="0"/>
                    <w:rPr>
                      <w:kern w:val="0"/>
                      <w:szCs w:val="21"/>
                    </w:rPr>
                  </w:pPr>
                  <w:r>
                    <w:rPr>
                      <w:kern w:val="0"/>
                      <w:szCs w:val="21"/>
                    </w:rPr>
                    <w:t>注：1.废气中有毒有害污染物指纳入《有毒有害大气污染物名录》的污染物（不包括无排放标准的污染物）。</w:t>
                  </w:r>
                </w:p>
                <w:p>
                  <w:pPr>
                    <w:autoSpaceDE w:val="0"/>
                    <w:autoSpaceDN w:val="0"/>
                    <w:rPr>
                      <w:kern w:val="0"/>
                      <w:szCs w:val="21"/>
                    </w:rPr>
                  </w:pPr>
                  <w:r>
                    <w:rPr>
                      <w:kern w:val="0"/>
                      <w:szCs w:val="21"/>
                    </w:rPr>
                    <w:t>2.环境空气保护目标指自然保护区、风景名胜区、居住区、文化区和农村地区中人群较集中的区域。</w:t>
                  </w:r>
                </w:p>
                <w:p>
                  <w:pPr>
                    <w:autoSpaceDE w:val="0"/>
                    <w:autoSpaceDN w:val="0"/>
                    <w:rPr>
                      <w:kern w:val="0"/>
                      <w:szCs w:val="21"/>
                    </w:rPr>
                  </w:pPr>
                  <w:r>
                    <w:rPr>
                      <w:kern w:val="0"/>
                      <w:szCs w:val="21"/>
                    </w:rPr>
                    <w:t>3.临界量及其计算方法可参考《建设项目环境风险评价技术导则》（HJ 169）附录B、附录C。</w:t>
                  </w:r>
                </w:p>
              </w:tc>
            </w:tr>
          </w:tbl>
          <w:p>
            <w:pPr>
              <w:pStyle w:val="2"/>
              <w:spacing w:line="240" w:lineRule="auto"/>
              <w:ind w:firstLine="420"/>
            </w:pPr>
          </w:p>
          <w:p>
            <w:pPr>
              <w:pStyle w:val="2"/>
              <w:spacing w:line="240" w:lineRule="auto"/>
              <w:ind w:firstLine="42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980" w:type="dxa"/>
            <w:tcMar>
              <w:left w:w="108" w:type="dxa"/>
              <w:right w:w="108" w:type="dxa"/>
            </w:tcMar>
            <w:vAlign w:val="center"/>
          </w:tcPr>
          <w:p>
            <w:pPr>
              <w:autoSpaceDE w:val="0"/>
              <w:autoSpaceDN w:val="0"/>
              <w:jc w:val="center"/>
              <w:rPr>
                <w:kern w:val="0"/>
                <w:sz w:val="24"/>
              </w:rPr>
            </w:pPr>
            <w:r>
              <w:rPr>
                <w:sz w:val="24"/>
              </w:rPr>
              <w:t>规划情况</w:t>
            </w:r>
          </w:p>
        </w:tc>
        <w:tc>
          <w:tcPr>
            <w:tcW w:w="6964" w:type="dxa"/>
            <w:gridSpan w:val="3"/>
            <w:tcMar>
              <w:left w:w="108" w:type="dxa"/>
              <w:right w:w="108" w:type="dxa"/>
            </w:tcMar>
            <w:vAlign w:val="center"/>
          </w:tcPr>
          <w:p>
            <w:pPr>
              <w:autoSpaceDE w:val="0"/>
              <w:autoSpaceDN w:val="0"/>
              <w:spacing w:line="360" w:lineRule="auto"/>
              <w:jc w:val="center"/>
              <w:rPr>
                <w:kern w:val="0"/>
                <w:sz w:val="24"/>
              </w:rPr>
            </w:pPr>
            <w:r>
              <w:rPr>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980" w:type="dxa"/>
            <w:tcMar>
              <w:left w:w="108" w:type="dxa"/>
              <w:right w:w="108" w:type="dxa"/>
            </w:tcMar>
            <w:vAlign w:val="center"/>
          </w:tcPr>
          <w:p>
            <w:pPr>
              <w:jc w:val="center"/>
              <w:rPr>
                <w:kern w:val="0"/>
                <w:sz w:val="24"/>
              </w:rPr>
            </w:pPr>
            <w:r>
              <w:rPr>
                <w:sz w:val="24"/>
              </w:rPr>
              <w:t>规划环境影响评价情况</w:t>
            </w:r>
          </w:p>
        </w:tc>
        <w:tc>
          <w:tcPr>
            <w:tcW w:w="6964" w:type="dxa"/>
            <w:gridSpan w:val="3"/>
            <w:tcMar>
              <w:left w:w="108" w:type="dxa"/>
              <w:right w:w="108" w:type="dxa"/>
            </w:tcMar>
            <w:vAlign w:val="center"/>
          </w:tcPr>
          <w:p>
            <w:pPr>
              <w:autoSpaceDE w:val="0"/>
              <w:autoSpaceDN w:val="0"/>
              <w:spacing w:line="360" w:lineRule="auto"/>
              <w:jc w:val="center"/>
              <w:rPr>
                <w:kern w:val="0"/>
                <w:sz w:val="24"/>
              </w:rPr>
            </w:pPr>
            <w:r>
              <w:rPr>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980" w:type="dxa"/>
            <w:tcMar>
              <w:left w:w="108" w:type="dxa"/>
              <w:right w:w="108" w:type="dxa"/>
            </w:tcMar>
            <w:vAlign w:val="center"/>
          </w:tcPr>
          <w:p>
            <w:pPr>
              <w:autoSpaceDE w:val="0"/>
              <w:autoSpaceDN w:val="0"/>
              <w:jc w:val="center"/>
              <w:rPr>
                <w:kern w:val="0"/>
                <w:sz w:val="24"/>
              </w:rPr>
            </w:pPr>
            <w:r>
              <w:rPr>
                <w:kern w:val="0"/>
                <w:sz w:val="24"/>
              </w:rPr>
              <w:t>规划及规划环境影响评价符合性分析</w:t>
            </w:r>
          </w:p>
        </w:tc>
        <w:tc>
          <w:tcPr>
            <w:tcW w:w="6964" w:type="dxa"/>
            <w:gridSpan w:val="3"/>
            <w:tcMar>
              <w:left w:w="108" w:type="dxa"/>
              <w:right w:w="108" w:type="dxa"/>
            </w:tcMar>
            <w:vAlign w:val="center"/>
          </w:tcPr>
          <w:p>
            <w:pPr>
              <w:autoSpaceDE w:val="0"/>
              <w:autoSpaceDN w:val="0"/>
              <w:spacing w:line="360" w:lineRule="auto"/>
              <w:jc w:val="center"/>
              <w:rPr>
                <w:kern w:val="0"/>
                <w:sz w:val="24"/>
              </w:rPr>
            </w:pPr>
            <w:r>
              <w:rPr>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Mar>
              <w:left w:w="108" w:type="dxa"/>
              <w:right w:w="108" w:type="dxa"/>
            </w:tcMar>
            <w:vAlign w:val="center"/>
          </w:tcPr>
          <w:p>
            <w:pPr>
              <w:autoSpaceDE w:val="0"/>
              <w:autoSpaceDN w:val="0"/>
              <w:jc w:val="center"/>
              <w:rPr>
                <w:kern w:val="0"/>
                <w:sz w:val="24"/>
              </w:rPr>
            </w:pPr>
            <w:r>
              <w:rPr>
                <w:kern w:val="0"/>
                <w:sz w:val="24"/>
              </w:rPr>
              <w:t>其他符合性分析</w:t>
            </w:r>
          </w:p>
        </w:tc>
        <w:tc>
          <w:tcPr>
            <w:tcW w:w="6964" w:type="dxa"/>
            <w:gridSpan w:val="3"/>
            <w:tcMar>
              <w:left w:w="108" w:type="dxa"/>
              <w:right w:w="108" w:type="dxa"/>
            </w:tcMar>
            <w:vAlign w:val="center"/>
          </w:tcPr>
          <w:p>
            <w:pPr>
              <w:autoSpaceDE w:val="0"/>
              <w:autoSpaceDN w:val="0"/>
              <w:spacing w:line="360" w:lineRule="auto"/>
              <w:ind w:firstLine="482" w:firstLineChars="200"/>
              <w:rPr>
                <w:b/>
                <w:sz w:val="24"/>
              </w:rPr>
            </w:pPr>
            <w:r>
              <w:rPr>
                <w:b/>
                <w:sz w:val="24"/>
              </w:rPr>
              <w:t>1、产业政策符合性分析</w:t>
            </w:r>
          </w:p>
          <w:p>
            <w:pPr>
              <w:spacing w:line="360" w:lineRule="auto"/>
              <w:ind w:firstLine="480" w:firstLineChars="200"/>
              <w:rPr>
                <w:kern w:val="0"/>
                <w:sz w:val="24"/>
              </w:rPr>
            </w:pPr>
            <w:r>
              <w:rPr>
                <w:kern w:val="0"/>
                <w:sz w:val="24"/>
              </w:rPr>
              <w:t>根据《产业结构调整指导目录（2024年本）》，本项目不属于限制类和淘汰类项目，视为允许类，符合国家产业政策。</w:t>
            </w:r>
          </w:p>
          <w:p>
            <w:pPr>
              <w:spacing w:line="360" w:lineRule="auto"/>
              <w:ind w:firstLine="480" w:firstLineChars="200"/>
              <w:rPr>
                <w:kern w:val="0"/>
                <w:sz w:val="24"/>
              </w:rPr>
            </w:pPr>
            <w:r>
              <w:rPr>
                <w:kern w:val="0"/>
                <w:sz w:val="24"/>
              </w:rPr>
              <w:t>本项目于2025年4月14日取得翼城县行政审批服务管理局项目代码为2504-141022-89-05-555345的企业投资项目备案证（见附件）。</w:t>
            </w:r>
          </w:p>
          <w:p>
            <w:pPr>
              <w:spacing w:line="360" w:lineRule="auto"/>
              <w:ind w:firstLine="480" w:firstLineChars="200"/>
              <w:rPr>
                <w:kern w:val="0"/>
                <w:sz w:val="24"/>
              </w:rPr>
            </w:pPr>
            <w:r>
              <w:rPr>
                <w:kern w:val="0"/>
                <w:sz w:val="24"/>
              </w:rPr>
              <w:t>因此，本项目的建设符合国家相关产业政策。</w:t>
            </w:r>
          </w:p>
          <w:p>
            <w:pPr>
              <w:autoSpaceDE w:val="0"/>
              <w:autoSpaceDN w:val="0"/>
              <w:spacing w:line="360" w:lineRule="auto"/>
              <w:ind w:firstLine="482" w:firstLineChars="200"/>
              <w:rPr>
                <w:b/>
                <w:sz w:val="24"/>
              </w:rPr>
            </w:pPr>
            <w:r>
              <w:rPr>
                <w:b/>
                <w:sz w:val="24"/>
              </w:rPr>
              <w:t>2、选址合理性</w:t>
            </w:r>
          </w:p>
          <w:p>
            <w:pPr>
              <w:spacing w:line="360" w:lineRule="auto"/>
              <w:ind w:firstLine="480" w:firstLineChars="200"/>
              <w:rPr>
                <w:sz w:val="24"/>
              </w:rPr>
            </w:pPr>
            <w:r>
              <w:rPr>
                <w:sz w:val="24"/>
              </w:rPr>
              <w:t>本项目位于翼城县里砦镇上韩村西北约800米，在现有生产车间内进行扩建，不新增占地。</w:t>
            </w:r>
          </w:p>
          <w:p>
            <w:pPr>
              <w:spacing w:line="360" w:lineRule="auto"/>
              <w:ind w:firstLine="480" w:firstLineChars="200"/>
              <w:rPr>
                <w:sz w:val="24"/>
              </w:rPr>
            </w:pPr>
            <w:r>
              <w:rPr>
                <w:sz w:val="24"/>
              </w:rPr>
              <w:t>从项目所处地理位置和周围环境分析，无自然保护区、生活饮用水水源保护区等</w:t>
            </w:r>
            <w:r>
              <w:rPr>
                <w:rFonts w:hint="eastAsia"/>
                <w:sz w:val="24"/>
                <w:lang w:eastAsia="zh-CN"/>
              </w:rPr>
              <w:t>其他</w:t>
            </w:r>
            <w:r>
              <w:rPr>
                <w:sz w:val="24"/>
              </w:rPr>
              <w:t>环境制约因素。在采取相应的各项污染防治措施和风险防范措施后，项目运营期各类污染物均达到排放标准要求，对环境的影响及项目风险均可以接受。</w:t>
            </w:r>
          </w:p>
          <w:p>
            <w:pPr>
              <w:spacing w:line="360" w:lineRule="auto"/>
              <w:ind w:firstLine="480" w:firstLineChars="200"/>
              <w:rPr>
                <w:sz w:val="24"/>
              </w:rPr>
            </w:pPr>
            <w:r>
              <w:rPr>
                <w:sz w:val="24"/>
              </w:rPr>
              <w:t>因此，在严格落实本报告提出的环保措施和风险防范措施前提下，项目的建设和运行不会对外环境产生较大影响，选址可行。</w:t>
            </w:r>
          </w:p>
          <w:p>
            <w:pPr>
              <w:autoSpaceDE w:val="0"/>
              <w:autoSpaceDN w:val="0"/>
              <w:spacing w:line="360" w:lineRule="auto"/>
              <w:ind w:firstLine="482" w:firstLineChars="200"/>
              <w:rPr>
                <w:b/>
                <w:sz w:val="24"/>
              </w:rPr>
            </w:pPr>
            <w:r>
              <w:rPr>
                <w:b/>
                <w:sz w:val="24"/>
              </w:rPr>
              <w:t>3、“三线一单”符合性分析</w:t>
            </w:r>
          </w:p>
          <w:p>
            <w:pPr>
              <w:spacing w:line="360" w:lineRule="auto"/>
              <w:ind w:firstLine="480" w:firstLineChars="200"/>
              <w:rPr>
                <w:sz w:val="24"/>
              </w:rPr>
            </w:pPr>
            <w:r>
              <w:rPr>
                <w:sz w:val="24"/>
              </w:rPr>
              <w:t>（1）生态保护红线</w:t>
            </w:r>
          </w:p>
          <w:p>
            <w:pPr>
              <w:spacing w:line="360" w:lineRule="auto"/>
              <w:ind w:firstLine="480" w:firstLineChars="200"/>
              <w:rPr>
                <w:sz w:val="24"/>
              </w:rPr>
            </w:pPr>
            <w:r>
              <w:rPr>
                <w:sz w:val="24"/>
              </w:rPr>
              <w:t>根据《山西省人民政府关于实</w:t>
            </w:r>
            <w:r>
              <w:rPr>
                <w:rFonts w:eastAsiaTheme="minorEastAsia"/>
                <w:sz w:val="24"/>
              </w:rPr>
              <w:t>施“三线一单”</w:t>
            </w:r>
            <w:r>
              <w:rPr>
                <w:sz w:val="24"/>
              </w:rPr>
              <w:t>生态环境分区管控的意见》（晋政发〔2020〕26号）、《临汾市人民政府关于印发临汾</w:t>
            </w:r>
            <w:r>
              <w:rPr>
                <w:rFonts w:eastAsiaTheme="minorEastAsia"/>
                <w:sz w:val="24"/>
              </w:rPr>
              <w:t>市“三线一单”</w:t>
            </w:r>
            <w:r>
              <w:rPr>
                <w:sz w:val="24"/>
              </w:rPr>
              <w:t>生态环境分区管控实施方案的通知》（临政发〔2021〕10号），项目所在区域位于一般管控单元；且项目不涉及《生态保护红线划定指南》规定的国家级和省级禁止开发区域。因此，项目不涉及生态保护红线。</w:t>
            </w:r>
          </w:p>
          <w:p>
            <w:pPr>
              <w:spacing w:line="360" w:lineRule="auto"/>
              <w:ind w:firstLine="480" w:firstLineChars="200"/>
              <w:rPr>
                <w:sz w:val="24"/>
              </w:rPr>
            </w:pPr>
            <w:r>
              <w:rPr>
                <w:sz w:val="24"/>
              </w:rPr>
              <w:t>（2）环境质量底线</w:t>
            </w:r>
          </w:p>
          <w:p>
            <w:pPr>
              <w:spacing w:line="360" w:lineRule="auto"/>
              <w:ind w:firstLine="480" w:firstLineChars="200"/>
              <w:rPr>
                <w:kern w:val="0"/>
                <w:sz w:val="24"/>
              </w:rPr>
            </w:pPr>
            <w:r>
              <w:rPr>
                <w:kern w:val="0"/>
                <w:sz w:val="24"/>
              </w:rPr>
              <w:t>根据翼城县2024年度翼城县环境空气质量报告，PM</w:t>
            </w:r>
            <w:r>
              <w:rPr>
                <w:kern w:val="0"/>
                <w:sz w:val="24"/>
                <w:vertAlign w:val="subscript"/>
              </w:rPr>
              <w:t>10</w:t>
            </w:r>
            <w:r>
              <w:rPr>
                <w:kern w:val="0"/>
                <w:sz w:val="24"/>
              </w:rPr>
              <w:t>、O</w:t>
            </w:r>
            <w:r>
              <w:rPr>
                <w:kern w:val="0"/>
                <w:sz w:val="24"/>
                <w:vertAlign w:val="subscript"/>
              </w:rPr>
              <w:t>3</w:t>
            </w:r>
            <w:r>
              <w:rPr>
                <w:kern w:val="0"/>
                <w:sz w:val="24"/>
              </w:rPr>
              <w:t>(8h)浓度超出了《环境空气质量标准》（GB3095-2012）二级标准，项目所在区域属于不达标区；根据特征污染物监测数据，TSP满足《环境空气质量标准》（GB3095-2012）二级标准。根据引用的地表水例行监测断面数据，地表水水质均满足《地表水环境质量标准》（GB3838-2002）中的Ⅴ类水质要求。</w:t>
            </w:r>
          </w:p>
          <w:p>
            <w:pPr>
              <w:spacing w:line="360" w:lineRule="auto"/>
              <w:ind w:firstLine="480" w:firstLineChars="200"/>
              <w:rPr>
                <w:kern w:val="0"/>
                <w:sz w:val="24"/>
              </w:rPr>
            </w:pPr>
            <w:r>
              <w:rPr>
                <w:kern w:val="0"/>
                <w:sz w:val="24"/>
              </w:rPr>
              <w:t>（3）资源利用上线</w:t>
            </w:r>
          </w:p>
          <w:p>
            <w:pPr>
              <w:spacing w:line="360" w:lineRule="auto"/>
              <w:ind w:firstLine="480" w:firstLineChars="200"/>
              <w:textAlignment w:val="baseline"/>
              <w:rPr>
                <w:sz w:val="24"/>
              </w:rPr>
            </w:pPr>
            <w:r>
              <w:rPr>
                <w:sz w:val="24"/>
              </w:rPr>
              <w:t>本项目不新增用地；运营期主要消耗能源为电和水资源等，项目废水收集沉淀后循环利用，用水量少，能够得到保障</w:t>
            </w:r>
            <w:r>
              <w:rPr>
                <w:bCs/>
                <w:sz w:val="24"/>
              </w:rPr>
              <w:t>，满足资源利用上线的要求</w:t>
            </w:r>
            <w:r>
              <w:rPr>
                <w:sz w:val="24"/>
              </w:rPr>
              <w:t>。</w:t>
            </w:r>
          </w:p>
          <w:p>
            <w:pPr>
              <w:spacing w:line="360" w:lineRule="auto"/>
              <w:ind w:firstLine="480" w:firstLineChars="200"/>
              <w:rPr>
                <w:kern w:val="0"/>
                <w:sz w:val="24"/>
              </w:rPr>
            </w:pPr>
            <w:r>
              <w:rPr>
                <w:kern w:val="0"/>
                <w:sz w:val="24"/>
              </w:rPr>
              <w:t>4）环境准入清单</w:t>
            </w:r>
          </w:p>
          <w:p>
            <w:pPr>
              <w:widowControl/>
              <w:autoSpaceDE w:val="0"/>
              <w:autoSpaceDN w:val="0"/>
              <w:spacing w:line="360" w:lineRule="auto"/>
              <w:ind w:firstLine="480" w:firstLineChars="200"/>
              <w:rPr>
                <w:sz w:val="24"/>
                <w:lang w:bidi="ar"/>
              </w:rPr>
            </w:pPr>
            <w:r>
              <w:rPr>
                <w:sz w:val="24"/>
                <w:lang w:bidi="ar"/>
              </w:rPr>
              <w:t>翼城县无环境准入清单，本次评价对照《临汾市人民政府关于印发临汾市</w:t>
            </w:r>
            <w:r>
              <w:rPr>
                <w:rFonts w:eastAsiaTheme="minorEastAsia"/>
                <w:sz w:val="24"/>
                <w:lang w:bidi="ar"/>
              </w:rPr>
              <w:t>“三线一单”生</w:t>
            </w:r>
            <w:r>
              <w:rPr>
                <w:sz w:val="24"/>
                <w:lang w:bidi="ar"/>
              </w:rPr>
              <w:t>态环境分区管控实施方案的通知》（临政发〔2021〕10号）中的准入要求进行了分析，本项目符合环境准入管控要求。</w:t>
            </w:r>
          </w:p>
          <w:p>
            <w:pPr>
              <w:widowControl/>
              <w:autoSpaceDE w:val="0"/>
              <w:autoSpaceDN w:val="0"/>
              <w:spacing w:line="360" w:lineRule="auto"/>
              <w:ind w:firstLine="480" w:firstLineChars="200"/>
              <w:jc w:val="left"/>
              <w:rPr>
                <w:sz w:val="24"/>
                <w:lang w:bidi="ar"/>
              </w:rPr>
            </w:pPr>
            <w:r>
              <w:rPr>
                <w:sz w:val="24"/>
                <w:lang w:bidi="ar"/>
              </w:rPr>
              <w:t>具体见表1-2、表1-3。</w:t>
            </w:r>
          </w:p>
          <w:p>
            <w:pPr>
              <w:autoSpaceDE w:val="0"/>
              <w:autoSpaceDN w:val="0"/>
              <w:spacing w:line="360" w:lineRule="auto"/>
              <w:jc w:val="center"/>
              <w:rPr>
                <w:b/>
                <w:bCs/>
                <w:kern w:val="0"/>
                <w:szCs w:val="21"/>
              </w:rPr>
            </w:pPr>
            <w:r>
              <w:rPr>
                <w:b/>
                <w:bCs/>
                <w:kern w:val="0"/>
                <w:szCs w:val="21"/>
              </w:rPr>
              <w:t>表1-</w:t>
            </w:r>
            <w:r>
              <w:rPr>
                <w:rFonts w:hint="eastAsia"/>
                <w:b/>
                <w:bCs/>
                <w:kern w:val="0"/>
                <w:szCs w:val="21"/>
              </w:rPr>
              <w:t>2</w:t>
            </w:r>
            <w:r>
              <w:rPr>
                <w:b/>
                <w:bCs/>
                <w:kern w:val="0"/>
                <w:szCs w:val="21"/>
              </w:rPr>
              <w:t xml:space="preserve">  临汾市生态环境总体准入管控要求</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437"/>
              <w:gridCol w:w="3509"/>
              <w:gridCol w:w="1486"/>
              <w:gridCol w:w="8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gridSpan w:val="2"/>
                  <w:vAlign w:val="center"/>
                </w:tcPr>
                <w:p>
                  <w:pPr>
                    <w:jc w:val="center"/>
                    <w:rPr>
                      <w:szCs w:val="21"/>
                    </w:rPr>
                  </w:pPr>
                  <w:r>
                    <w:rPr>
                      <w:szCs w:val="21"/>
                    </w:rPr>
                    <w:t>管控</w:t>
                  </w:r>
                </w:p>
                <w:p>
                  <w:pPr>
                    <w:jc w:val="center"/>
                    <w:rPr>
                      <w:szCs w:val="21"/>
                    </w:rPr>
                  </w:pPr>
                  <w:r>
                    <w:rPr>
                      <w:szCs w:val="21"/>
                    </w:rPr>
                    <w:t>类别</w:t>
                  </w:r>
                </w:p>
              </w:tc>
              <w:tc>
                <w:tcPr>
                  <w:tcW w:w="2600" w:type="pct"/>
                  <w:vAlign w:val="center"/>
                </w:tcPr>
                <w:p>
                  <w:pPr>
                    <w:jc w:val="center"/>
                    <w:rPr>
                      <w:szCs w:val="21"/>
                    </w:rPr>
                  </w:pPr>
                  <w:r>
                    <w:rPr>
                      <w:szCs w:val="21"/>
                    </w:rPr>
                    <w:t>管控要求</w:t>
                  </w:r>
                </w:p>
              </w:tc>
              <w:tc>
                <w:tcPr>
                  <w:tcW w:w="1101" w:type="pct"/>
                  <w:vAlign w:val="center"/>
                </w:tcPr>
                <w:p>
                  <w:pPr>
                    <w:jc w:val="center"/>
                    <w:rPr>
                      <w:szCs w:val="21"/>
                    </w:rPr>
                  </w:pPr>
                  <w:r>
                    <w:rPr>
                      <w:szCs w:val="21"/>
                    </w:rPr>
                    <w:t>本项目</w:t>
                  </w:r>
                </w:p>
              </w:tc>
              <w:tc>
                <w:tcPr>
                  <w:tcW w:w="650" w:type="pct"/>
                  <w:vAlign w:val="center"/>
                </w:tcPr>
                <w:p>
                  <w:pPr>
                    <w:jc w:val="center"/>
                    <w:rPr>
                      <w:szCs w:val="21"/>
                    </w:rPr>
                  </w:pPr>
                  <w:r>
                    <w:rPr>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gridSpan w:val="2"/>
                  <w:vMerge w:val="restart"/>
                  <w:vAlign w:val="center"/>
                </w:tcPr>
                <w:p>
                  <w:pPr>
                    <w:jc w:val="center"/>
                    <w:rPr>
                      <w:szCs w:val="21"/>
                    </w:rPr>
                  </w:pPr>
                  <w:r>
                    <w:rPr>
                      <w:szCs w:val="21"/>
                    </w:rPr>
                    <w:t>空间布局约束</w:t>
                  </w:r>
                </w:p>
              </w:tc>
              <w:tc>
                <w:tcPr>
                  <w:tcW w:w="2600" w:type="pct"/>
                  <w:vAlign w:val="center"/>
                </w:tcPr>
                <w:p>
                  <w:pPr>
                    <w:rPr>
                      <w:szCs w:val="21"/>
                    </w:rPr>
                  </w:pPr>
                  <w:r>
                    <w:rPr>
                      <w:szCs w:val="21"/>
                    </w:rPr>
                    <w:t>1.遏制"两高"项目盲目扩张。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rPr>
                      <w:szCs w:val="21"/>
                    </w:rPr>
                  </w:pPr>
                  <w:r>
                    <w:rPr>
                      <w:szCs w:val="21"/>
                    </w:rPr>
                    <w:t>2.新建"两高"项目应按照《关于加强重点行业建设项目区域削减措施监督管理的通知》要求，依据区域环境质量改善目标，制定配套区域污染物削减方案，采取有效的污染物区域削减措施，腾出足够的环境容量。</w:t>
                  </w:r>
                </w:p>
                <w:p>
                  <w:pPr>
                    <w:rPr>
                      <w:szCs w:val="21"/>
                    </w:rPr>
                  </w:pPr>
                  <w:r>
                    <w:rPr>
                      <w:szCs w:val="21"/>
                    </w:rPr>
                    <w:t>3.新建、扩建"两高"项目应采用先进适用的工艺技术和装备，单位产品物耗、能耗、水耗等达到清洁生产先进水平，依法制定并严格落实防治土壤与地下水污染的措施</w:t>
                  </w:r>
                </w:p>
              </w:tc>
              <w:tc>
                <w:tcPr>
                  <w:tcW w:w="1101" w:type="pct"/>
                  <w:vAlign w:val="center"/>
                </w:tcPr>
                <w:p>
                  <w:pPr>
                    <w:rPr>
                      <w:rFonts w:eastAsiaTheme="minorEastAsia"/>
                      <w:szCs w:val="21"/>
                    </w:rPr>
                  </w:pPr>
                  <w:r>
                    <w:rPr>
                      <w:rFonts w:eastAsiaTheme="minorEastAsia"/>
                      <w:kern w:val="0"/>
                      <w:szCs w:val="21"/>
                    </w:rPr>
                    <w:t>本项目为塑料制品制造，不属于“两高”项目</w:t>
                  </w:r>
                </w:p>
              </w:tc>
              <w:tc>
                <w:tcPr>
                  <w:tcW w:w="650"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4.优化焦化钢铁企业布局。汾河谷地平川区域焦化企业按照"退城入园、退川入谷"的原则，钢铁企业按照"入园入区，集聚发展"的要求，实施关小上大、转型升级、布局调整</w:t>
                  </w:r>
                </w:p>
              </w:tc>
              <w:tc>
                <w:tcPr>
                  <w:tcW w:w="1101" w:type="pct"/>
                  <w:vAlign w:val="center"/>
                </w:tcPr>
                <w:p>
                  <w:pPr>
                    <w:rPr>
                      <w:kern w:val="0"/>
                      <w:szCs w:val="21"/>
                    </w:rPr>
                  </w:pPr>
                  <w:r>
                    <w:rPr>
                      <w:kern w:val="0"/>
                      <w:szCs w:val="21"/>
                    </w:rPr>
                    <w:t>不属于焦化钢铁企业</w:t>
                  </w:r>
                </w:p>
              </w:tc>
              <w:tc>
                <w:tcPr>
                  <w:tcW w:w="650"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5.市区城市规划区155平方公里区域范围内禁止建设洗选煤企业；高铁、高速沿线两侧1公里范围内不得新建洗选煤企业</w:t>
                  </w:r>
                </w:p>
                <w:p>
                  <w:pPr>
                    <w:rPr>
                      <w:szCs w:val="21"/>
                    </w:rPr>
                  </w:pPr>
                  <w:r>
                    <w:rPr>
                      <w:szCs w:val="21"/>
                    </w:rPr>
                    <w:t>6.对洗选煤企业项目建设审批手续不全的、违规占用基本农田、在自然保护区、风景名胜区、集中式饮用水水源保护区、泉域重点保护区、湿地公园、森林公园、山西省永久性生态公益林等依法划定需|特别保护的环境敏感区范围内的项目予以取缔关闭</w:t>
                  </w:r>
                </w:p>
              </w:tc>
              <w:tc>
                <w:tcPr>
                  <w:tcW w:w="1101" w:type="pct"/>
                  <w:vAlign w:val="center"/>
                </w:tcPr>
                <w:p>
                  <w:pPr>
                    <w:rPr>
                      <w:kern w:val="0"/>
                      <w:szCs w:val="21"/>
                    </w:rPr>
                  </w:pPr>
                  <w:r>
                    <w:rPr>
                      <w:kern w:val="0"/>
                      <w:szCs w:val="21"/>
                    </w:rPr>
                    <w:t>不属于洗选煤企业</w:t>
                  </w:r>
                </w:p>
              </w:tc>
              <w:tc>
                <w:tcPr>
                  <w:tcW w:w="650"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restart"/>
                  <w:vAlign w:val="center"/>
                </w:tcPr>
                <w:p>
                  <w:pPr>
                    <w:jc w:val="center"/>
                    <w:rPr>
                      <w:szCs w:val="21"/>
                    </w:rPr>
                  </w:pPr>
                  <w:r>
                    <w:rPr>
                      <w:szCs w:val="21"/>
                    </w:rPr>
                    <w:t>污染物排放管控</w:t>
                  </w:r>
                </w:p>
              </w:tc>
              <w:tc>
                <w:tcPr>
                  <w:tcW w:w="2600" w:type="pct"/>
                  <w:vAlign w:val="center"/>
                </w:tcPr>
                <w:p>
                  <w:pPr>
                    <w:rPr>
                      <w:szCs w:val="21"/>
                    </w:rPr>
                  </w:pPr>
                  <w:r>
                    <w:rPr>
                      <w:szCs w:val="21"/>
                    </w:rPr>
                    <w:t>1.定期通报降尘量监测结果，降尘量最高值高于9吨/月·平方公里的市县要开展降尘专项整治</w:t>
                  </w:r>
                </w:p>
              </w:tc>
              <w:tc>
                <w:tcPr>
                  <w:tcW w:w="1101" w:type="pct"/>
                  <w:vAlign w:val="center"/>
                </w:tcPr>
                <w:p>
                  <w:pPr>
                    <w:pStyle w:val="69"/>
                    <w:adjustRightInd/>
                    <w:jc w:val="both"/>
                    <w:rPr>
                      <w:szCs w:val="21"/>
                    </w:rPr>
                  </w:pPr>
                  <w:r>
                    <w:rPr>
                      <w:szCs w:val="21"/>
                    </w:rPr>
                    <w:t>积极配合市县降尘专项整治行动及计划</w:t>
                  </w:r>
                </w:p>
              </w:tc>
              <w:tc>
                <w:tcPr>
                  <w:tcW w:w="650" w:type="pct"/>
                  <w:vAlign w:val="center"/>
                </w:tcPr>
                <w:p>
                  <w:pPr>
                    <w:pStyle w:val="69"/>
                    <w:adjustRightInd/>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2.2021年10月底前，全面完成钢铁企业在产设备超低排放改造。</w:t>
                  </w:r>
                </w:p>
              </w:tc>
              <w:tc>
                <w:tcPr>
                  <w:tcW w:w="1101" w:type="pct"/>
                  <w:vAlign w:val="center"/>
                </w:tcPr>
                <w:p>
                  <w:pPr>
                    <w:pStyle w:val="69"/>
                    <w:adjustRightInd/>
                    <w:jc w:val="both"/>
                    <w:rPr>
                      <w:szCs w:val="21"/>
                    </w:rPr>
                  </w:pPr>
                  <w:r>
                    <w:rPr>
                      <w:szCs w:val="21"/>
                    </w:rPr>
                    <w:t>不属于钢铁企业</w:t>
                  </w:r>
                </w:p>
              </w:tc>
              <w:tc>
                <w:tcPr>
                  <w:tcW w:w="650" w:type="pct"/>
                  <w:vAlign w:val="center"/>
                </w:tcPr>
                <w:p>
                  <w:pPr>
                    <w:pStyle w:val="69"/>
                    <w:adjustRightInd/>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3.焦化行业超低排放改造于2023年底前全部完成</w:t>
                  </w:r>
                </w:p>
              </w:tc>
              <w:tc>
                <w:tcPr>
                  <w:tcW w:w="1101" w:type="pct"/>
                  <w:vAlign w:val="center"/>
                </w:tcPr>
                <w:p>
                  <w:pPr>
                    <w:pStyle w:val="69"/>
                    <w:adjustRightInd/>
                    <w:jc w:val="both"/>
                    <w:rPr>
                      <w:szCs w:val="21"/>
                    </w:rPr>
                  </w:pPr>
                  <w:r>
                    <w:rPr>
                      <w:szCs w:val="21"/>
                    </w:rPr>
                    <w:t>不属于焦化企业</w:t>
                  </w:r>
                </w:p>
              </w:tc>
              <w:tc>
                <w:tcPr>
                  <w:tcW w:w="650" w:type="pct"/>
                  <w:vAlign w:val="center"/>
                </w:tcPr>
                <w:p>
                  <w:pPr>
                    <w:pStyle w:val="69"/>
                    <w:adjustRightInd/>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4.年货运量150万吨以上工业企业公路运输的车辆要全部达到国五及以上标准，其中位于市区规划区的钢铁等企业，进出厂大宗物料2021年10月1日前要全部采用铁路或管道、管状带式输送机等清洁方式运输，公路运输采用国六排放标准及以上的汽车或新能源车辆</w:t>
                  </w:r>
                </w:p>
              </w:tc>
              <w:tc>
                <w:tcPr>
                  <w:tcW w:w="1101" w:type="pct"/>
                  <w:vAlign w:val="center"/>
                </w:tcPr>
                <w:p>
                  <w:pPr>
                    <w:rPr>
                      <w:szCs w:val="21"/>
                      <w:lang w:val="zh-CN"/>
                    </w:rPr>
                  </w:pPr>
                  <w:r>
                    <w:rPr>
                      <w:szCs w:val="21"/>
                      <w:lang w:val="zh-CN"/>
                    </w:rPr>
                    <w:t>本项目年货运量小于150万吨；不属于钢铁行业</w:t>
                  </w:r>
                </w:p>
              </w:tc>
              <w:tc>
                <w:tcPr>
                  <w:tcW w:w="650" w:type="pct"/>
                  <w:vAlign w:val="center"/>
                </w:tcPr>
                <w:p>
                  <w:pPr>
                    <w:pStyle w:val="69"/>
                    <w:adjustRightInd/>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restart"/>
                  <w:vAlign w:val="center"/>
                </w:tcPr>
                <w:p>
                  <w:pPr>
                    <w:jc w:val="center"/>
                    <w:rPr>
                      <w:szCs w:val="21"/>
                    </w:rPr>
                  </w:pPr>
                  <w:r>
                    <w:rPr>
                      <w:szCs w:val="21"/>
                    </w:rPr>
                    <w:t>环境风险防控</w:t>
                  </w:r>
                </w:p>
              </w:tc>
              <w:tc>
                <w:tcPr>
                  <w:tcW w:w="2600" w:type="pct"/>
                  <w:vAlign w:val="center"/>
                </w:tcPr>
                <w:p>
                  <w:pPr>
                    <w:rPr>
                      <w:szCs w:val="21"/>
                    </w:rPr>
                  </w:pPr>
                  <w:r>
                    <w:rPr>
                      <w:szCs w:val="21"/>
                    </w:rPr>
                    <w:t>1.项目防护距离应符合相关国家标准或规范要求。装置外部安全防护距离要符合《危险化学品生产、储存装置个人可接受风险标准和社会可接受风险标准》要求</w:t>
                  </w:r>
                </w:p>
              </w:tc>
              <w:tc>
                <w:tcPr>
                  <w:tcW w:w="1101" w:type="pct"/>
                  <w:vAlign w:val="center"/>
                </w:tcPr>
                <w:p>
                  <w:pPr>
                    <w:rPr>
                      <w:szCs w:val="21"/>
                    </w:rPr>
                  </w:pPr>
                  <w:r>
                    <w:rPr>
                      <w:szCs w:val="21"/>
                    </w:rPr>
                    <w:t>本项目无行业卫生防护距离设定要求</w:t>
                  </w:r>
                </w:p>
              </w:tc>
              <w:tc>
                <w:tcPr>
                  <w:tcW w:w="650" w:type="pct"/>
                  <w:vAlign w:val="center"/>
                </w:tcPr>
                <w:p>
                  <w:pPr>
                    <w:jc w:val="center"/>
                    <w:rPr>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2.在环境风险防控重点区域如居民集中区、医院和学校附近、重要水源涵养生态功能区等，以及因环境污染导致环境质量不能稳定达标的区域内，禁止新建或扩建可能引发环境风险的项目</w:t>
                  </w:r>
                </w:p>
              </w:tc>
              <w:tc>
                <w:tcPr>
                  <w:tcW w:w="1101" w:type="pct"/>
                  <w:vAlign w:val="center"/>
                </w:tcPr>
                <w:p>
                  <w:pPr>
                    <w:rPr>
                      <w:szCs w:val="21"/>
                    </w:rPr>
                  </w:pPr>
                  <w:r>
                    <w:rPr>
                      <w:szCs w:val="21"/>
                    </w:rPr>
                    <w:t>厂区周边不涉及居民集中区、医院、学校、重要水源涵养生态功能区等环境风险防控重点区域</w:t>
                  </w:r>
                </w:p>
              </w:tc>
              <w:tc>
                <w:tcPr>
                  <w:tcW w:w="650" w:type="pct"/>
                  <w:vAlign w:val="center"/>
                </w:tcPr>
                <w:p>
                  <w:pPr>
                    <w:jc w:val="center"/>
                    <w:rPr>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49" w:type="pct"/>
                  <w:gridSpan w:val="2"/>
                  <w:vMerge w:val="continue"/>
                  <w:vAlign w:val="center"/>
                </w:tcPr>
                <w:p>
                  <w:pPr>
                    <w:jc w:val="center"/>
                    <w:rPr>
                      <w:szCs w:val="21"/>
                    </w:rPr>
                  </w:pPr>
                </w:p>
              </w:tc>
              <w:tc>
                <w:tcPr>
                  <w:tcW w:w="2600" w:type="pct"/>
                  <w:vAlign w:val="center"/>
                </w:tcPr>
                <w:p>
                  <w:pPr>
                    <w:rPr>
                      <w:szCs w:val="21"/>
                    </w:rPr>
                  </w:pPr>
                  <w:r>
                    <w:rPr>
                      <w:szCs w:val="21"/>
                    </w:rPr>
                    <w:t>3.加强汾河、沁河等流域及饮用水水源地水环境风险防控工作，确定重点水环境风险源清单，建立应急物资储备库及保障机制。</w:t>
                  </w:r>
                </w:p>
              </w:tc>
              <w:tc>
                <w:tcPr>
                  <w:tcW w:w="1101" w:type="pct"/>
                  <w:vAlign w:val="center"/>
                </w:tcPr>
                <w:p>
                  <w:pPr>
                    <w:rPr>
                      <w:szCs w:val="21"/>
                    </w:rPr>
                  </w:pPr>
                  <w:r>
                    <w:rPr>
                      <w:szCs w:val="21"/>
                    </w:rPr>
                    <w:t>本项目距离最近河流为东南侧12km处的浍河</w:t>
                  </w:r>
                </w:p>
              </w:tc>
              <w:tc>
                <w:tcPr>
                  <w:tcW w:w="650" w:type="pct"/>
                  <w:vAlign w:val="center"/>
                </w:tcPr>
                <w:p>
                  <w:pPr>
                    <w:jc w:val="center"/>
                    <w:rPr>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restart"/>
                  <w:vAlign w:val="center"/>
                </w:tcPr>
                <w:p>
                  <w:pPr>
                    <w:jc w:val="center"/>
                    <w:rPr>
                      <w:szCs w:val="21"/>
                    </w:rPr>
                  </w:pPr>
                  <w:r>
                    <w:rPr>
                      <w:szCs w:val="21"/>
                    </w:rPr>
                    <w:t>资源利用效率</w:t>
                  </w:r>
                </w:p>
              </w:tc>
              <w:tc>
                <w:tcPr>
                  <w:tcW w:w="324" w:type="pct"/>
                  <w:vMerge w:val="restart"/>
                  <w:vAlign w:val="center"/>
                </w:tcPr>
                <w:p>
                  <w:pPr>
                    <w:jc w:val="center"/>
                    <w:rPr>
                      <w:szCs w:val="21"/>
                    </w:rPr>
                  </w:pPr>
                  <w:r>
                    <w:rPr>
                      <w:szCs w:val="21"/>
                    </w:rPr>
                    <w:t>水资源利用</w:t>
                  </w:r>
                </w:p>
              </w:tc>
              <w:tc>
                <w:tcPr>
                  <w:tcW w:w="2600" w:type="pct"/>
                  <w:vAlign w:val="center"/>
                </w:tcPr>
                <w:p>
                  <w:pPr>
                    <w:rPr>
                      <w:szCs w:val="21"/>
                    </w:rPr>
                  </w:pPr>
                  <w:r>
                    <w:rPr>
                      <w:szCs w:val="21"/>
                    </w:rPr>
                    <w:t>1.水资源利用上线严格落实"十四五"相关目标指标</w:t>
                  </w:r>
                </w:p>
              </w:tc>
              <w:tc>
                <w:tcPr>
                  <w:tcW w:w="1101" w:type="pct"/>
                  <w:vAlign w:val="center"/>
                </w:tcPr>
                <w:p>
                  <w:pPr>
                    <w:rPr>
                      <w:szCs w:val="21"/>
                    </w:rPr>
                  </w:pPr>
                  <w:r>
                    <w:rPr>
                      <w:szCs w:val="21"/>
                    </w:rPr>
                    <w:t>本项目生活污水用于厂区洒水抑尘；无生产废水。本项目建设符合山西省人民政府《关于印发&lt;山西省国民经济和社会发展第十四个五年规划和2035年远景目标纲要&gt;的通知》中水资源利用相关要求</w:t>
                  </w:r>
                </w:p>
              </w:tc>
              <w:tc>
                <w:tcPr>
                  <w:tcW w:w="650" w:type="pct"/>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continue"/>
                  <w:vAlign w:val="center"/>
                </w:tcPr>
                <w:p>
                  <w:pPr>
                    <w:jc w:val="center"/>
                    <w:rPr>
                      <w:szCs w:val="21"/>
                    </w:rPr>
                  </w:pPr>
                </w:p>
              </w:tc>
              <w:tc>
                <w:tcPr>
                  <w:tcW w:w="324" w:type="pct"/>
                  <w:vMerge w:val="continue"/>
                  <w:vAlign w:val="center"/>
                </w:tcPr>
                <w:p>
                  <w:pPr>
                    <w:jc w:val="center"/>
                    <w:rPr>
                      <w:szCs w:val="21"/>
                    </w:rPr>
                  </w:pPr>
                </w:p>
              </w:tc>
              <w:tc>
                <w:tcPr>
                  <w:tcW w:w="2600" w:type="pct"/>
                  <w:vAlign w:val="center"/>
                </w:tcPr>
                <w:p>
                  <w:pPr>
                    <w:rPr>
                      <w:szCs w:val="21"/>
                    </w:rPr>
                  </w:pPr>
                  <w:r>
                    <w:rPr>
                      <w:szCs w:val="21"/>
                    </w:rPr>
                    <w:t>2.实施最严格水资源管控，加强岩溶泉域水资源的保护和管理</w:t>
                  </w:r>
                </w:p>
              </w:tc>
              <w:tc>
                <w:tcPr>
                  <w:tcW w:w="1101" w:type="pct"/>
                  <w:vAlign w:val="center"/>
                </w:tcPr>
                <w:p>
                  <w:pPr>
                    <w:rPr>
                      <w:szCs w:val="21"/>
                    </w:rPr>
                  </w:pPr>
                  <w:r>
                    <w:rPr>
                      <w:szCs w:val="21"/>
                    </w:rPr>
                    <w:t>项目选址不在泉域范围内</w:t>
                  </w:r>
                </w:p>
              </w:tc>
              <w:tc>
                <w:tcPr>
                  <w:tcW w:w="650" w:type="pct"/>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continue"/>
                  <w:vAlign w:val="center"/>
                </w:tcPr>
                <w:p>
                  <w:pPr>
                    <w:jc w:val="center"/>
                    <w:rPr>
                      <w:szCs w:val="21"/>
                    </w:rPr>
                  </w:pPr>
                </w:p>
              </w:tc>
              <w:tc>
                <w:tcPr>
                  <w:tcW w:w="324" w:type="pct"/>
                  <w:vAlign w:val="center"/>
                </w:tcPr>
                <w:p>
                  <w:pPr>
                    <w:jc w:val="center"/>
                    <w:rPr>
                      <w:szCs w:val="21"/>
                    </w:rPr>
                  </w:pPr>
                  <w:r>
                    <w:rPr>
                      <w:szCs w:val="21"/>
                    </w:rPr>
                    <w:t>能源利用</w:t>
                  </w:r>
                </w:p>
              </w:tc>
              <w:tc>
                <w:tcPr>
                  <w:tcW w:w="2600" w:type="pct"/>
                  <w:vAlign w:val="center"/>
                </w:tcPr>
                <w:p>
                  <w:pPr>
                    <w:rPr>
                      <w:szCs w:val="21"/>
                    </w:rPr>
                  </w:pPr>
                  <w:r>
                    <w:rPr>
                      <w:szCs w:val="21"/>
                    </w:rPr>
                    <w:t>1.到2022年，实现未达标处置存量矸石回填矿井、新建矿井不可利用矸石全部返井。</w:t>
                  </w:r>
                </w:p>
                <w:p>
                  <w:pPr>
                    <w:rPr>
                      <w:szCs w:val="21"/>
                    </w:rPr>
                  </w:pPr>
                  <w:r>
                    <w:rPr>
                      <w:szCs w:val="21"/>
                    </w:rPr>
                    <w:t>2.煤矿企业主要污染物达标排放率达到100%，煤矸石利用率达到75%以上。</w:t>
                  </w:r>
                </w:p>
                <w:p>
                  <w:pPr>
                    <w:rPr>
                      <w:szCs w:val="21"/>
                    </w:rPr>
                  </w:pPr>
                  <w:r>
                    <w:rPr>
                      <w:szCs w:val="21"/>
                    </w:rPr>
                    <w:t>3.保持煤炭消费总量负增长，积极推进碳达峰碳中和目标愿景</w:t>
                  </w:r>
                </w:p>
              </w:tc>
              <w:tc>
                <w:tcPr>
                  <w:tcW w:w="1101" w:type="pct"/>
                  <w:vAlign w:val="center"/>
                </w:tcPr>
                <w:p>
                  <w:pPr>
                    <w:rPr>
                      <w:szCs w:val="21"/>
                    </w:rPr>
                  </w:pPr>
                  <w:r>
                    <w:rPr>
                      <w:szCs w:val="21"/>
                    </w:rPr>
                    <w:t>不属于煤矿企业</w:t>
                  </w:r>
                </w:p>
              </w:tc>
              <w:tc>
                <w:tcPr>
                  <w:tcW w:w="650" w:type="pct"/>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continue"/>
                  <w:vAlign w:val="center"/>
                </w:tcPr>
                <w:p>
                  <w:pPr>
                    <w:jc w:val="center"/>
                    <w:rPr>
                      <w:szCs w:val="21"/>
                    </w:rPr>
                  </w:pPr>
                </w:p>
              </w:tc>
              <w:tc>
                <w:tcPr>
                  <w:tcW w:w="324" w:type="pct"/>
                  <w:vMerge w:val="restart"/>
                  <w:vAlign w:val="center"/>
                </w:tcPr>
                <w:p>
                  <w:pPr>
                    <w:jc w:val="center"/>
                    <w:rPr>
                      <w:szCs w:val="21"/>
                    </w:rPr>
                  </w:pPr>
                  <w:r>
                    <w:rPr>
                      <w:szCs w:val="21"/>
                    </w:rPr>
                    <w:t>土地资源利用</w:t>
                  </w:r>
                </w:p>
              </w:tc>
              <w:tc>
                <w:tcPr>
                  <w:tcW w:w="2600" w:type="pct"/>
                  <w:vAlign w:val="center"/>
                </w:tcPr>
                <w:p>
                  <w:pPr>
                    <w:rPr>
                      <w:szCs w:val="21"/>
                    </w:rPr>
                  </w:pPr>
                  <w:r>
                    <w:rPr>
                      <w:szCs w:val="21"/>
                    </w:rPr>
                    <w:t>1.土地资源利用上线严格落实国土空间规划和"十四五"相关目标指标。</w:t>
                  </w:r>
                </w:p>
                <w:p>
                  <w:pPr>
                    <w:rPr>
                      <w:szCs w:val="21"/>
                    </w:rPr>
                  </w:pPr>
                  <w:r>
                    <w:rPr>
                      <w:szCs w:val="21"/>
                    </w:rPr>
                    <w:t>2.严守耕地红线，坚决遏制耕地"非农化"，防止"非粮化"</w:t>
                  </w:r>
                </w:p>
              </w:tc>
              <w:tc>
                <w:tcPr>
                  <w:tcW w:w="1101" w:type="pct"/>
                  <w:vAlign w:val="center"/>
                </w:tcPr>
                <w:p>
                  <w:pPr>
                    <w:rPr>
                      <w:szCs w:val="21"/>
                    </w:rPr>
                  </w:pPr>
                  <w:r>
                    <w:rPr>
                      <w:szCs w:val="21"/>
                    </w:rPr>
                    <w:t>本项目在现有项目厂地内扩建，不占用基本农田和耕地，项目建设符合翼城县国土空间规划</w:t>
                  </w:r>
                </w:p>
              </w:tc>
              <w:tc>
                <w:tcPr>
                  <w:tcW w:w="650" w:type="pct"/>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continue"/>
                  <w:vAlign w:val="center"/>
                </w:tcPr>
                <w:p>
                  <w:pPr>
                    <w:jc w:val="center"/>
                    <w:rPr>
                      <w:szCs w:val="21"/>
                    </w:rPr>
                  </w:pPr>
                </w:p>
              </w:tc>
              <w:tc>
                <w:tcPr>
                  <w:tcW w:w="324" w:type="pct"/>
                  <w:vMerge w:val="continue"/>
                  <w:vAlign w:val="center"/>
                </w:tcPr>
                <w:p>
                  <w:pPr>
                    <w:jc w:val="center"/>
                    <w:rPr>
                      <w:szCs w:val="21"/>
                    </w:rPr>
                  </w:pPr>
                </w:p>
              </w:tc>
              <w:tc>
                <w:tcPr>
                  <w:tcW w:w="2600" w:type="pct"/>
                  <w:vAlign w:val="center"/>
                </w:tcPr>
                <w:p>
                  <w:pPr>
                    <w:rPr>
                      <w:szCs w:val="21"/>
                    </w:rPr>
                  </w:pPr>
                  <w:r>
                    <w:rPr>
                      <w:szCs w:val="21"/>
                    </w:rPr>
                    <w:t>3.以黄河干流沿岸县（市、区）为重点，全面实行在塬面修建软埝田、塬面缓坡地建果园、陡坡耕地全面退耕造林并实行封禁、沟底打坝造地建设高标准基本农田的水土保持治理模式，促进黄河流域生态保护和高质量发展</w:t>
                  </w:r>
                </w:p>
              </w:tc>
              <w:tc>
                <w:tcPr>
                  <w:tcW w:w="1101" w:type="pct"/>
                  <w:vAlign w:val="center"/>
                </w:tcPr>
                <w:p>
                  <w:pPr>
                    <w:rPr>
                      <w:szCs w:val="21"/>
                    </w:rPr>
                  </w:pPr>
                  <w:r>
                    <w:rPr>
                      <w:szCs w:val="21"/>
                    </w:rPr>
                    <w:t>本项目不占用基本农田和耕地</w:t>
                  </w:r>
                </w:p>
              </w:tc>
              <w:tc>
                <w:tcPr>
                  <w:tcW w:w="650" w:type="pct"/>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325" w:type="pct"/>
                  <w:vMerge w:val="continue"/>
                  <w:vAlign w:val="center"/>
                </w:tcPr>
                <w:p>
                  <w:pPr>
                    <w:jc w:val="center"/>
                    <w:rPr>
                      <w:szCs w:val="21"/>
                    </w:rPr>
                  </w:pPr>
                </w:p>
              </w:tc>
              <w:tc>
                <w:tcPr>
                  <w:tcW w:w="324" w:type="pct"/>
                  <w:vMerge w:val="continue"/>
                  <w:vAlign w:val="center"/>
                </w:tcPr>
                <w:p>
                  <w:pPr>
                    <w:jc w:val="center"/>
                    <w:rPr>
                      <w:szCs w:val="21"/>
                    </w:rPr>
                  </w:pPr>
                </w:p>
              </w:tc>
              <w:tc>
                <w:tcPr>
                  <w:tcW w:w="2600" w:type="pct"/>
                  <w:vAlign w:val="center"/>
                </w:tcPr>
                <w:p>
                  <w:pPr>
                    <w:rPr>
                      <w:szCs w:val="21"/>
                    </w:rPr>
                  </w:pPr>
                  <w:r>
                    <w:rPr>
                      <w:szCs w:val="21"/>
                    </w:rPr>
                    <w:t>4.开展黄河流域历史遗留矿山生态修复项目，推动矿山生态恢复治理示范工程建设</w:t>
                  </w:r>
                </w:p>
              </w:tc>
              <w:tc>
                <w:tcPr>
                  <w:tcW w:w="1101" w:type="pct"/>
                  <w:vAlign w:val="center"/>
                </w:tcPr>
                <w:p>
                  <w:pPr>
                    <w:rPr>
                      <w:szCs w:val="21"/>
                    </w:rPr>
                  </w:pPr>
                  <w:r>
                    <w:rPr>
                      <w:szCs w:val="21"/>
                    </w:rPr>
                    <w:t>不涉及矿山生态修复</w:t>
                  </w:r>
                </w:p>
              </w:tc>
              <w:tc>
                <w:tcPr>
                  <w:tcW w:w="650" w:type="pct"/>
                  <w:vAlign w:val="center"/>
                </w:tcPr>
                <w:p>
                  <w:pPr>
                    <w:jc w:val="center"/>
                    <w:rPr>
                      <w:szCs w:val="21"/>
                    </w:rPr>
                  </w:pPr>
                  <w:r>
                    <w:rPr>
                      <w:szCs w:val="21"/>
                    </w:rPr>
                    <w:t>符合</w:t>
                  </w:r>
                </w:p>
              </w:tc>
            </w:tr>
          </w:tbl>
          <w:p>
            <w:pPr>
              <w:autoSpaceDE w:val="0"/>
              <w:autoSpaceDN w:val="0"/>
              <w:spacing w:line="360" w:lineRule="auto"/>
              <w:jc w:val="center"/>
              <w:rPr>
                <w:b/>
                <w:bCs/>
                <w:kern w:val="0"/>
                <w:szCs w:val="21"/>
              </w:rPr>
            </w:pPr>
            <w:r>
              <w:rPr>
                <w:b/>
                <w:bCs/>
                <w:kern w:val="0"/>
                <w:szCs w:val="21"/>
              </w:rPr>
              <w:t>表1-3  临汾市汾河流域管控要求</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3010"/>
              <w:gridCol w:w="1838"/>
              <w:gridCol w:w="8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Align w:val="center"/>
                </w:tcPr>
                <w:p>
                  <w:pPr>
                    <w:jc w:val="center"/>
                    <w:rPr>
                      <w:kern w:val="0"/>
                      <w:szCs w:val="21"/>
                    </w:rPr>
                  </w:pPr>
                  <w:r>
                    <w:rPr>
                      <w:kern w:val="0"/>
                      <w:szCs w:val="21"/>
                    </w:rPr>
                    <w:t>管控类别</w:t>
                  </w:r>
                </w:p>
              </w:tc>
              <w:tc>
                <w:tcPr>
                  <w:tcW w:w="2230" w:type="pct"/>
                  <w:vAlign w:val="center"/>
                </w:tcPr>
                <w:p>
                  <w:pPr>
                    <w:jc w:val="center"/>
                    <w:rPr>
                      <w:kern w:val="0"/>
                      <w:szCs w:val="21"/>
                    </w:rPr>
                  </w:pPr>
                  <w:r>
                    <w:rPr>
                      <w:kern w:val="0"/>
                      <w:szCs w:val="21"/>
                    </w:rPr>
                    <w:t>管控要求</w:t>
                  </w:r>
                </w:p>
              </w:tc>
              <w:tc>
                <w:tcPr>
                  <w:tcW w:w="1362" w:type="pct"/>
                  <w:vAlign w:val="center"/>
                </w:tcPr>
                <w:p>
                  <w:pPr>
                    <w:jc w:val="center"/>
                    <w:rPr>
                      <w:kern w:val="0"/>
                      <w:szCs w:val="21"/>
                    </w:rPr>
                  </w:pPr>
                  <w:r>
                    <w:rPr>
                      <w:kern w:val="0"/>
                      <w:szCs w:val="21"/>
                    </w:rPr>
                    <w:t>本项目</w:t>
                  </w:r>
                </w:p>
              </w:tc>
              <w:tc>
                <w:tcPr>
                  <w:tcW w:w="651" w:type="pct"/>
                  <w:vAlign w:val="center"/>
                </w:tcPr>
                <w:p>
                  <w:pPr>
                    <w:jc w:val="center"/>
                    <w:rPr>
                      <w:kern w:val="0"/>
                      <w:szCs w:val="21"/>
                    </w:rPr>
                  </w:pPr>
                  <w:r>
                    <w:rPr>
                      <w:kern w:val="0"/>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Merge w:val="restart"/>
                  <w:vAlign w:val="center"/>
                </w:tcPr>
                <w:p>
                  <w:pPr>
                    <w:jc w:val="center"/>
                    <w:rPr>
                      <w:kern w:val="0"/>
                      <w:szCs w:val="21"/>
                    </w:rPr>
                  </w:pPr>
                  <w:r>
                    <w:rPr>
                      <w:kern w:val="0"/>
                      <w:szCs w:val="21"/>
                    </w:rPr>
                    <w:t>空间布局约束</w:t>
                  </w:r>
                </w:p>
              </w:tc>
              <w:tc>
                <w:tcPr>
                  <w:tcW w:w="2230" w:type="pct"/>
                  <w:vAlign w:val="center"/>
                </w:tcPr>
                <w:p>
                  <w:pPr>
                    <w:rPr>
                      <w:kern w:val="0"/>
                      <w:szCs w:val="21"/>
                    </w:rPr>
                  </w:pPr>
                  <w:r>
                    <w:rPr>
                      <w:bCs/>
                      <w:kern w:val="0"/>
                      <w:szCs w:val="21"/>
                    </w:rPr>
                    <w:t>1.在地下水禁采区和限采区，不得开凿新井。已建成的水井依法限期封闭</w:t>
                  </w:r>
                </w:p>
              </w:tc>
              <w:tc>
                <w:tcPr>
                  <w:tcW w:w="1362" w:type="pct"/>
                  <w:vAlign w:val="center"/>
                </w:tcPr>
                <w:p>
                  <w:pPr>
                    <w:rPr>
                      <w:kern w:val="0"/>
                      <w:szCs w:val="21"/>
                    </w:rPr>
                  </w:pPr>
                  <w:r>
                    <w:rPr>
                      <w:kern w:val="0"/>
                      <w:szCs w:val="21"/>
                    </w:rPr>
                    <w:t>本项目所在地不属于地下水禁采区和限采区，不涉及地下水开采</w:t>
                  </w:r>
                </w:p>
              </w:tc>
              <w:tc>
                <w:tcPr>
                  <w:tcW w:w="651"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Merge w:val="continue"/>
                  <w:vAlign w:val="center"/>
                </w:tcPr>
                <w:p>
                  <w:pPr>
                    <w:jc w:val="center"/>
                    <w:rPr>
                      <w:kern w:val="0"/>
                      <w:szCs w:val="21"/>
                    </w:rPr>
                  </w:pPr>
                </w:p>
              </w:tc>
              <w:tc>
                <w:tcPr>
                  <w:tcW w:w="2230" w:type="pct"/>
                  <w:vAlign w:val="center"/>
                </w:tcPr>
                <w:p>
                  <w:pPr>
                    <w:rPr>
                      <w:bCs/>
                      <w:kern w:val="0"/>
                      <w:szCs w:val="21"/>
                    </w:rPr>
                  </w:pPr>
                  <w:r>
                    <w:rPr>
                      <w:bCs/>
                      <w:kern w:val="0"/>
                      <w:szCs w:val="21"/>
                    </w:rPr>
                    <w:t>2.禁止在河道内私挖滥采，确保河道防洪安全。禁止在引调水工程沿线保护范围内从事采石、采空间布局约束砂、取土、爆破等活动</w:t>
                  </w:r>
                </w:p>
              </w:tc>
              <w:tc>
                <w:tcPr>
                  <w:tcW w:w="1362" w:type="pct"/>
                  <w:vAlign w:val="center"/>
                </w:tcPr>
                <w:p>
                  <w:pPr>
                    <w:rPr>
                      <w:kern w:val="0"/>
                      <w:szCs w:val="21"/>
                    </w:rPr>
                  </w:pPr>
                  <w:r>
                    <w:rPr>
                      <w:bCs/>
                      <w:kern w:val="0"/>
                      <w:szCs w:val="21"/>
                    </w:rPr>
                    <w:t>本项目不涉及河道内私挖滥采</w:t>
                  </w:r>
                </w:p>
              </w:tc>
              <w:tc>
                <w:tcPr>
                  <w:tcW w:w="651"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757" w:type="pct"/>
                  <w:vMerge w:val="continue"/>
                  <w:vAlign w:val="center"/>
                </w:tcPr>
                <w:p>
                  <w:pPr>
                    <w:jc w:val="center"/>
                    <w:rPr>
                      <w:kern w:val="0"/>
                      <w:szCs w:val="21"/>
                    </w:rPr>
                  </w:pPr>
                </w:p>
              </w:tc>
              <w:tc>
                <w:tcPr>
                  <w:tcW w:w="2230" w:type="pct"/>
                  <w:vAlign w:val="center"/>
                </w:tcPr>
                <w:p>
                  <w:pPr>
                    <w:rPr>
                      <w:bCs/>
                      <w:kern w:val="0"/>
                      <w:szCs w:val="21"/>
                    </w:rPr>
                  </w:pPr>
                  <w:r>
                    <w:rPr>
                      <w:bCs/>
                      <w:kern w:val="0"/>
                      <w:szCs w:val="21"/>
                    </w:rPr>
                    <w:t>3.禁止占用或者征收、征用汾河流域内一级保护林地和天然草甸；禁止随意变更水源涵养林地和天然草甸用途</w:t>
                  </w:r>
                </w:p>
              </w:tc>
              <w:tc>
                <w:tcPr>
                  <w:tcW w:w="1362" w:type="pct"/>
                  <w:vAlign w:val="center"/>
                </w:tcPr>
                <w:p>
                  <w:pPr>
                    <w:rPr>
                      <w:kern w:val="0"/>
                      <w:szCs w:val="21"/>
                    </w:rPr>
                  </w:pPr>
                  <w:r>
                    <w:rPr>
                      <w:bCs/>
                      <w:kern w:val="0"/>
                      <w:szCs w:val="21"/>
                    </w:rPr>
                    <w:t>本项目不占用一级保护林地和天然草甸</w:t>
                  </w:r>
                </w:p>
              </w:tc>
              <w:tc>
                <w:tcPr>
                  <w:tcW w:w="651"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Align w:val="center"/>
                </w:tcPr>
                <w:p>
                  <w:pPr>
                    <w:jc w:val="center"/>
                    <w:rPr>
                      <w:kern w:val="0"/>
                      <w:szCs w:val="21"/>
                    </w:rPr>
                  </w:pPr>
                  <w:r>
                    <w:rPr>
                      <w:kern w:val="0"/>
                      <w:szCs w:val="21"/>
                    </w:rPr>
                    <w:t>污染物排放管控</w:t>
                  </w:r>
                </w:p>
              </w:tc>
              <w:tc>
                <w:tcPr>
                  <w:tcW w:w="2230" w:type="pct"/>
                  <w:vAlign w:val="center"/>
                </w:tcPr>
                <w:p>
                  <w:pPr>
                    <w:rPr>
                      <w:bCs/>
                      <w:kern w:val="0"/>
                      <w:szCs w:val="21"/>
                    </w:rPr>
                  </w:pPr>
                  <w:r>
                    <w:rPr>
                      <w:bCs/>
                      <w:kern w:val="0"/>
                      <w:szCs w:val="21"/>
                    </w:rPr>
                    <w:t>1.持续开展重点河流河道疏浚和清淤，清理河道河岸垃圾，提高河流自净能力。</w:t>
                  </w:r>
                </w:p>
                <w:p>
                  <w:pPr>
                    <w:rPr>
                      <w:bCs/>
                      <w:kern w:val="0"/>
                      <w:szCs w:val="21"/>
                    </w:rPr>
                  </w:pPr>
                  <w:r>
                    <w:rPr>
                      <w:bCs/>
                      <w:kern w:val="0"/>
                      <w:szCs w:val="21"/>
                    </w:rPr>
                    <w:t>2.持续开展入河排污口排查整治，确保动态"清零"。</w:t>
                  </w:r>
                </w:p>
                <w:p>
                  <w:pPr>
                    <w:rPr>
                      <w:kern w:val="0"/>
                      <w:szCs w:val="21"/>
                    </w:rPr>
                  </w:pPr>
                  <w:r>
                    <w:rPr>
                      <w:bCs/>
                      <w:kern w:val="0"/>
                      <w:szCs w:val="21"/>
                    </w:rPr>
                    <w:t>3.加强沿河农村生活污水处理，强化农灌退水管理和资源化利用</w:t>
                  </w:r>
                </w:p>
              </w:tc>
              <w:tc>
                <w:tcPr>
                  <w:tcW w:w="1362" w:type="pct"/>
                  <w:vAlign w:val="center"/>
                </w:tcPr>
                <w:p>
                  <w:pPr>
                    <w:rPr>
                      <w:kern w:val="0"/>
                      <w:szCs w:val="21"/>
                    </w:rPr>
                  </w:pPr>
                  <w:r>
                    <w:rPr>
                      <w:kern w:val="0"/>
                      <w:szCs w:val="21"/>
                    </w:rPr>
                    <w:t>本项目生产及生活污水均不外排，不会对汾河干流及支流造成影响</w:t>
                  </w:r>
                </w:p>
              </w:tc>
              <w:tc>
                <w:tcPr>
                  <w:tcW w:w="651"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Align w:val="center"/>
                </w:tcPr>
                <w:p>
                  <w:pPr>
                    <w:jc w:val="center"/>
                    <w:rPr>
                      <w:kern w:val="0"/>
                      <w:szCs w:val="21"/>
                    </w:rPr>
                  </w:pPr>
                  <w:r>
                    <w:rPr>
                      <w:kern w:val="0"/>
                      <w:szCs w:val="21"/>
                    </w:rPr>
                    <w:t>环境风险防控</w:t>
                  </w:r>
                </w:p>
              </w:tc>
              <w:tc>
                <w:tcPr>
                  <w:tcW w:w="2230" w:type="pct"/>
                  <w:vAlign w:val="center"/>
                </w:tcPr>
                <w:p>
                  <w:pPr>
                    <w:rPr>
                      <w:kern w:val="0"/>
                      <w:szCs w:val="21"/>
                    </w:rPr>
                  </w:pPr>
                  <w:r>
                    <w:rPr>
                      <w:bCs/>
                      <w:kern w:val="0"/>
                      <w:szCs w:val="21"/>
                    </w:rPr>
                    <w:t>加快水资源管理系统和检测系统建设，实现汾河干流监测监控系统全覆盖</w:t>
                  </w:r>
                </w:p>
              </w:tc>
              <w:tc>
                <w:tcPr>
                  <w:tcW w:w="1362" w:type="pct"/>
                  <w:vAlign w:val="center"/>
                </w:tcPr>
                <w:p>
                  <w:pPr>
                    <w:rPr>
                      <w:kern w:val="0"/>
                      <w:szCs w:val="21"/>
                    </w:rPr>
                  </w:pPr>
                  <w:r>
                    <w:rPr>
                      <w:kern w:val="0"/>
                      <w:szCs w:val="21"/>
                    </w:rPr>
                    <w:t>本项目生产及生活污水均不外排，不会对汾河干流及支流造成影响</w:t>
                  </w:r>
                </w:p>
              </w:tc>
              <w:tc>
                <w:tcPr>
                  <w:tcW w:w="651" w:type="pct"/>
                  <w:vAlign w:val="center"/>
                </w:tcPr>
                <w:p>
                  <w:pPr>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pct"/>
                  <w:vAlign w:val="center"/>
                </w:tcPr>
                <w:p>
                  <w:pPr>
                    <w:jc w:val="center"/>
                    <w:rPr>
                      <w:kern w:val="0"/>
                      <w:szCs w:val="21"/>
                    </w:rPr>
                  </w:pPr>
                  <w:r>
                    <w:rPr>
                      <w:kern w:val="0"/>
                      <w:szCs w:val="21"/>
                    </w:rPr>
                    <w:t>资源利用效率</w:t>
                  </w:r>
                </w:p>
              </w:tc>
              <w:tc>
                <w:tcPr>
                  <w:tcW w:w="2230" w:type="pct"/>
                  <w:vAlign w:val="center"/>
                </w:tcPr>
                <w:p>
                  <w:pPr>
                    <w:rPr>
                      <w:bCs/>
                      <w:kern w:val="0"/>
                      <w:szCs w:val="21"/>
                    </w:rPr>
                  </w:pPr>
                  <w:r>
                    <w:rPr>
                      <w:bCs/>
                      <w:kern w:val="0"/>
                      <w:szCs w:val="21"/>
                    </w:rPr>
                    <w:t>1.统筹调配区域水资源，对汾河水资源进行统一调配，加快实施引沁入汾工程。</w:t>
                  </w:r>
                </w:p>
                <w:p>
                  <w:pPr>
                    <w:rPr>
                      <w:kern w:val="0"/>
                      <w:szCs w:val="21"/>
                    </w:rPr>
                  </w:pPr>
                  <w:r>
                    <w:rPr>
                      <w:bCs/>
                      <w:kern w:val="0"/>
                      <w:szCs w:val="21"/>
                    </w:rPr>
                    <w:t>2.实施以水定产、以水定城，统筹生活生产生态用水需求，全面落实水资源保护"三条红线"和国家节水行动，明确汾河临汾段流域水量分配指标</w:t>
                  </w:r>
                </w:p>
              </w:tc>
              <w:tc>
                <w:tcPr>
                  <w:tcW w:w="1362" w:type="pct"/>
                  <w:vAlign w:val="center"/>
                </w:tcPr>
                <w:p>
                  <w:pPr>
                    <w:rPr>
                      <w:kern w:val="0"/>
                      <w:szCs w:val="21"/>
                    </w:rPr>
                  </w:pPr>
                  <w:r>
                    <w:rPr>
                      <w:kern w:val="0"/>
                      <w:szCs w:val="21"/>
                    </w:rPr>
                    <w:t>本项目生产及生活污水均不外排，不会对汾河干流及支流造成影响</w:t>
                  </w:r>
                </w:p>
              </w:tc>
              <w:tc>
                <w:tcPr>
                  <w:tcW w:w="651" w:type="pct"/>
                  <w:vAlign w:val="center"/>
                </w:tcPr>
                <w:p>
                  <w:pPr>
                    <w:jc w:val="center"/>
                    <w:rPr>
                      <w:kern w:val="0"/>
                      <w:szCs w:val="21"/>
                    </w:rPr>
                  </w:pPr>
                  <w:r>
                    <w:rPr>
                      <w:kern w:val="0"/>
                      <w:szCs w:val="21"/>
                    </w:rPr>
                    <w:t>符合</w:t>
                  </w:r>
                </w:p>
              </w:tc>
            </w:tr>
          </w:tbl>
          <w:p>
            <w:pPr>
              <w:autoSpaceDE w:val="0"/>
              <w:autoSpaceDN w:val="0"/>
              <w:spacing w:line="360" w:lineRule="auto"/>
              <w:ind w:firstLine="482" w:firstLineChars="200"/>
              <w:rPr>
                <w:b/>
                <w:sz w:val="24"/>
              </w:rPr>
            </w:pPr>
            <w:r>
              <w:rPr>
                <w:b/>
                <w:sz w:val="24"/>
              </w:rPr>
              <w:t>4、与《翼城县国土空间总体规划（2021-2035）》符合性分析</w:t>
            </w:r>
          </w:p>
          <w:p>
            <w:pPr>
              <w:spacing w:line="360" w:lineRule="auto"/>
              <w:ind w:firstLine="480" w:firstLineChars="200"/>
              <w:rPr>
                <w:kern w:val="0"/>
                <w:sz w:val="24"/>
              </w:rPr>
            </w:pPr>
            <w:r>
              <w:rPr>
                <w:kern w:val="0"/>
                <w:sz w:val="24"/>
              </w:rPr>
              <w:t>（1）规划期限</w:t>
            </w:r>
          </w:p>
          <w:p>
            <w:pPr>
              <w:spacing w:line="360" w:lineRule="auto"/>
              <w:ind w:firstLine="480" w:firstLineChars="200"/>
              <w:rPr>
                <w:kern w:val="0"/>
                <w:sz w:val="24"/>
              </w:rPr>
            </w:pPr>
            <w:r>
              <w:rPr>
                <w:kern w:val="0"/>
                <w:sz w:val="24"/>
              </w:rPr>
              <w:t>本轮规划目标年为2035年，近期至2025年。</w:t>
            </w:r>
          </w:p>
          <w:p>
            <w:pPr>
              <w:spacing w:line="360" w:lineRule="auto"/>
              <w:ind w:firstLine="480" w:firstLineChars="200"/>
              <w:rPr>
                <w:kern w:val="0"/>
                <w:sz w:val="24"/>
              </w:rPr>
            </w:pPr>
            <w:r>
              <w:rPr>
                <w:kern w:val="0"/>
                <w:sz w:val="24"/>
              </w:rPr>
              <w:t>（2）规划目标</w:t>
            </w:r>
          </w:p>
          <w:p>
            <w:pPr>
              <w:spacing w:line="360" w:lineRule="auto"/>
              <w:ind w:firstLine="480" w:firstLineChars="200"/>
              <w:rPr>
                <w:kern w:val="0"/>
                <w:sz w:val="24"/>
              </w:rPr>
            </w:pPr>
            <w:r>
              <w:rPr>
                <w:kern w:val="0"/>
                <w:sz w:val="24"/>
              </w:rPr>
              <w:t>构建“一心、两带、三区”、“中产城-东生态-西农旅”的国土空间总体格局。</w:t>
            </w:r>
          </w:p>
          <w:p>
            <w:pPr>
              <w:spacing w:line="360" w:lineRule="auto"/>
              <w:ind w:firstLine="480" w:firstLineChars="200"/>
              <w:rPr>
                <w:kern w:val="0"/>
                <w:sz w:val="24"/>
              </w:rPr>
            </w:pPr>
            <w:r>
              <w:rPr>
                <w:kern w:val="0"/>
                <w:sz w:val="24"/>
              </w:rPr>
              <w:t>“一心”：翼城县高质量发展核心区域。</w:t>
            </w:r>
          </w:p>
          <w:p>
            <w:pPr>
              <w:spacing w:line="360" w:lineRule="auto"/>
              <w:ind w:firstLine="480" w:firstLineChars="200"/>
              <w:rPr>
                <w:kern w:val="0"/>
                <w:sz w:val="24"/>
              </w:rPr>
            </w:pPr>
            <w:r>
              <w:rPr>
                <w:kern w:val="0"/>
                <w:sz w:val="24"/>
              </w:rPr>
              <w:t>“两带”：南北城镇空间发展带、浍河生态保育带。</w:t>
            </w:r>
          </w:p>
          <w:p>
            <w:pPr>
              <w:spacing w:line="360" w:lineRule="auto"/>
              <w:ind w:firstLine="480" w:firstLineChars="200"/>
              <w:rPr>
                <w:kern w:val="0"/>
                <w:sz w:val="24"/>
              </w:rPr>
            </w:pPr>
            <w:r>
              <w:rPr>
                <w:kern w:val="0"/>
                <w:sz w:val="24"/>
              </w:rPr>
              <w:t>“三区”：中部产业转型与城镇高质量发展提质区、东部生态保护与休闲旅游绿色屏障区、西部现代农业与田园康养乡村发展示范区。</w:t>
            </w:r>
          </w:p>
          <w:p>
            <w:pPr>
              <w:spacing w:line="360" w:lineRule="auto"/>
              <w:ind w:firstLine="480" w:firstLineChars="200"/>
              <w:rPr>
                <w:kern w:val="0"/>
                <w:sz w:val="24"/>
              </w:rPr>
            </w:pPr>
            <w:r>
              <w:rPr>
                <w:kern w:val="0"/>
                <w:sz w:val="24"/>
              </w:rPr>
              <w:t>（3）三区三线划定</w:t>
            </w:r>
          </w:p>
          <w:p>
            <w:pPr>
              <w:spacing w:line="360" w:lineRule="auto"/>
              <w:ind w:firstLine="480" w:firstLineChars="200"/>
              <w:rPr>
                <w:kern w:val="0"/>
                <w:sz w:val="24"/>
              </w:rPr>
            </w:pPr>
            <w:r>
              <w:rPr>
                <w:kern w:val="0"/>
                <w:sz w:val="24"/>
              </w:rPr>
              <w:t>翼城县共划定永久基本农田29341.25公顷、生态保护红线274.82平方千米、城镇开发边界1996.15公顷。</w:t>
            </w:r>
          </w:p>
          <w:p>
            <w:pPr>
              <w:spacing w:line="360" w:lineRule="auto"/>
              <w:ind w:firstLine="480"/>
              <w:rPr>
                <w:kern w:val="0"/>
                <w:sz w:val="24"/>
              </w:rPr>
            </w:pPr>
            <w:r>
              <w:rPr>
                <w:rFonts w:ascii="Cambria Math" w:hAnsi="Cambria Math" w:cs="Cambria Math"/>
                <w:kern w:val="0"/>
                <w:sz w:val="24"/>
              </w:rPr>
              <w:t>①</w:t>
            </w:r>
            <w:r>
              <w:rPr>
                <w:kern w:val="0"/>
                <w:sz w:val="24"/>
              </w:rPr>
              <w:t>永久基本农田</w:t>
            </w:r>
          </w:p>
          <w:p>
            <w:pPr>
              <w:spacing w:line="360" w:lineRule="auto"/>
              <w:ind w:firstLine="480" w:firstLineChars="200"/>
              <w:rPr>
                <w:kern w:val="0"/>
                <w:sz w:val="24"/>
              </w:rPr>
            </w:pPr>
            <w:r>
              <w:rPr>
                <w:kern w:val="0"/>
                <w:sz w:val="24"/>
              </w:rPr>
              <w:t>落实最严格的耕地保护制度，严格控制将耕地转为非耕地。鼓励高标准农田建设和土地整治，以保障国家粮食安全和重要农产品供给。</w:t>
            </w:r>
          </w:p>
          <w:p>
            <w:pPr>
              <w:spacing w:line="360" w:lineRule="auto"/>
              <w:ind w:firstLine="480" w:firstLineChars="200"/>
              <w:rPr>
                <w:kern w:val="0"/>
                <w:sz w:val="24"/>
              </w:rPr>
            </w:pPr>
            <w:r>
              <w:rPr>
                <w:rFonts w:ascii="Cambria Math" w:hAnsi="Cambria Math" w:cs="Cambria Math"/>
                <w:kern w:val="0"/>
                <w:sz w:val="24"/>
              </w:rPr>
              <w:t>②</w:t>
            </w:r>
            <w:r>
              <w:rPr>
                <w:kern w:val="0"/>
                <w:sz w:val="24"/>
              </w:rPr>
              <w:t>生态保护红线</w:t>
            </w:r>
          </w:p>
          <w:p>
            <w:pPr>
              <w:spacing w:line="360" w:lineRule="auto"/>
              <w:ind w:firstLine="480" w:firstLineChars="200"/>
              <w:rPr>
                <w:kern w:val="0"/>
                <w:sz w:val="24"/>
              </w:rPr>
            </w:pPr>
            <w:r>
              <w:rPr>
                <w:kern w:val="0"/>
                <w:sz w:val="24"/>
              </w:rPr>
              <w:t>将自然保护地、生态功能极重要区域以及生态极敏感脆弱区域划入生态保护红线。</w:t>
            </w:r>
          </w:p>
          <w:p>
            <w:pPr>
              <w:spacing w:line="360" w:lineRule="auto"/>
              <w:ind w:firstLine="480" w:firstLineChars="200"/>
              <w:rPr>
                <w:kern w:val="0"/>
                <w:sz w:val="24"/>
              </w:rPr>
            </w:pPr>
            <w:r>
              <w:rPr>
                <w:rFonts w:ascii="Cambria Math" w:hAnsi="Cambria Math" w:cs="Cambria Math"/>
                <w:kern w:val="0"/>
                <w:sz w:val="24"/>
              </w:rPr>
              <w:t>③</w:t>
            </w:r>
            <w:r>
              <w:rPr>
                <w:kern w:val="0"/>
                <w:sz w:val="24"/>
              </w:rPr>
              <w:t>城镇开发边界</w:t>
            </w:r>
          </w:p>
          <w:p>
            <w:pPr>
              <w:spacing w:line="360" w:lineRule="auto"/>
              <w:ind w:firstLine="480" w:firstLineChars="200"/>
              <w:rPr>
                <w:kern w:val="0"/>
                <w:sz w:val="24"/>
              </w:rPr>
            </w:pPr>
            <w:r>
              <w:rPr>
                <w:kern w:val="0"/>
                <w:sz w:val="24"/>
              </w:rPr>
              <w:t>在一定时期内因城镇发展需要，可以集中进行城镇开发建设、以城镇功能为主的区域边界，包括中心城区、建制镇以及工业园区等。</w:t>
            </w:r>
          </w:p>
          <w:p>
            <w:pPr>
              <w:spacing w:line="360" w:lineRule="auto"/>
              <w:ind w:firstLine="480" w:firstLineChars="200"/>
              <w:rPr>
                <w:kern w:val="0"/>
                <w:sz w:val="24"/>
              </w:rPr>
            </w:pPr>
            <w:r>
              <w:rPr>
                <w:kern w:val="0"/>
                <w:sz w:val="24"/>
              </w:rPr>
              <w:t>本项目位于翼城县里砦镇上韩村西北约800米，利用现有项目厂区车间进行扩建，项目所在地不在城镇开发边界内，不涉及永久基本农田和生态保护红线，因此，不违背翼城县国土空间总体规划的要求。</w:t>
            </w:r>
          </w:p>
          <w:p>
            <w:pPr>
              <w:spacing w:line="360" w:lineRule="auto"/>
              <w:ind w:firstLine="480" w:firstLineChars="200"/>
              <w:rPr>
                <w:kern w:val="0"/>
                <w:sz w:val="24"/>
              </w:rPr>
            </w:pPr>
            <w:r>
              <w:rPr>
                <w:kern w:val="0"/>
                <w:sz w:val="24"/>
              </w:rPr>
              <w:t>翼城县县域国土空间总体格局见附图7。</w:t>
            </w:r>
          </w:p>
          <w:p>
            <w:pPr>
              <w:spacing w:line="360" w:lineRule="auto"/>
              <w:ind w:firstLine="482" w:firstLineChars="200"/>
              <w:rPr>
                <w:b/>
                <w:kern w:val="0"/>
                <w:sz w:val="24"/>
              </w:rPr>
            </w:pPr>
            <w:r>
              <w:rPr>
                <w:b/>
                <w:kern w:val="0"/>
                <w:sz w:val="24"/>
              </w:rPr>
              <w:t>5、与《2020年挥发性有机物治理攻坚方案》（环大气〔2020〕33号）符合性分析</w:t>
            </w:r>
          </w:p>
          <w:p>
            <w:pPr>
              <w:autoSpaceDE w:val="0"/>
              <w:autoSpaceDN w:val="0"/>
              <w:spacing w:line="360" w:lineRule="auto"/>
              <w:jc w:val="center"/>
              <w:rPr>
                <w:b/>
                <w:bCs/>
                <w:kern w:val="0"/>
                <w:szCs w:val="21"/>
              </w:rPr>
            </w:pPr>
            <w:r>
              <w:rPr>
                <w:b/>
                <w:bCs/>
                <w:kern w:val="0"/>
                <w:szCs w:val="21"/>
              </w:rPr>
              <w:t>表</w:t>
            </w:r>
            <w:r>
              <w:rPr>
                <w:rFonts w:hint="eastAsia"/>
                <w:b/>
                <w:bCs/>
                <w:kern w:val="0"/>
                <w:szCs w:val="21"/>
              </w:rPr>
              <w:t>1-4</w:t>
            </w:r>
            <w:r>
              <w:rPr>
                <w:b/>
                <w:bCs/>
                <w:kern w:val="0"/>
                <w:szCs w:val="21"/>
              </w:rPr>
              <w:t xml:space="preserve">  与《2020年挥发性有机物治理攻坚方案》符合性分析</w:t>
            </w:r>
          </w:p>
          <w:tbl>
            <w:tblPr>
              <w:tblStyle w:val="74"/>
              <w:tblW w:w="6408"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1025"/>
              <w:gridCol w:w="3152"/>
              <w:gridCol w:w="7"/>
              <w:gridCol w:w="1519"/>
              <w:gridCol w:w="698"/>
              <w:gridCol w:w="7"/>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184" w:type="dxa"/>
                  <w:gridSpan w:val="3"/>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相关要求</w:t>
                  </w:r>
                </w:p>
              </w:tc>
              <w:tc>
                <w:tcPr>
                  <w:tcW w:w="1519" w:type="dxa"/>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本项目情况</w:t>
                  </w:r>
                </w:p>
              </w:tc>
              <w:tc>
                <w:tcPr>
                  <w:tcW w:w="705" w:type="dxa"/>
                  <w:gridSpan w:val="2"/>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符合性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gridAfter w:val="1"/>
                <w:wAfter w:w="7" w:type="dxa"/>
                <w:trHeight w:val="397" w:hRule="atLeast"/>
                <w:jc w:val="center"/>
              </w:trPr>
              <w:tc>
                <w:tcPr>
                  <w:tcW w:w="1025" w:type="dxa"/>
                  <w:vAlign w:val="center"/>
                </w:tcPr>
                <w:p>
                  <w:pPr>
                    <w:autoSpaceDE/>
                    <w:autoSpaceDN/>
                    <w:jc w:val="center"/>
                    <w:rPr>
                      <w:rFonts w:ascii="Times New Roman" w:hAnsi="Times New Roman" w:cs="Times New Roman" w:eastAsiaTheme="minorEastAsia"/>
                      <w:szCs w:val="21"/>
                      <w:lang w:eastAsia="zh-CN"/>
                    </w:rPr>
                  </w:pPr>
                  <w:r>
                    <w:rPr>
                      <w:rFonts w:ascii="Times New Roman" w:hAnsi="Times New Roman" w:cs="Times New Roman" w:eastAsiaTheme="minorEastAsia"/>
                      <w:szCs w:val="21"/>
                      <w:lang w:eastAsia="zh-CN"/>
                    </w:rPr>
                    <w:t>大力推进源头替代，有效减少VOCs产生</w:t>
                  </w:r>
                </w:p>
              </w:tc>
              <w:tc>
                <w:tcPr>
                  <w:tcW w:w="3152"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大力推进低（无）VOCs含量原辅材料替代。企业应建立原辅材料台账，记录VOCs原辅材料名称、成分、VOCs含量、采购量、使用量、库存量、回收方式、回收量等信息，并保存相关证明材料</w:t>
                  </w:r>
                </w:p>
              </w:tc>
              <w:tc>
                <w:tcPr>
                  <w:tcW w:w="1526" w:type="dxa"/>
                  <w:gridSpan w:val="2"/>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要求企业建立原辅材料台账</w:t>
                  </w:r>
                </w:p>
              </w:tc>
              <w:tc>
                <w:tcPr>
                  <w:tcW w:w="698" w:type="dxa"/>
                  <w:vAlign w:val="center"/>
                </w:tcPr>
                <w:p>
                  <w:pPr>
                    <w:pStyle w:val="75"/>
                    <w:adjustRightInd w:val="0"/>
                    <w:snapToGrid w:val="0"/>
                    <w:spacing w:before="129"/>
                    <w:ind w:left="149"/>
                    <w:contextualSpacing/>
                    <w:jc w:val="both"/>
                    <w:rPr>
                      <w:rFonts w:ascii="Times New Roman" w:hAnsi="Times New Roman" w:cs="Times New Roman" w:eastAsiaTheme="minorEastAsia"/>
                      <w:sz w:val="21"/>
                    </w:rPr>
                  </w:pPr>
                  <w:r>
                    <w:rPr>
                      <w:rFonts w:ascii="Times New Roman" w:hAnsi="Times New Roman" w:cs="Times New Roman" w:eastAsiaTheme="minorEastAsia"/>
                      <w:sz w:val="21"/>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gridAfter w:val="1"/>
                <w:wAfter w:w="7" w:type="dxa"/>
                <w:trHeight w:val="397" w:hRule="atLeast"/>
                <w:jc w:val="center"/>
              </w:trPr>
              <w:tc>
                <w:tcPr>
                  <w:tcW w:w="1025" w:type="dxa"/>
                  <w:vMerge w:val="restart"/>
                  <w:vAlign w:val="center"/>
                </w:tcPr>
                <w:p>
                  <w:pPr>
                    <w:autoSpaceDE/>
                    <w:autoSpaceDN/>
                    <w:jc w:val="center"/>
                    <w:rPr>
                      <w:rFonts w:ascii="Times New Roman" w:hAnsi="Times New Roman" w:cs="Times New Roman" w:eastAsiaTheme="minorEastAsia"/>
                      <w:szCs w:val="21"/>
                      <w:lang w:eastAsia="zh-CN"/>
                    </w:rPr>
                  </w:pPr>
                  <w:r>
                    <w:rPr>
                      <w:rFonts w:ascii="Times New Roman" w:hAnsi="Times New Roman" w:cs="Times New Roman" w:eastAsiaTheme="minorEastAsia"/>
                      <w:szCs w:val="21"/>
                      <w:lang w:eastAsia="zh-CN"/>
                    </w:rPr>
                    <w:t>全面落实标准要求，强化无组织排放控制</w:t>
                  </w:r>
                </w:p>
              </w:tc>
              <w:tc>
                <w:tcPr>
                  <w:tcW w:w="3152"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2020年7月1日起，全面执行《挥发性有机物无组织排放控制标准》，重点区域应落实无组织排放特别控制要求。</w:t>
                  </w:r>
                </w:p>
              </w:tc>
              <w:tc>
                <w:tcPr>
                  <w:tcW w:w="1526" w:type="dxa"/>
                  <w:gridSpan w:val="2"/>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本项目厂内废气执行《挥发性有机物无组织排放控制标准》特别控制要求。</w:t>
                  </w:r>
                </w:p>
              </w:tc>
              <w:tc>
                <w:tcPr>
                  <w:tcW w:w="698" w:type="dxa"/>
                  <w:vAlign w:val="center"/>
                </w:tcPr>
                <w:p>
                  <w:pPr>
                    <w:pStyle w:val="75"/>
                    <w:adjustRightInd w:val="0"/>
                    <w:snapToGrid w:val="0"/>
                    <w:spacing w:before="129"/>
                    <w:ind w:left="149"/>
                    <w:contextualSpacing/>
                    <w:jc w:val="both"/>
                    <w:rPr>
                      <w:rFonts w:ascii="Times New Roman" w:hAnsi="Times New Roman" w:cs="Times New Roman" w:eastAsiaTheme="minorEastAsia"/>
                      <w:sz w:val="21"/>
                    </w:rPr>
                  </w:pPr>
                  <w:r>
                    <w:rPr>
                      <w:rFonts w:ascii="Times New Roman" w:hAnsi="Times New Roman" w:cs="Times New Roman" w:eastAsiaTheme="minorEastAsia"/>
                      <w:sz w:val="21"/>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gridAfter w:val="1"/>
                <w:wAfter w:w="7" w:type="dxa"/>
                <w:trHeight w:val="397" w:hRule="atLeast"/>
                <w:jc w:val="center"/>
              </w:trPr>
              <w:tc>
                <w:tcPr>
                  <w:tcW w:w="1025" w:type="dxa"/>
                  <w:vMerge w:val="continue"/>
                  <w:vAlign w:val="center"/>
                </w:tcPr>
                <w:p>
                  <w:pPr>
                    <w:autoSpaceDE/>
                    <w:autoSpaceDN/>
                    <w:jc w:val="center"/>
                    <w:rPr>
                      <w:rFonts w:ascii="Times New Roman" w:hAnsi="Times New Roman" w:cs="Times New Roman" w:eastAsiaTheme="minorEastAsia"/>
                      <w:szCs w:val="21"/>
                      <w:lang w:eastAsia="en-US"/>
                    </w:rPr>
                  </w:pPr>
                </w:p>
              </w:tc>
              <w:tc>
                <w:tcPr>
                  <w:tcW w:w="3152"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指导企业制定VOCs无组织排放控制规程，细化到具体工序和生产环节，以及启停机、检维修作业等，落实到具体责任人；健全内部考核制度，严格按照操作规程生产。</w:t>
                  </w:r>
                </w:p>
              </w:tc>
              <w:tc>
                <w:tcPr>
                  <w:tcW w:w="1526" w:type="dxa"/>
                  <w:gridSpan w:val="2"/>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要求企业建立VOCs无组织排放控制规程。</w:t>
                  </w:r>
                </w:p>
              </w:tc>
              <w:tc>
                <w:tcPr>
                  <w:tcW w:w="698" w:type="dxa"/>
                  <w:vAlign w:val="center"/>
                </w:tcPr>
                <w:p>
                  <w:pPr>
                    <w:pStyle w:val="75"/>
                    <w:adjustRightInd w:val="0"/>
                    <w:snapToGrid w:val="0"/>
                    <w:spacing w:before="129"/>
                    <w:ind w:left="149"/>
                    <w:contextualSpacing/>
                    <w:jc w:val="both"/>
                    <w:rPr>
                      <w:rFonts w:ascii="Times New Roman" w:hAnsi="Times New Roman" w:cs="Times New Roman" w:eastAsiaTheme="minorEastAsia"/>
                      <w:sz w:val="21"/>
                    </w:rPr>
                  </w:pPr>
                  <w:r>
                    <w:rPr>
                      <w:rFonts w:ascii="Times New Roman" w:hAnsi="Times New Roman" w:cs="Times New Roman" w:eastAsiaTheme="minorEastAsia"/>
                      <w:sz w:val="21"/>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gridAfter w:val="1"/>
                <w:wAfter w:w="7" w:type="dxa"/>
                <w:trHeight w:val="397" w:hRule="atLeast"/>
                <w:jc w:val="center"/>
              </w:trPr>
              <w:tc>
                <w:tcPr>
                  <w:tcW w:w="1025" w:type="dxa"/>
                  <w:vMerge w:val="continue"/>
                  <w:vAlign w:val="center"/>
                </w:tcPr>
                <w:p>
                  <w:pPr>
                    <w:autoSpaceDE/>
                    <w:autoSpaceDN/>
                    <w:jc w:val="center"/>
                    <w:rPr>
                      <w:rFonts w:ascii="Times New Roman" w:hAnsi="Times New Roman" w:cs="Times New Roman" w:eastAsiaTheme="minorEastAsia"/>
                      <w:szCs w:val="21"/>
                      <w:lang w:eastAsia="en-US"/>
                    </w:rPr>
                  </w:pPr>
                </w:p>
              </w:tc>
              <w:tc>
                <w:tcPr>
                  <w:tcW w:w="3152"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1526" w:type="dxa"/>
                  <w:gridSpan w:val="2"/>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本项目涉及VOCs产生的环节为注塑机，对注塑机产生的废气进行密闭收集，将废气引入二级活性炭吸附装置。</w:t>
                  </w:r>
                </w:p>
              </w:tc>
              <w:tc>
                <w:tcPr>
                  <w:tcW w:w="698" w:type="dxa"/>
                  <w:vAlign w:val="center"/>
                </w:tcPr>
                <w:p>
                  <w:pPr>
                    <w:pStyle w:val="75"/>
                    <w:adjustRightInd w:val="0"/>
                    <w:snapToGrid w:val="0"/>
                    <w:spacing w:before="129"/>
                    <w:ind w:left="149"/>
                    <w:contextualSpacing/>
                    <w:jc w:val="both"/>
                    <w:rPr>
                      <w:rFonts w:ascii="Times New Roman" w:hAnsi="Times New Roman" w:cs="Times New Roman" w:eastAsiaTheme="minorEastAsia"/>
                      <w:sz w:val="21"/>
                    </w:rPr>
                  </w:pPr>
                  <w:r>
                    <w:rPr>
                      <w:rFonts w:ascii="Times New Roman" w:hAnsi="Times New Roman" w:cs="Times New Roman" w:eastAsiaTheme="minorEastAsia"/>
                      <w:sz w:val="21"/>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gridAfter w:val="1"/>
                <w:wAfter w:w="7" w:type="dxa"/>
                <w:trHeight w:val="397" w:hRule="atLeast"/>
                <w:jc w:val="center"/>
              </w:trPr>
              <w:tc>
                <w:tcPr>
                  <w:tcW w:w="1025" w:type="dxa"/>
                  <w:vAlign w:val="center"/>
                </w:tcPr>
                <w:p>
                  <w:pPr>
                    <w:autoSpaceDE/>
                    <w:autoSpaceDN/>
                    <w:jc w:val="center"/>
                    <w:rPr>
                      <w:rFonts w:ascii="Times New Roman" w:hAnsi="Times New Roman" w:cs="Times New Roman" w:eastAsiaTheme="minorEastAsia"/>
                      <w:szCs w:val="21"/>
                      <w:lang w:eastAsia="zh-CN"/>
                    </w:rPr>
                  </w:pPr>
                  <w:r>
                    <w:rPr>
                      <w:rFonts w:ascii="Times New Roman" w:hAnsi="Times New Roman" w:cs="Times New Roman" w:eastAsiaTheme="minorEastAsia"/>
                      <w:szCs w:val="21"/>
                      <w:lang w:eastAsia="zh-CN"/>
                    </w:rPr>
                    <w:t>聚焦治污设施“三率”，提升综合治理效率</w:t>
                  </w:r>
                </w:p>
              </w:tc>
              <w:tc>
                <w:tcPr>
                  <w:tcW w:w="3152"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组织企业对现有VOCs废气收集率、治理设施同步运行率和去除率开展自查，重点关注单一采用光氧化、光催化、低温等离子、一次性活性炭吸附、喷淋吸收等工艺的治理设施</w:t>
                  </w:r>
                </w:p>
              </w:tc>
              <w:tc>
                <w:tcPr>
                  <w:tcW w:w="1526" w:type="dxa"/>
                  <w:gridSpan w:val="2"/>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本项目采用二级活性炭吸附装置处理VOCs废气。</w:t>
                  </w:r>
                </w:p>
              </w:tc>
              <w:tc>
                <w:tcPr>
                  <w:tcW w:w="698" w:type="dxa"/>
                  <w:vAlign w:val="center"/>
                </w:tcPr>
                <w:p>
                  <w:pPr>
                    <w:pStyle w:val="75"/>
                    <w:adjustRightInd w:val="0"/>
                    <w:snapToGrid w:val="0"/>
                    <w:spacing w:before="129"/>
                    <w:ind w:left="149"/>
                    <w:contextualSpacing/>
                    <w:jc w:val="both"/>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符合</w:t>
                  </w:r>
                </w:p>
              </w:tc>
            </w:tr>
          </w:tbl>
          <w:p>
            <w:pPr>
              <w:spacing w:line="360" w:lineRule="auto"/>
              <w:ind w:firstLine="482" w:firstLineChars="200"/>
              <w:rPr>
                <w:b/>
                <w:kern w:val="0"/>
                <w:sz w:val="24"/>
              </w:rPr>
            </w:pPr>
            <w:r>
              <w:rPr>
                <w:b/>
                <w:kern w:val="0"/>
                <w:sz w:val="24"/>
              </w:rPr>
              <w:t>6、与《挥发性有机物无组织排放控制标准》的符合性分析</w:t>
            </w:r>
          </w:p>
          <w:p>
            <w:pPr>
              <w:autoSpaceDE w:val="0"/>
              <w:autoSpaceDN w:val="0"/>
              <w:spacing w:line="360" w:lineRule="auto"/>
              <w:jc w:val="center"/>
              <w:rPr>
                <w:b/>
              </w:rPr>
            </w:pPr>
            <w:r>
              <w:rPr>
                <w:b/>
              </w:rPr>
              <w:t>表</w:t>
            </w:r>
            <w:r>
              <w:rPr>
                <w:rFonts w:hint="eastAsia"/>
                <w:b/>
              </w:rPr>
              <w:t>1-5</w:t>
            </w:r>
            <w:r>
              <w:rPr>
                <w:b/>
              </w:rPr>
              <w:t xml:space="preserve">  与《挥发性有机物无组织排放控制标准》符合性分析</w:t>
            </w:r>
          </w:p>
          <w:tbl>
            <w:tblPr>
              <w:tblStyle w:val="74"/>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709"/>
              <w:gridCol w:w="3401"/>
              <w:gridCol w:w="1768"/>
              <w:gridCol w:w="64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治理环节</w:t>
                  </w:r>
                </w:p>
              </w:tc>
              <w:tc>
                <w:tcPr>
                  <w:tcW w:w="3401" w:type="dxa"/>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相关要求</w:t>
                  </w:r>
                </w:p>
              </w:tc>
              <w:tc>
                <w:tcPr>
                  <w:tcW w:w="1768" w:type="dxa"/>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项目建设情况</w:t>
                  </w:r>
                </w:p>
              </w:tc>
              <w:tc>
                <w:tcPr>
                  <w:tcW w:w="642" w:type="dxa"/>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是否符合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Merge w:val="restart"/>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物料投加和卸放</w:t>
                  </w:r>
                </w:p>
              </w:tc>
              <w:tc>
                <w:tcPr>
                  <w:tcW w:w="3401"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粉状、粒状VOCs物料应采用气力输送方式或采用密闭固体投料器等给料方式密闭投加。无法密闭投加的，应在密闭空间内操作，或进行局部气体收集，废气应排至除尘设施、VOCs废气收集处理系统。</w:t>
                  </w:r>
                </w:p>
              </w:tc>
              <w:tc>
                <w:tcPr>
                  <w:tcW w:w="1768" w:type="dxa"/>
                  <w:vMerge w:val="restart"/>
                  <w:vAlign w:val="center"/>
                </w:tcPr>
                <w:p>
                  <w:pPr>
                    <w:pStyle w:val="75"/>
                    <w:ind w:left="84" w:right="70" w:hanging="106"/>
                    <w:jc w:val="center"/>
                    <w:rPr>
                      <w:rFonts w:ascii="Times New Roman" w:hAnsi="Times New Roman" w:cs="Times New Roman" w:eastAsiaTheme="minorEastAsia"/>
                      <w:bCs/>
                      <w:kern w:val="2"/>
                      <w:sz w:val="21"/>
                      <w:szCs w:val="21"/>
                      <w:lang w:eastAsia="zh-CN"/>
                    </w:rPr>
                  </w:pPr>
                  <w:r>
                    <w:rPr>
                      <w:rFonts w:ascii="Times New Roman" w:hAnsi="Times New Roman" w:cs="Times New Roman" w:eastAsiaTheme="minorEastAsia"/>
                      <w:bCs/>
                      <w:kern w:val="2"/>
                      <w:sz w:val="21"/>
                      <w:szCs w:val="21"/>
                      <w:lang w:eastAsia="zh-CN"/>
                    </w:rPr>
                    <w:t>所有物料输送均为密闭输送。对注塑机产生的废气进行密闭收集，将废气引入二级活性炭吸附装置+15m高排气筒</w:t>
                  </w:r>
                </w:p>
              </w:tc>
              <w:tc>
                <w:tcPr>
                  <w:tcW w:w="642" w:type="dxa"/>
                  <w:vAlign w:val="center"/>
                </w:tcPr>
                <w:p>
                  <w:pPr>
                    <w:pStyle w:val="75"/>
                    <w:ind w:left="84" w:right="7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是</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Merge w:val="continue"/>
                  <w:vAlign w:val="center"/>
                </w:tcPr>
                <w:p>
                  <w:pPr>
                    <w:autoSpaceDE/>
                    <w:autoSpaceDN/>
                    <w:jc w:val="center"/>
                    <w:rPr>
                      <w:rFonts w:ascii="Times New Roman" w:hAnsi="Times New Roman" w:cs="Times New Roman" w:eastAsiaTheme="minorEastAsia"/>
                      <w:szCs w:val="21"/>
                      <w:lang w:eastAsia="en-US"/>
                    </w:rPr>
                  </w:pPr>
                </w:p>
              </w:tc>
              <w:tc>
                <w:tcPr>
                  <w:tcW w:w="3401"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VOCs物料卸（出、放）料过程应密闭，卸料废气应排至VOCs废气收集处理系统；无法密闭的，应采取局部气体收集措施，废气应排至VOCs废气收集处理系统。</w:t>
                  </w:r>
                </w:p>
              </w:tc>
              <w:tc>
                <w:tcPr>
                  <w:tcW w:w="1768" w:type="dxa"/>
                  <w:vMerge w:val="continue"/>
                  <w:vAlign w:val="center"/>
                </w:tcPr>
                <w:p>
                  <w:pPr>
                    <w:pStyle w:val="75"/>
                    <w:ind w:left="84" w:right="70"/>
                    <w:jc w:val="center"/>
                    <w:rPr>
                      <w:rFonts w:ascii="Times New Roman" w:hAnsi="Times New Roman" w:cs="Times New Roman" w:eastAsiaTheme="minorEastAsia"/>
                      <w:bCs/>
                      <w:kern w:val="2"/>
                      <w:sz w:val="21"/>
                      <w:szCs w:val="21"/>
                      <w:lang w:eastAsia="zh-CN"/>
                    </w:rPr>
                  </w:pPr>
                </w:p>
              </w:tc>
              <w:tc>
                <w:tcPr>
                  <w:tcW w:w="642" w:type="dxa"/>
                  <w:vAlign w:val="center"/>
                </w:tcPr>
                <w:p>
                  <w:pPr>
                    <w:pStyle w:val="75"/>
                    <w:ind w:left="84" w:right="7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是</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Merge w:val="restart"/>
                  <w:vAlign w:val="center"/>
                </w:tcPr>
                <w:p>
                  <w:pPr>
                    <w:autoSpaceDE/>
                    <w:autoSpaceDN/>
                    <w:jc w:val="center"/>
                    <w:rPr>
                      <w:rFonts w:ascii="Times New Roman" w:hAnsi="Times New Roman" w:cs="Times New Roman" w:eastAsiaTheme="minorEastAsia"/>
                      <w:szCs w:val="21"/>
                      <w:lang w:eastAsia="en-US"/>
                    </w:rPr>
                  </w:pPr>
                  <w:r>
                    <w:rPr>
                      <w:rFonts w:ascii="Times New Roman" w:hAnsi="Times New Roman" w:cs="Times New Roman" w:eastAsiaTheme="minorEastAsia"/>
                      <w:szCs w:val="21"/>
                      <w:lang w:eastAsia="en-US"/>
                    </w:rPr>
                    <w:t>其他要求</w:t>
                  </w:r>
                </w:p>
              </w:tc>
              <w:tc>
                <w:tcPr>
                  <w:tcW w:w="3401"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企业应建立台账，记录含VOCs原辅材料和含VOCs产品的名称、使用量、回收量、废弃量、去向以及VOCs含量等信息。</w:t>
                  </w:r>
                </w:p>
              </w:tc>
              <w:tc>
                <w:tcPr>
                  <w:tcW w:w="1768"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企业按要求建立台账。</w:t>
                  </w:r>
                </w:p>
              </w:tc>
              <w:tc>
                <w:tcPr>
                  <w:tcW w:w="642" w:type="dxa"/>
                  <w:vAlign w:val="center"/>
                </w:tcPr>
                <w:p>
                  <w:pPr>
                    <w:pStyle w:val="75"/>
                    <w:ind w:left="84" w:right="7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是</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Merge w:val="continue"/>
                  <w:vAlign w:val="center"/>
                </w:tcPr>
                <w:p>
                  <w:pPr>
                    <w:pStyle w:val="75"/>
                    <w:ind w:left="84" w:right="70"/>
                    <w:jc w:val="center"/>
                    <w:rPr>
                      <w:rFonts w:ascii="Times New Roman" w:hAnsi="Times New Roman" w:cs="Times New Roman" w:eastAsiaTheme="minorEastAsia"/>
                      <w:sz w:val="21"/>
                      <w:szCs w:val="21"/>
                    </w:rPr>
                  </w:pPr>
                </w:p>
              </w:tc>
              <w:tc>
                <w:tcPr>
                  <w:tcW w:w="3401"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VOCs物料应储存于密闭的容器、包装袋、储罐、储库、料仓中。</w:t>
                  </w:r>
                </w:p>
              </w:tc>
              <w:tc>
                <w:tcPr>
                  <w:tcW w:w="1768"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本项目原料为袋装，置于封闭车间内。</w:t>
                  </w:r>
                </w:p>
              </w:tc>
              <w:tc>
                <w:tcPr>
                  <w:tcW w:w="642" w:type="dxa"/>
                  <w:vAlign w:val="center"/>
                </w:tcPr>
                <w:p>
                  <w:pPr>
                    <w:pStyle w:val="75"/>
                    <w:ind w:left="84" w:right="7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是</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jc w:val="center"/>
              </w:trPr>
              <w:tc>
                <w:tcPr>
                  <w:tcW w:w="709" w:type="dxa"/>
                  <w:vMerge w:val="continue"/>
                  <w:vAlign w:val="center"/>
                </w:tcPr>
                <w:p>
                  <w:pPr>
                    <w:pStyle w:val="75"/>
                    <w:ind w:left="84" w:right="70"/>
                    <w:jc w:val="center"/>
                    <w:rPr>
                      <w:rFonts w:ascii="Times New Roman" w:hAnsi="Times New Roman" w:cs="Times New Roman" w:eastAsiaTheme="minorEastAsia"/>
                      <w:sz w:val="21"/>
                      <w:szCs w:val="21"/>
                    </w:rPr>
                  </w:pPr>
                </w:p>
              </w:tc>
              <w:tc>
                <w:tcPr>
                  <w:tcW w:w="3401"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盛装VOCs物料的容器或包装袋应存放于室内，或存放于设置有雨棚、遮阳和防渗设施的专用</w:t>
                  </w:r>
                </w:p>
              </w:tc>
              <w:tc>
                <w:tcPr>
                  <w:tcW w:w="1768" w:type="dxa"/>
                  <w:vAlign w:val="center"/>
                </w:tcPr>
                <w:p>
                  <w:pPr>
                    <w:autoSpaceDE/>
                    <w:autoSpaceDN/>
                    <w:rPr>
                      <w:rFonts w:ascii="Times New Roman" w:hAnsi="Times New Roman" w:cs="Times New Roman" w:eastAsiaTheme="minorEastAsia"/>
                      <w:bCs/>
                      <w:szCs w:val="21"/>
                      <w:lang w:eastAsia="zh-CN"/>
                    </w:rPr>
                  </w:pPr>
                  <w:r>
                    <w:rPr>
                      <w:rFonts w:ascii="Times New Roman" w:hAnsi="Times New Roman" w:cs="Times New Roman" w:eastAsiaTheme="minorEastAsia"/>
                      <w:bCs/>
                      <w:szCs w:val="21"/>
                      <w:lang w:eastAsia="zh-CN"/>
                    </w:rPr>
                    <w:t>本项目原料成品均置于封闭车间内。</w:t>
                  </w:r>
                </w:p>
              </w:tc>
              <w:tc>
                <w:tcPr>
                  <w:tcW w:w="642" w:type="dxa"/>
                  <w:vAlign w:val="center"/>
                </w:tcPr>
                <w:p>
                  <w:pPr>
                    <w:pStyle w:val="75"/>
                    <w:ind w:left="84" w:right="7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是</w:t>
                  </w:r>
                </w:p>
              </w:tc>
            </w:tr>
          </w:tbl>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sz w:val="24"/>
              </w:rPr>
            </w:pPr>
          </w:p>
        </w:tc>
      </w:tr>
    </w:tbl>
    <w:p>
      <w:pPr>
        <w:pStyle w:val="58"/>
        <w:rPr>
          <w:rFonts w:ascii="Times New Roman" w:hAnsi="Times New Roman" w:cs="Times New Roman"/>
          <w:color w:val="auto"/>
        </w:rPr>
        <w:sectPr>
          <w:footerReference r:id="rId6" w:type="default"/>
          <w:pgSz w:w="11906" w:h="16838"/>
          <w:pgMar w:top="1440" w:right="1800" w:bottom="1440" w:left="1800" w:header="851" w:footer="851" w:gutter="0"/>
          <w:pgNumType w:start="1"/>
          <w:cols w:space="720" w:num="1"/>
          <w:docGrid w:type="lines" w:linePitch="312" w:charSpace="0"/>
        </w:sectPr>
      </w:pPr>
    </w:p>
    <w:p>
      <w:pPr>
        <w:pStyle w:val="18"/>
        <w:spacing w:before="156" w:beforeLines="50" w:beforeAutospacing="0" w:after="156" w:afterLines="50" w:afterAutospacing="0"/>
        <w:jc w:val="center"/>
        <w:outlineLvl w:val="0"/>
        <w:rPr>
          <w:rFonts w:ascii="Times New Roman" w:hAnsi="Times New Roman" w:eastAsia="黑体"/>
          <w:snapToGrid w:val="0"/>
          <w:sz w:val="30"/>
          <w:szCs w:val="30"/>
        </w:rPr>
      </w:pPr>
      <w:bookmarkStart w:id="2" w:name="_Toc196816301"/>
      <w:r>
        <w:rPr>
          <w:rFonts w:ascii="Times New Roman" w:hAnsi="Times New Roman" w:eastAsia="黑体"/>
          <w:snapToGrid w:val="0"/>
          <w:sz w:val="30"/>
          <w:szCs w:val="30"/>
        </w:rPr>
        <w:t>二、建设项目工程分析</w:t>
      </w:r>
      <w:bookmarkEnd w:id="2"/>
    </w:p>
    <w:tbl>
      <w:tblPr>
        <w:tblStyle w:val="22"/>
        <w:tblW w:w="52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tcBorders>
              <w:top w:val="single" w:color="auto" w:sz="4" w:space="0"/>
            </w:tcBorders>
            <w:vAlign w:val="center"/>
          </w:tcPr>
          <w:p>
            <w:pPr>
              <w:pStyle w:val="1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4680" w:type="pct"/>
            <w:tcBorders>
              <w:top w:val="single" w:color="auto" w:sz="4" w:space="0"/>
            </w:tcBorders>
          </w:tcPr>
          <w:p>
            <w:pPr>
              <w:spacing w:line="360" w:lineRule="auto"/>
              <w:ind w:firstLine="482" w:firstLineChars="200"/>
              <w:rPr>
                <w:b/>
                <w:bCs/>
                <w:sz w:val="24"/>
                <w:szCs w:val="28"/>
              </w:rPr>
            </w:pPr>
            <w:r>
              <w:rPr>
                <w:b/>
                <w:bCs/>
                <w:sz w:val="24"/>
                <w:szCs w:val="28"/>
              </w:rPr>
              <w:t>2.1项目概况</w:t>
            </w:r>
          </w:p>
          <w:p>
            <w:pPr>
              <w:spacing w:line="360" w:lineRule="auto"/>
              <w:ind w:firstLine="480" w:firstLineChars="200"/>
              <w:rPr>
                <w:sz w:val="24"/>
                <w:szCs w:val="28"/>
              </w:rPr>
            </w:pPr>
            <w:r>
              <w:rPr>
                <w:rFonts w:hint="eastAsia"/>
                <w:sz w:val="24"/>
                <w:szCs w:val="28"/>
              </w:rPr>
              <w:t>翼城县祥怡塑业有限公司扩建年产塑料果品包装框6万只建设项目为扩建项目，总投资30万元，全部为企业自筹，本项目</w:t>
            </w:r>
            <w:r>
              <w:rPr>
                <w:sz w:val="24"/>
                <w:szCs w:val="28"/>
              </w:rPr>
              <w:t>位于临汾市翼城县里砦镇上韩村西北约800米处，厂区中心地理坐标为东经111°37'24.5005"，北纬35°47'28.0313"</w:t>
            </w:r>
            <w:r>
              <w:rPr>
                <w:rFonts w:hint="eastAsia"/>
                <w:sz w:val="24"/>
                <w:szCs w:val="28"/>
              </w:rPr>
              <w:t>，现有厂区</w:t>
            </w:r>
            <w:r>
              <w:rPr>
                <w:sz w:val="24"/>
                <w:szCs w:val="28"/>
              </w:rPr>
              <w:t>占地</w:t>
            </w:r>
            <w:r>
              <w:rPr>
                <w:rFonts w:hint="eastAsia"/>
                <w:sz w:val="24"/>
                <w:szCs w:val="28"/>
              </w:rPr>
              <w:t>总</w:t>
            </w:r>
            <w:r>
              <w:rPr>
                <w:sz w:val="24"/>
                <w:szCs w:val="28"/>
              </w:rPr>
              <w:t>面积</w:t>
            </w:r>
            <w:bookmarkStart w:id="3" w:name="_Hlk166320017"/>
            <w:r>
              <w:rPr>
                <w:rFonts w:hint="eastAsia"/>
                <w:sz w:val="24"/>
                <w:szCs w:val="28"/>
              </w:rPr>
              <w:t>约为</w:t>
            </w:r>
            <w:r>
              <w:rPr>
                <w:sz w:val="24"/>
                <w:szCs w:val="28"/>
              </w:rPr>
              <w:t>1</w:t>
            </w:r>
            <w:bookmarkEnd w:id="3"/>
            <w:r>
              <w:rPr>
                <w:sz w:val="24"/>
                <w:szCs w:val="28"/>
              </w:rPr>
              <w:t>9415m</w:t>
            </w:r>
            <w:r>
              <w:rPr>
                <w:sz w:val="24"/>
                <w:szCs w:val="28"/>
                <w:vertAlign w:val="superscript"/>
              </w:rPr>
              <w:t>2</w:t>
            </w:r>
            <w:r>
              <w:rPr>
                <w:rFonts w:hint="eastAsia"/>
                <w:sz w:val="24"/>
                <w:szCs w:val="28"/>
              </w:rPr>
              <w:t>，</w:t>
            </w:r>
            <w:r>
              <w:rPr>
                <w:sz w:val="24"/>
                <w:szCs w:val="28"/>
              </w:rPr>
              <w:t>厂区</w:t>
            </w:r>
            <w:r>
              <w:rPr>
                <w:rFonts w:hint="eastAsia"/>
                <w:sz w:val="24"/>
                <w:szCs w:val="28"/>
              </w:rPr>
              <w:t>四周均为</w:t>
            </w:r>
            <w:r>
              <w:rPr>
                <w:sz w:val="24"/>
                <w:szCs w:val="28"/>
              </w:rPr>
              <w:t>坡地，</w:t>
            </w:r>
            <w:r>
              <w:rPr>
                <w:rFonts w:hint="eastAsia"/>
                <w:sz w:val="24"/>
                <w:szCs w:val="28"/>
              </w:rPr>
              <w:t>东北角为</w:t>
            </w:r>
            <w:r>
              <w:rPr>
                <w:sz w:val="24"/>
                <w:szCs w:val="28"/>
              </w:rPr>
              <w:t>乡村道路。</w:t>
            </w:r>
          </w:p>
          <w:p>
            <w:pPr>
              <w:spacing w:line="360" w:lineRule="auto"/>
              <w:ind w:firstLine="480" w:firstLineChars="200"/>
              <w:rPr>
                <w:sz w:val="24"/>
                <w:szCs w:val="28"/>
              </w:rPr>
            </w:pPr>
            <w:r>
              <w:rPr>
                <w:sz w:val="24"/>
                <w:szCs w:val="28"/>
              </w:rPr>
              <w:t>本项目地理位置图见附图1，项目四邻关系图见附图2。</w:t>
            </w:r>
          </w:p>
          <w:p>
            <w:pPr>
              <w:spacing w:line="360" w:lineRule="auto"/>
              <w:ind w:firstLine="482" w:firstLineChars="200"/>
              <w:rPr>
                <w:b/>
                <w:bCs/>
                <w:sz w:val="24"/>
                <w:szCs w:val="28"/>
              </w:rPr>
            </w:pPr>
            <w:r>
              <w:rPr>
                <w:b/>
                <w:bCs/>
                <w:sz w:val="24"/>
                <w:szCs w:val="28"/>
              </w:rPr>
              <w:t>2.2工程组成</w:t>
            </w:r>
          </w:p>
          <w:p>
            <w:pPr>
              <w:pStyle w:val="10"/>
              <w:spacing w:line="360" w:lineRule="auto"/>
              <w:ind w:firstLine="470" w:firstLineChars="196"/>
              <w:rPr>
                <w:rFonts w:ascii="Times New Roman" w:hAnsi="Times New Roman"/>
                <w:bCs/>
                <w:sz w:val="24"/>
              </w:rPr>
            </w:pPr>
            <w:r>
              <w:rPr>
                <w:rFonts w:ascii="Times New Roman" w:hAnsi="Times New Roman"/>
                <w:bCs/>
                <w:sz w:val="24"/>
              </w:rPr>
              <w:t>本项目在现有厂区车间内扩建1条塑料果筐生产线（扩建后共2条生产线），年生产塑料果筐6万个（扩建后总规模为36万个/年），购置注塑机等生产设备及其他相关配套设施。</w:t>
            </w:r>
          </w:p>
          <w:p>
            <w:pPr>
              <w:pStyle w:val="10"/>
              <w:spacing w:line="360" w:lineRule="auto"/>
              <w:ind w:firstLine="470" w:firstLineChars="196"/>
              <w:rPr>
                <w:rFonts w:ascii="Times New Roman" w:hAnsi="Times New Roman"/>
                <w:bCs/>
                <w:sz w:val="24"/>
              </w:rPr>
            </w:pPr>
            <w:r>
              <w:rPr>
                <w:rFonts w:ascii="Times New Roman" w:hAnsi="Times New Roman"/>
                <w:bCs/>
                <w:sz w:val="24"/>
              </w:rPr>
              <w:t>项目主要建设内容见表2-</w:t>
            </w:r>
            <w:r>
              <w:rPr>
                <w:rFonts w:hint="eastAsia" w:ascii="Times New Roman" w:hAnsi="Times New Roman"/>
                <w:bCs/>
                <w:sz w:val="24"/>
              </w:rPr>
              <w:t>1</w:t>
            </w:r>
            <w:r>
              <w:rPr>
                <w:rFonts w:ascii="Times New Roman" w:hAnsi="Times New Roman"/>
                <w:bCs/>
                <w:sz w:val="24"/>
              </w:rPr>
              <w:t>。</w:t>
            </w:r>
          </w:p>
          <w:p>
            <w:pPr>
              <w:autoSpaceDE w:val="0"/>
              <w:spacing w:line="360" w:lineRule="auto"/>
              <w:jc w:val="center"/>
              <w:rPr>
                <w:b/>
                <w:snapToGrid w:val="0"/>
              </w:rPr>
            </w:pPr>
            <w:r>
              <w:rPr>
                <w:b/>
                <w:snapToGrid w:val="0"/>
              </w:rPr>
              <w:t>表2-</w:t>
            </w:r>
            <w:r>
              <w:rPr>
                <w:rFonts w:hint="eastAsia"/>
                <w:b/>
                <w:snapToGrid w:val="0"/>
              </w:rPr>
              <w:t>1</w:t>
            </w:r>
            <w:r>
              <w:rPr>
                <w:b/>
                <w:snapToGrid w:val="0"/>
              </w:rPr>
              <w:t xml:space="preserve">  主要建设内容</w:t>
            </w:r>
          </w:p>
          <w:tbl>
            <w:tblPr>
              <w:tblStyle w:val="22"/>
              <w:tblW w:w="778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6"/>
              <w:gridCol w:w="423"/>
              <w:gridCol w:w="470"/>
              <w:gridCol w:w="601"/>
              <w:gridCol w:w="1916"/>
              <w:gridCol w:w="1643"/>
              <w:gridCol w:w="1454"/>
              <w:gridCol w:w="8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60" w:type="dxa"/>
                  <w:gridSpan w:val="4"/>
                  <w:vAlign w:val="center"/>
                </w:tcPr>
                <w:p>
                  <w:pPr>
                    <w:widowControl/>
                    <w:jc w:val="center"/>
                    <w:rPr>
                      <w:bCs/>
                      <w:snapToGrid w:val="0"/>
                      <w:szCs w:val="20"/>
                    </w:rPr>
                  </w:pPr>
                  <w:r>
                    <w:rPr>
                      <w:bCs/>
                      <w:snapToGrid w:val="0"/>
                      <w:szCs w:val="20"/>
                    </w:rPr>
                    <w:t>工程组成</w:t>
                  </w:r>
                </w:p>
              </w:tc>
              <w:tc>
                <w:tcPr>
                  <w:tcW w:w="1916" w:type="dxa"/>
                  <w:tcBorders>
                    <w:right w:val="single" w:color="auto" w:sz="8" w:space="0"/>
                  </w:tcBorders>
                  <w:vAlign w:val="center"/>
                </w:tcPr>
                <w:p>
                  <w:pPr>
                    <w:widowControl/>
                    <w:jc w:val="center"/>
                    <w:rPr>
                      <w:bCs/>
                      <w:snapToGrid w:val="0"/>
                      <w:szCs w:val="20"/>
                    </w:rPr>
                  </w:pPr>
                  <w:r>
                    <w:rPr>
                      <w:bCs/>
                      <w:snapToGrid w:val="0"/>
                      <w:szCs w:val="20"/>
                    </w:rPr>
                    <w:t>现有工程情况</w:t>
                  </w:r>
                </w:p>
              </w:tc>
              <w:tc>
                <w:tcPr>
                  <w:tcW w:w="1643" w:type="dxa"/>
                  <w:tcBorders>
                    <w:left w:val="single" w:color="auto" w:sz="8" w:space="0"/>
                  </w:tcBorders>
                  <w:vAlign w:val="center"/>
                </w:tcPr>
                <w:p>
                  <w:pPr>
                    <w:widowControl/>
                    <w:jc w:val="center"/>
                    <w:rPr>
                      <w:bCs/>
                      <w:snapToGrid w:val="0"/>
                      <w:szCs w:val="20"/>
                    </w:rPr>
                  </w:pPr>
                  <w:r>
                    <w:rPr>
                      <w:bCs/>
                      <w:snapToGrid w:val="0"/>
                      <w:szCs w:val="20"/>
                    </w:rPr>
                    <w:t>本项目扩建情况</w:t>
                  </w:r>
                </w:p>
              </w:tc>
              <w:tc>
                <w:tcPr>
                  <w:tcW w:w="1454" w:type="dxa"/>
                  <w:tcBorders>
                    <w:left w:val="single" w:color="auto" w:sz="8" w:space="0"/>
                  </w:tcBorders>
                  <w:vAlign w:val="center"/>
                </w:tcPr>
                <w:p>
                  <w:pPr>
                    <w:widowControl/>
                    <w:jc w:val="center"/>
                    <w:rPr>
                      <w:bCs/>
                      <w:snapToGrid w:val="0"/>
                      <w:szCs w:val="20"/>
                    </w:rPr>
                  </w:pPr>
                  <w:r>
                    <w:rPr>
                      <w:bCs/>
                      <w:snapToGrid w:val="0"/>
                      <w:szCs w:val="20"/>
                    </w:rPr>
                    <w:t>扩建后全厂建设情况</w:t>
                  </w:r>
                </w:p>
              </w:tc>
              <w:tc>
                <w:tcPr>
                  <w:tcW w:w="816" w:type="dxa"/>
                  <w:vAlign w:val="center"/>
                </w:tcPr>
                <w:p>
                  <w:pPr>
                    <w:widowControl/>
                    <w:jc w:val="center"/>
                    <w:rPr>
                      <w:bCs/>
                      <w:snapToGrid w:val="0"/>
                      <w:szCs w:val="20"/>
                    </w:rPr>
                  </w:pPr>
                  <w:r>
                    <w:rPr>
                      <w:bCs/>
                      <w:snapToGrid w:val="0"/>
                      <w:szCs w:val="20"/>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Align w:val="center"/>
                </w:tcPr>
                <w:p>
                  <w:pPr>
                    <w:widowControl/>
                    <w:jc w:val="center"/>
                    <w:rPr>
                      <w:bCs/>
                      <w:snapToGrid w:val="0"/>
                      <w:szCs w:val="20"/>
                    </w:rPr>
                  </w:pPr>
                  <w:r>
                    <w:rPr>
                      <w:bCs/>
                      <w:snapToGrid w:val="0"/>
                      <w:szCs w:val="20"/>
                    </w:rPr>
                    <w:t>主体工程</w:t>
                  </w:r>
                </w:p>
              </w:tc>
              <w:tc>
                <w:tcPr>
                  <w:tcW w:w="1494" w:type="dxa"/>
                  <w:gridSpan w:val="3"/>
                  <w:vAlign w:val="center"/>
                </w:tcPr>
                <w:p>
                  <w:pPr>
                    <w:jc w:val="center"/>
                    <w:rPr>
                      <w:bCs/>
                      <w:snapToGrid w:val="0"/>
                      <w:szCs w:val="20"/>
                    </w:rPr>
                  </w:pPr>
                  <w:r>
                    <w:rPr>
                      <w:bCs/>
                      <w:snapToGrid w:val="0"/>
                      <w:szCs w:val="20"/>
                    </w:rPr>
                    <w:t>生产车间</w:t>
                  </w:r>
                </w:p>
              </w:tc>
              <w:tc>
                <w:tcPr>
                  <w:tcW w:w="1916" w:type="dxa"/>
                  <w:tcBorders>
                    <w:right w:val="single" w:color="auto" w:sz="8" w:space="0"/>
                  </w:tcBorders>
                  <w:vAlign w:val="center"/>
                </w:tcPr>
                <w:p>
                  <w:pPr>
                    <w:widowControl/>
                    <w:rPr>
                      <w:bCs/>
                      <w:snapToGrid w:val="0"/>
                      <w:szCs w:val="20"/>
                    </w:rPr>
                  </w:pPr>
                  <w:r>
                    <w:rPr>
                      <w:bCs/>
                      <w:snapToGrid w:val="0"/>
                      <w:szCs w:val="20"/>
                    </w:rPr>
                    <w:t>1座，彩钢结构，1层，建筑面积220m</w:t>
                  </w:r>
                  <w:r>
                    <w:rPr>
                      <w:bCs/>
                      <w:snapToGrid w:val="0"/>
                      <w:szCs w:val="20"/>
                      <w:vertAlign w:val="superscript"/>
                    </w:rPr>
                    <w:t>2</w:t>
                  </w:r>
                  <w:r>
                    <w:rPr>
                      <w:bCs/>
                      <w:snapToGrid w:val="0"/>
                      <w:szCs w:val="20"/>
                    </w:rPr>
                    <w:t>，建设1条注塑挤塑果筐生产线</w:t>
                  </w:r>
                </w:p>
              </w:tc>
              <w:tc>
                <w:tcPr>
                  <w:tcW w:w="1643" w:type="dxa"/>
                  <w:tcBorders>
                    <w:left w:val="single" w:color="auto" w:sz="8" w:space="0"/>
                  </w:tcBorders>
                  <w:vAlign w:val="center"/>
                </w:tcPr>
                <w:p>
                  <w:pPr>
                    <w:widowControl/>
                    <w:rPr>
                      <w:bCs/>
                      <w:snapToGrid w:val="0"/>
                      <w:szCs w:val="20"/>
                    </w:rPr>
                  </w:pPr>
                  <w:r>
                    <w:rPr>
                      <w:bCs/>
                      <w:snapToGrid w:val="0"/>
                      <w:szCs w:val="20"/>
                    </w:rPr>
                    <w:t>车间内新增1条注塑挤塑果筐生产线</w:t>
                  </w:r>
                </w:p>
              </w:tc>
              <w:tc>
                <w:tcPr>
                  <w:tcW w:w="1454" w:type="dxa"/>
                  <w:tcBorders>
                    <w:left w:val="single" w:color="auto" w:sz="8" w:space="0"/>
                  </w:tcBorders>
                  <w:vAlign w:val="center"/>
                </w:tcPr>
                <w:p>
                  <w:pPr>
                    <w:widowControl/>
                    <w:rPr>
                      <w:bCs/>
                      <w:snapToGrid w:val="0"/>
                      <w:szCs w:val="20"/>
                    </w:rPr>
                  </w:pPr>
                  <w:r>
                    <w:rPr>
                      <w:bCs/>
                      <w:snapToGrid w:val="0"/>
                      <w:szCs w:val="20"/>
                    </w:rPr>
                    <w:t>生产车间1座，彩钢结构，1层，建筑面积220m</w:t>
                  </w:r>
                  <w:r>
                    <w:rPr>
                      <w:bCs/>
                      <w:snapToGrid w:val="0"/>
                      <w:szCs w:val="20"/>
                      <w:vertAlign w:val="superscript"/>
                    </w:rPr>
                    <w:t>2</w:t>
                  </w:r>
                  <w:r>
                    <w:rPr>
                      <w:bCs/>
                      <w:snapToGrid w:val="0"/>
                      <w:szCs w:val="20"/>
                    </w:rPr>
                    <w:t>，共2条注塑挤塑果筐生产线</w:t>
                  </w:r>
                </w:p>
              </w:tc>
              <w:tc>
                <w:tcPr>
                  <w:tcW w:w="816" w:type="dxa"/>
                  <w:vAlign w:val="center"/>
                </w:tcPr>
                <w:p>
                  <w:pPr>
                    <w:jc w:val="center"/>
                    <w:rPr>
                      <w:bCs/>
                      <w:snapToGrid w:val="0"/>
                      <w:szCs w:val="20"/>
                    </w:rPr>
                  </w:pPr>
                  <w:r>
                    <w:rPr>
                      <w:bCs/>
                      <w:snapToGrid w:val="0"/>
                      <w:szCs w:val="20"/>
                    </w:rPr>
                    <w:t>设备未安装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restart"/>
                  <w:vAlign w:val="center"/>
                </w:tcPr>
                <w:p>
                  <w:pPr>
                    <w:widowControl/>
                    <w:jc w:val="center"/>
                    <w:rPr>
                      <w:bCs/>
                      <w:snapToGrid w:val="0"/>
                      <w:szCs w:val="20"/>
                    </w:rPr>
                  </w:pPr>
                  <w:r>
                    <w:rPr>
                      <w:bCs/>
                      <w:snapToGrid w:val="0"/>
                      <w:szCs w:val="20"/>
                    </w:rPr>
                    <w:t>辅助工程</w:t>
                  </w:r>
                </w:p>
              </w:tc>
              <w:tc>
                <w:tcPr>
                  <w:tcW w:w="1494" w:type="dxa"/>
                  <w:gridSpan w:val="3"/>
                  <w:vAlign w:val="center"/>
                </w:tcPr>
                <w:p>
                  <w:pPr>
                    <w:jc w:val="center"/>
                    <w:rPr>
                      <w:bCs/>
                      <w:snapToGrid w:val="0"/>
                      <w:szCs w:val="20"/>
                    </w:rPr>
                  </w:pPr>
                  <w:r>
                    <w:rPr>
                      <w:bCs/>
                      <w:snapToGrid w:val="0"/>
                      <w:szCs w:val="20"/>
                    </w:rPr>
                    <w:t>办公室</w:t>
                  </w:r>
                </w:p>
              </w:tc>
              <w:tc>
                <w:tcPr>
                  <w:tcW w:w="1916" w:type="dxa"/>
                  <w:tcBorders>
                    <w:right w:val="single" w:color="auto" w:sz="8" w:space="0"/>
                  </w:tcBorders>
                  <w:vAlign w:val="center"/>
                </w:tcPr>
                <w:p>
                  <w:pPr>
                    <w:widowControl/>
                    <w:rPr>
                      <w:bCs/>
                      <w:snapToGrid w:val="0"/>
                      <w:szCs w:val="20"/>
                    </w:rPr>
                  </w:pPr>
                  <w:r>
                    <w:rPr>
                      <w:bCs/>
                      <w:snapToGrid w:val="0"/>
                      <w:szCs w:val="20"/>
                    </w:rPr>
                    <w:t>建筑面积为60m</w:t>
                  </w:r>
                  <w:r>
                    <w:rPr>
                      <w:bCs/>
                      <w:snapToGrid w:val="0"/>
                      <w:szCs w:val="20"/>
                      <w:vertAlign w:val="superscript"/>
                    </w:rPr>
                    <w:t>2</w:t>
                  </w:r>
                  <w:r>
                    <w:rPr>
                      <w:bCs/>
                      <w:snapToGrid w:val="0"/>
                      <w:szCs w:val="20"/>
                    </w:rPr>
                    <w:t>，砖混结构</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tcBorders>
                    <w:bottom w:val="single" w:color="auto" w:sz="4" w:space="0"/>
                  </w:tcBorders>
                  <w:vAlign w:val="center"/>
                </w:tcPr>
                <w:p>
                  <w:pPr>
                    <w:widowControl/>
                    <w:jc w:val="center"/>
                    <w:rPr>
                      <w:bCs/>
                      <w:snapToGrid w:val="0"/>
                      <w:szCs w:val="20"/>
                    </w:rPr>
                  </w:pPr>
                </w:p>
              </w:tc>
              <w:tc>
                <w:tcPr>
                  <w:tcW w:w="1494" w:type="dxa"/>
                  <w:gridSpan w:val="3"/>
                  <w:tcBorders>
                    <w:bottom w:val="single" w:color="auto" w:sz="4" w:space="0"/>
                  </w:tcBorders>
                  <w:vAlign w:val="center"/>
                </w:tcPr>
                <w:p>
                  <w:pPr>
                    <w:widowControl/>
                    <w:jc w:val="center"/>
                    <w:rPr>
                      <w:bCs/>
                      <w:snapToGrid w:val="0"/>
                      <w:szCs w:val="20"/>
                    </w:rPr>
                  </w:pPr>
                  <w:r>
                    <w:rPr>
                      <w:bCs/>
                      <w:snapToGrid w:val="0"/>
                      <w:szCs w:val="20"/>
                    </w:rPr>
                    <w:t>循环水池</w:t>
                  </w:r>
                </w:p>
              </w:tc>
              <w:tc>
                <w:tcPr>
                  <w:tcW w:w="1916" w:type="dxa"/>
                  <w:tcBorders>
                    <w:right w:val="single" w:color="auto" w:sz="8" w:space="0"/>
                  </w:tcBorders>
                  <w:vAlign w:val="center"/>
                </w:tcPr>
                <w:p>
                  <w:pPr>
                    <w:widowControl/>
                    <w:rPr>
                      <w:bCs/>
                      <w:snapToGrid w:val="0"/>
                      <w:szCs w:val="20"/>
                    </w:rPr>
                  </w:pPr>
                  <w:r>
                    <w:rPr>
                      <w:bCs/>
                      <w:snapToGrid w:val="0"/>
                      <w:szCs w:val="20"/>
                    </w:rPr>
                    <w:t>最大容积45m</w:t>
                  </w:r>
                  <w:r>
                    <w:rPr>
                      <w:bCs/>
                      <w:snapToGrid w:val="0"/>
                      <w:szCs w:val="20"/>
                      <w:vertAlign w:val="superscript"/>
                    </w:rPr>
                    <w:t>3</w:t>
                  </w:r>
                  <w:r>
                    <w:rPr>
                      <w:bCs/>
                      <w:snapToGrid w:val="0"/>
                      <w:szCs w:val="20"/>
                    </w:rPr>
                    <w:t>（长5m，宽3.6m，深2.5m），砖混结构</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restart"/>
                  <w:tcBorders>
                    <w:top w:val="single" w:color="auto" w:sz="4" w:space="0"/>
                  </w:tcBorders>
                  <w:vAlign w:val="center"/>
                </w:tcPr>
                <w:p>
                  <w:pPr>
                    <w:jc w:val="center"/>
                    <w:rPr>
                      <w:bCs/>
                      <w:snapToGrid w:val="0"/>
                      <w:szCs w:val="20"/>
                    </w:rPr>
                  </w:pPr>
                  <w:r>
                    <w:rPr>
                      <w:bCs/>
                      <w:snapToGrid w:val="0"/>
                      <w:szCs w:val="20"/>
                    </w:rPr>
                    <w:t>公用工程</w:t>
                  </w:r>
                </w:p>
              </w:tc>
              <w:tc>
                <w:tcPr>
                  <w:tcW w:w="1494" w:type="dxa"/>
                  <w:gridSpan w:val="3"/>
                  <w:tcBorders>
                    <w:top w:val="single" w:color="auto" w:sz="4" w:space="0"/>
                  </w:tcBorders>
                  <w:vAlign w:val="center"/>
                </w:tcPr>
                <w:p>
                  <w:pPr>
                    <w:widowControl/>
                    <w:jc w:val="center"/>
                    <w:rPr>
                      <w:bCs/>
                      <w:snapToGrid w:val="0"/>
                      <w:szCs w:val="20"/>
                    </w:rPr>
                  </w:pPr>
                  <w:r>
                    <w:rPr>
                      <w:bCs/>
                      <w:snapToGrid w:val="0"/>
                      <w:szCs w:val="20"/>
                    </w:rPr>
                    <w:t>供水</w:t>
                  </w:r>
                </w:p>
              </w:tc>
              <w:tc>
                <w:tcPr>
                  <w:tcW w:w="1916" w:type="dxa"/>
                  <w:tcBorders>
                    <w:right w:val="single" w:color="auto" w:sz="8" w:space="0"/>
                  </w:tcBorders>
                  <w:vAlign w:val="center"/>
                </w:tcPr>
                <w:p>
                  <w:pPr>
                    <w:widowControl/>
                    <w:rPr>
                      <w:bCs/>
                      <w:snapToGrid w:val="0"/>
                      <w:szCs w:val="20"/>
                    </w:rPr>
                  </w:pPr>
                  <w:r>
                    <w:rPr>
                      <w:bCs/>
                      <w:snapToGrid w:val="0"/>
                      <w:szCs w:val="20"/>
                    </w:rPr>
                    <w:t>由现有厂区自备水井提供</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1494" w:type="dxa"/>
                  <w:gridSpan w:val="3"/>
                  <w:vAlign w:val="center"/>
                </w:tcPr>
                <w:p>
                  <w:pPr>
                    <w:widowControl/>
                    <w:jc w:val="center"/>
                    <w:rPr>
                      <w:bCs/>
                      <w:snapToGrid w:val="0"/>
                      <w:szCs w:val="20"/>
                    </w:rPr>
                  </w:pPr>
                  <w:r>
                    <w:rPr>
                      <w:bCs/>
                      <w:snapToGrid w:val="0"/>
                      <w:szCs w:val="20"/>
                    </w:rPr>
                    <w:t>供电</w:t>
                  </w:r>
                </w:p>
              </w:tc>
              <w:tc>
                <w:tcPr>
                  <w:tcW w:w="1916" w:type="dxa"/>
                  <w:tcBorders>
                    <w:right w:val="single" w:color="auto" w:sz="8" w:space="0"/>
                  </w:tcBorders>
                  <w:vAlign w:val="center"/>
                </w:tcPr>
                <w:p>
                  <w:pPr>
                    <w:widowControl/>
                    <w:rPr>
                      <w:bCs/>
                      <w:snapToGrid w:val="0"/>
                      <w:szCs w:val="20"/>
                    </w:rPr>
                  </w:pPr>
                  <w:r>
                    <w:rPr>
                      <w:bCs/>
                      <w:snapToGrid w:val="0"/>
                      <w:szCs w:val="20"/>
                    </w:rPr>
                    <w:t>由里砦镇供电所接入厂区，厂区自备1台</w:t>
                  </w:r>
                </w:p>
                <w:p>
                  <w:pPr>
                    <w:widowControl/>
                    <w:rPr>
                      <w:bCs/>
                      <w:snapToGrid w:val="0"/>
                      <w:szCs w:val="20"/>
                    </w:rPr>
                  </w:pPr>
                  <w:r>
                    <w:rPr>
                      <w:bCs/>
                      <w:snapToGrid w:val="0"/>
                      <w:szCs w:val="20"/>
                    </w:rPr>
                    <w:t>250KVA 变压器</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1494" w:type="dxa"/>
                  <w:gridSpan w:val="3"/>
                  <w:vAlign w:val="center"/>
                </w:tcPr>
                <w:p>
                  <w:pPr>
                    <w:widowControl/>
                    <w:jc w:val="center"/>
                    <w:rPr>
                      <w:bCs/>
                      <w:snapToGrid w:val="0"/>
                      <w:szCs w:val="20"/>
                    </w:rPr>
                  </w:pPr>
                  <w:r>
                    <w:rPr>
                      <w:bCs/>
                      <w:snapToGrid w:val="0"/>
                      <w:szCs w:val="20"/>
                    </w:rPr>
                    <w:t>供暖</w:t>
                  </w:r>
                </w:p>
              </w:tc>
              <w:tc>
                <w:tcPr>
                  <w:tcW w:w="1916" w:type="dxa"/>
                  <w:tcBorders>
                    <w:right w:val="single" w:color="auto" w:sz="8" w:space="0"/>
                  </w:tcBorders>
                  <w:vAlign w:val="center"/>
                </w:tcPr>
                <w:p>
                  <w:pPr>
                    <w:widowControl/>
                    <w:rPr>
                      <w:bCs/>
                      <w:snapToGrid w:val="0"/>
                      <w:szCs w:val="20"/>
                    </w:rPr>
                  </w:pPr>
                  <w:r>
                    <w:rPr>
                      <w:bCs/>
                      <w:snapToGrid w:val="0"/>
                      <w:szCs w:val="20"/>
                    </w:rPr>
                    <w:t>生产车间不采暖，办公室冬季空调供暖</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1494" w:type="dxa"/>
                  <w:gridSpan w:val="3"/>
                  <w:vAlign w:val="center"/>
                </w:tcPr>
                <w:p>
                  <w:pPr>
                    <w:widowControl/>
                    <w:jc w:val="center"/>
                    <w:rPr>
                      <w:bCs/>
                      <w:snapToGrid w:val="0"/>
                      <w:szCs w:val="20"/>
                    </w:rPr>
                  </w:pPr>
                  <w:r>
                    <w:rPr>
                      <w:bCs/>
                      <w:snapToGrid w:val="0"/>
                      <w:szCs w:val="20"/>
                    </w:rPr>
                    <w:t>制冷</w:t>
                  </w:r>
                </w:p>
              </w:tc>
              <w:tc>
                <w:tcPr>
                  <w:tcW w:w="1916" w:type="dxa"/>
                  <w:tcBorders>
                    <w:right w:val="single" w:color="auto" w:sz="8" w:space="0"/>
                  </w:tcBorders>
                  <w:vAlign w:val="center"/>
                </w:tcPr>
                <w:p>
                  <w:pPr>
                    <w:widowControl/>
                    <w:rPr>
                      <w:bCs/>
                      <w:snapToGrid w:val="0"/>
                      <w:szCs w:val="20"/>
                    </w:rPr>
                  </w:pPr>
                  <w:r>
                    <w:rPr>
                      <w:bCs/>
                      <w:snapToGrid w:val="0"/>
                      <w:szCs w:val="20"/>
                    </w:rPr>
                    <w:t>夏季电风扇制冷</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restart"/>
                  <w:vAlign w:val="center"/>
                </w:tcPr>
                <w:p>
                  <w:pPr>
                    <w:widowControl/>
                    <w:jc w:val="center"/>
                    <w:rPr>
                      <w:bCs/>
                      <w:snapToGrid w:val="0"/>
                      <w:szCs w:val="20"/>
                    </w:rPr>
                  </w:pPr>
                  <w:r>
                    <w:rPr>
                      <w:bCs/>
                      <w:snapToGrid w:val="0"/>
                      <w:szCs w:val="20"/>
                    </w:rPr>
                    <w:t>环保工程</w:t>
                  </w:r>
                </w:p>
              </w:tc>
              <w:tc>
                <w:tcPr>
                  <w:tcW w:w="423" w:type="dxa"/>
                  <w:vAlign w:val="center"/>
                </w:tcPr>
                <w:p>
                  <w:pPr>
                    <w:widowControl/>
                    <w:jc w:val="center"/>
                    <w:rPr>
                      <w:bCs/>
                      <w:snapToGrid w:val="0"/>
                      <w:szCs w:val="20"/>
                    </w:rPr>
                  </w:pPr>
                  <w:r>
                    <w:rPr>
                      <w:bCs/>
                      <w:snapToGrid w:val="0"/>
                      <w:szCs w:val="20"/>
                    </w:rPr>
                    <w:t>废气</w:t>
                  </w:r>
                </w:p>
              </w:tc>
              <w:tc>
                <w:tcPr>
                  <w:tcW w:w="1071" w:type="dxa"/>
                  <w:gridSpan w:val="2"/>
                  <w:vAlign w:val="center"/>
                </w:tcPr>
                <w:p>
                  <w:pPr>
                    <w:widowControl/>
                    <w:jc w:val="center"/>
                    <w:rPr>
                      <w:bCs/>
                      <w:snapToGrid w:val="0"/>
                      <w:szCs w:val="20"/>
                    </w:rPr>
                  </w:pPr>
                  <w:r>
                    <w:rPr>
                      <w:bCs/>
                      <w:snapToGrid w:val="0"/>
                      <w:szCs w:val="20"/>
                    </w:rPr>
                    <w:t>注塑废气</w:t>
                  </w:r>
                </w:p>
              </w:tc>
              <w:tc>
                <w:tcPr>
                  <w:tcW w:w="1916" w:type="dxa"/>
                  <w:tcBorders>
                    <w:right w:val="single" w:color="auto" w:sz="8" w:space="0"/>
                  </w:tcBorders>
                  <w:vAlign w:val="center"/>
                </w:tcPr>
                <w:p>
                  <w:pPr>
                    <w:widowControl/>
                    <w:jc w:val="center"/>
                    <w:rPr>
                      <w:bCs/>
                      <w:snapToGrid w:val="0"/>
                      <w:szCs w:val="20"/>
                    </w:rPr>
                  </w:pPr>
                  <w:r>
                    <w:rPr>
                      <w:bCs/>
                      <w:snapToGrid w:val="0"/>
                      <w:szCs w:val="20"/>
                    </w:rPr>
                    <w:t>1台注塑机产生的废气进行密闭收集后由一套二级活性炭吸附装置处理后经1根15米高排气筒排放</w:t>
                  </w:r>
                </w:p>
              </w:tc>
              <w:tc>
                <w:tcPr>
                  <w:tcW w:w="1643" w:type="dxa"/>
                  <w:tcBorders>
                    <w:left w:val="single" w:color="auto" w:sz="8" w:space="0"/>
                  </w:tcBorders>
                  <w:vAlign w:val="center"/>
                </w:tcPr>
                <w:p>
                  <w:pPr>
                    <w:widowControl/>
                    <w:jc w:val="center"/>
                    <w:rPr>
                      <w:bCs/>
                      <w:snapToGrid w:val="0"/>
                      <w:szCs w:val="20"/>
                    </w:rPr>
                  </w:pPr>
                </w:p>
              </w:tc>
              <w:tc>
                <w:tcPr>
                  <w:tcW w:w="1454" w:type="dxa"/>
                  <w:tcBorders>
                    <w:left w:val="single" w:color="auto" w:sz="8" w:space="0"/>
                  </w:tcBorders>
                  <w:vAlign w:val="center"/>
                </w:tcPr>
                <w:p>
                  <w:pPr>
                    <w:widowControl/>
                    <w:jc w:val="center"/>
                    <w:rPr>
                      <w:bCs/>
                      <w:snapToGrid w:val="0"/>
                      <w:szCs w:val="20"/>
                    </w:rPr>
                  </w:pPr>
                </w:p>
              </w:tc>
              <w:tc>
                <w:tcPr>
                  <w:tcW w:w="816" w:type="dxa"/>
                  <w:vAlign w:val="center"/>
                </w:tcPr>
                <w:p>
                  <w:pPr>
                    <w:widowControl/>
                    <w:jc w:val="center"/>
                    <w:rPr>
                      <w:bCs/>
                      <w:snapToGrid w:val="0"/>
                      <w:szCs w:val="20"/>
                    </w:rPr>
                  </w:pPr>
                  <w:r>
                    <w:rPr>
                      <w:bCs/>
                      <w:snapToGrid w:val="0"/>
                      <w:szCs w:val="20"/>
                    </w:rPr>
                    <w:t>未建，本次环评要求建设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restart"/>
                  <w:vAlign w:val="center"/>
                </w:tcPr>
                <w:p>
                  <w:pPr>
                    <w:widowControl/>
                    <w:jc w:val="center"/>
                    <w:rPr>
                      <w:bCs/>
                      <w:snapToGrid w:val="0"/>
                      <w:szCs w:val="20"/>
                    </w:rPr>
                  </w:pPr>
                  <w:r>
                    <w:rPr>
                      <w:bCs/>
                      <w:snapToGrid w:val="0"/>
                      <w:szCs w:val="20"/>
                    </w:rPr>
                    <w:t>废水</w:t>
                  </w:r>
                </w:p>
              </w:tc>
              <w:tc>
                <w:tcPr>
                  <w:tcW w:w="1071" w:type="dxa"/>
                  <w:gridSpan w:val="2"/>
                  <w:vAlign w:val="center"/>
                </w:tcPr>
                <w:p>
                  <w:pPr>
                    <w:widowControl/>
                    <w:jc w:val="center"/>
                    <w:rPr>
                      <w:bCs/>
                      <w:snapToGrid w:val="0"/>
                      <w:szCs w:val="20"/>
                    </w:rPr>
                  </w:pPr>
                  <w:r>
                    <w:rPr>
                      <w:bCs/>
                      <w:snapToGrid w:val="0"/>
                      <w:szCs w:val="20"/>
                    </w:rPr>
                    <w:t>生活污水</w:t>
                  </w:r>
                </w:p>
              </w:tc>
              <w:tc>
                <w:tcPr>
                  <w:tcW w:w="1916" w:type="dxa"/>
                  <w:tcBorders>
                    <w:right w:val="single" w:color="auto" w:sz="8" w:space="0"/>
                  </w:tcBorders>
                  <w:vAlign w:val="center"/>
                </w:tcPr>
                <w:p>
                  <w:pPr>
                    <w:widowControl/>
                    <w:jc w:val="center"/>
                    <w:rPr>
                      <w:bCs/>
                      <w:snapToGrid w:val="0"/>
                      <w:szCs w:val="20"/>
                    </w:rPr>
                  </w:pPr>
                  <w:r>
                    <w:rPr>
                      <w:bCs/>
                      <w:snapToGrid w:val="0"/>
                      <w:szCs w:val="20"/>
                    </w:rPr>
                    <w:t>生活污水泼洒抑尘</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1071" w:type="dxa"/>
                  <w:gridSpan w:val="2"/>
                  <w:vAlign w:val="center"/>
                </w:tcPr>
                <w:p>
                  <w:pPr>
                    <w:widowControl/>
                    <w:jc w:val="center"/>
                    <w:rPr>
                      <w:bCs/>
                      <w:snapToGrid w:val="0"/>
                      <w:szCs w:val="20"/>
                    </w:rPr>
                  </w:pPr>
                  <w:r>
                    <w:rPr>
                      <w:bCs/>
                      <w:snapToGrid w:val="0"/>
                      <w:szCs w:val="20"/>
                    </w:rPr>
                    <w:t>冷却废水</w:t>
                  </w:r>
                </w:p>
              </w:tc>
              <w:tc>
                <w:tcPr>
                  <w:tcW w:w="1916" w:type="dxa"/>
                  <w:tcBorders>
                    <w:right w:val="single" w:color="auto" w:sz="8" w:space="0"/>
                  </w:tcBorders>
                  <w:vAlign w:val="center"/>
                </w:tcPr>
                <w:p>
                  <w:pPr>
                    <w:widowControl/>
                    <w:rPr>
                      <w:bCs/>
                      <w:snapToGrid w:val="0"/>
                      <w:szCs w:val="20"/>
                    </w:rPr>
                  </w:pPr>
                  <w:r>
                    <w:rPr>
                      <w:bCs/>
                      <w:snapToGrid w:val="0"/>
                      <w:szCs w:val="20"/>
                    </w:rPr>
                    <w:t>厂区东北角设冷却循环水池和冷却塔，冷却水经冷却塔冷却后循环使用，不外排</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1494" w:type="dxa"/>
                  <w:gridSpan w:val="3"/>
                  <w:vAlign w:val="center"/>
                </w:tcPr>
                <w:p>
                  <w:pPr>
                    <w:widowControl/>
                    <w:jc w:val="center"/>
                    <w:rPr>
                      <w:bCs/>
                      <w:snapToGrid w:val="0"/>
                      <w:szCs w:val="20"/>
                    </w:rPr>
                  </w:pPr>
                  <w:r>
                    <w:rPr>
                      <w:bCs/>
                      <w:snapToGrid w:val="0"/>
                      <w:szCs w:val="20"/>
                    </w:rPr>
                    <w:t>噪声</w:t>
                  </w:r>
                </w:p>
              </w:tc>
              <w:tc>
                <w:tcPr>
                  <w:tcW w:w="1916" w:type="dxa"/>
                  <w:tcBorders>
                    <w:right w:val="single" w:color="auto" w:sz="8" w:space="0"/>
                  </w:tcBorders>
                  <w:vAlign w:val="center"/>
                </w:tcPr>
                <w:p>
                  <w:pPr>
                    <w:widowControl/>
                    <w:rPr>
                      <w:bCs/>
                      <w:snapToGrid w:val="0"/>
                      <w:szCs w:val="20"/>
                    </w:rPr>
                  </w:pPr>
                  <w:r>
                    <w:rPr>
                      <w:bCs/>
                      <w:snapToGrid w:val="0"/>
                      <w:szCs w:val="20"/>
                    </w:rPr>
                    <w:t>设备基础减振、厂房隔声、风机安装消声器</w:t>
                  </w:r>
                </w:p>
              </w:tc>
              <w:tc>
                <w:tcPr>
                  <w:tcW w:w="1643" w:type="dxa"/>
                  <w:tcBorders>
                    <w:left w:val="single" w:color="auto" w:sz="8" w:space="0"/>
                  </w:tcBorders>
                  <w:vAlign w:val="center"/>
                </w:tcPr>
                <w:p>
                  <w:pPr>
                    <w:widowControl/>
                    <w:rPr>
                      <w:bCs/>
                      <w:snapToGrid w:val="0"/>
                      <w:szCs w:val="20"/>
                    </w:rPr>
                  </w:pPr>
                  <w:r>
                    <w:rPr>
                      <w:bCs/>
                      <w:snapToGrid w:val="0"/>
                      <w:szCs w:val="20"/>
                    </w:rPr>
                    <w:t>优先选用低噪声设备，采取基础减振、厂房隔声</w:t>
                  </w:r>
                </w:p>
              </w:tc>
              <w:tc>
                <w:tcPr>
                  <w:tcW w:w="1454" w:type="dxa"/>
                  <w:tcBorders>
                    <w:left w:val="single" w:color="auto" w:sz="8" w:space="0"/>
                  </w:tcBorders>
                  <w:vAlign w:val="center"/>
                </w:tcPr>
                <w:p>
                  <w:pPr>
                    <w:widowControl/>
                    <w:rPr>
                      <w:bCs/>
                      <w:snapToGrid w:val="0"/>
                      <w:szCs w:val="20"/>
                    </w:rPr>
                  </w:pPr>
                  <w:r>
                    <w:rPr>
                      <w:bCs/>
                      <w:snapToGrid w:val="0"/>
                      <w:szCs w:val="20"/>
                    </w:rPr>
                    <w:t>原有设备措施保持不变，新增设备优先选用低噪声设备，采取基础减振、厂房隔声</w:t>
                  </w:r>
                </w:p>
              </w:tc>
              <w:tc>
                <w:tcPr>
                  <w:tcW w:w="816" w:type="dxa"/>
                  <w:vAlign w:val="center"/>
                </w:tcPr>
                <w:p>
                  <w:pPr>
                    <w:widowControl/>
                    <w:jc w:val="center"/>
                    <w:rPr>
                      <w:bCs/>
                      <w:snapToGrid w:val="0"/>
                      <w:szCs w:val="20"/>
                    </w:rPr>
                  </w:pPr>
                  <w:r>
                    <w:rPr>
                      <w:bCs/>
                      <w:snapToGrid w:val="0"/>
                      <w:szCs w:val="20"/>
                    </w:rPr>
                    <w:t>新建</w:t>
                  </w:r>
                </w:p>
                <w:p>
                  <w:pPr>
                    <w:widowControl/>
                    <w:jc w:val="center"/>
                  </w:pPr>
                  <w:r>
                    <w:rPr>
                      <w:bCs/>
                      <w:snapToGrid w:val="0"/>
                      <w:szCs w:val="20"/>
                    </w:rPr>
                    <w:t>未建设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restart"/>
                  <w:vAlign w:val="center"/>
                </w:tcPr>
                <w:p>
                  <w:pPr>
                    <w:widowControl/>
                    <w:jc w:val="center"/>
                    <w:rPr>
                      <w:bCs/>
                      <w:snapToGrid w:val="0"/>
                      <w:szCs w:val="20"/>
                    </w:rPr>
                  </w:pPr>
                  <w:r>
                    <w:rPr>
                      <w:bCs/>
                      <w:snapToGrid w:val="0"/>
                      <w:szCs w:val="20"/>
                    </w:rPr>
                    <w:t>固体废物</w:t>
                  </w:r>
                </w:p>
              </w:tc>
              <w:tc>
                <w:tcPr>
                  <w:tcW w:w="470" w:type="dxa"/>
                  <w:vMerge w:val="restart"/>
                  <w:vAlign w:val="center"/>
                </w:tcPr>
                <w:p>
                  <w:pPr>
                    <w:widowControl/>
                    <w:jc w:val="center"/>
                    <w:rPr>
                      <w:bCs/>
                      <w:snapToGrid w:val="0"/>
                      <w:szCs w:val="20"/>
                    </w:rPr>
                  </w:pPr>
                  <w:r>
                    <w:rPr>
                      <w:bCs/>
                      <w:snapToGrid w:val="0"/>
                      <w:szCs w:val="20"/>
                    </w:rPr>
                    <w:t>一般工业固体</w:t>
                  </w:r>
                </w:p>
                <w:p>
                  <w:pPr>
                    <w:widowControl/>
                    <w:jc w:val="center"/>
                    <w:rPr>
                      <w:bCs/>
                      <w:snapToGrid w:val="0"/>
                      <w:szCs w:val="20"/>
                    </w:rPr>
                  </w:pPr>
                  <w:r>
                    <w:rPr>
                      <w:bCs/>
                      <w:snapToGrid w:val="0"/>
                      <w:szCs w:val="20"/>
                    </w:rPr>
                    <w:t>废物</w:t>
                  </w:r>
                </w:p>
              </w:tc>
              <w:tc>
                <w:tcPr>
                  <w:tcW w:w="601" w:type="dxa"/>
                  <w:vAlign w:val="center"/>
                </w:tcPr>
                <w:p>
                  <w:pPr>
                    <w:widowControl/>
                    <w:jc w:val="center"/>
                    <w:rPr>
                      <w:bCs/>
                      <w:snapToGrid w:val="0"/>
                      <w:szCs w:val="20"/>
                    </w:rPr>
                  </w:pPr>
                  <w:r>
                    <w:rPr>
                      <w:bCs/>
                      <w:snapToGrid w:val="0"/>
                      <w:szCs w:val="20"/>
                    </w:rPr>
                    <w:t>边角料</w:t>
                  </w:r>
                </w:p>
              </w:tc>
              <w:tc>
                <w:tcPr>
                  <w:tcW w:w="1916" w:type="dxa"/>
                  <w:vMerge w:val="restart"/>
                  <w:tcBorders>
                    <w:right w:val="single" w:color="auto" w:sz="8" w:space="0"/>
                  </w:tcBorders>
                  <w:vAlign w:val="center"/>
                </w:tcPr>
                <w:p>
                  <w:pPr>
                    <w:widowControl/>
                    <w:rPr>
                      <w:bCs/>
                      <w:snapToGrid w:val="0"/>
                      <w:szCs w:val="20"/>
                    </w:rPr>
                  </w:pPr>
                  <w:r>
                    <w:rPr>
                      <w:bCs/>
                      <w:snapToGrid w:val="0"/>
                      <w:szCs w:val="20"/>
                    </w:rPr>
                    <w:t>收集破碎后作为原料利用</w:t>
                  </w:r>
                </w:p>
              </w:tc>
              <w:tc>
                <w:tcPr>
                  <w:tcW w:w="1643" w:type="dxa"/>
                  <w:vMerge w:val="restart"/>
                  <w:tcBorders>
                    <w:left w:val="single" w:color="auto" w:sz="8" w:space="0"/>
                  </w:tcBorders>
                  <w:vAlign w:val="center"/>
                </w:tcPr>
                <w:p>
                  <w:pPr>
                    <w:widowControl/>
                    <w:jc w:val="center"/>
                    <w:rPr>
                      <w:bCs/>
                      <w:snapToGrid w:val="0"/>
                      <w:szCs w:val="20"/>
                    </w:rPr>
                  </w:pPr>
                  <w:r>
                    <w:rPr>
                      <w:bCs/>
                      <w:snapToGrid w:val="0"/>
                      <w:szCs w:val="20"/>
                    </w:rPr>
                    <w:t>/</w:t>
                  </w:r>
                </w:p>
              </w:tc>
              <w:tc>
                <w:tcPr>
                  <w:tcW w:w="1454" w:type="dxa"/>
                  <w:vMerge w:val="restart"/>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470" w:type="dxa"/>
                  <w:vMerge w:val="continue"/>
                  <w:vAlign w:val="center"/>
                </w:tcPr>
                <w:p>
                  <w:pPr>
                    <w:widowControl/>
                    <w:jc w:val="center"/>
                    <w:rPr>
                      <w:bCs/>
                      <w:snapToGrid w:val="0"/>
                      <w:szCs w:val="20"/>
                    </w:rPr>
                  </w:pPr>
                </w:p>
              </w:tc>
              <w:tc>
                <w:tcPr>
                  <w:tcW w:w="601" w:type="dxa"/>
                  <w:vAlign w:val="center"/>
                </w:tcPr>
                <w:p>
                  <w:pPr>
                    <w:widowControl/>
                    <w:jc w:val="center"/>
                    <w:rPr>
                      <w:bCs/>
                      <w:snapToGrid w:val="0"/>
                      <w:szCs w:val="20"/>
                    </w:rPr>
                  </w:pPr>
                  <w:r>
                    <w:rPr>
                      <w:bCs/>
                      <w:snapToGrid w:val="0"/>
                      <w:szCs w:val="20"/>
                    </w:rPr>
                    <w:t>残次品</w:t>
                  </w:r>
                </w:p>
              </w:tc>
              <w:tc>
                <w:tcPr>
                  <w:tcW w:w="1916" w:type="dxa"/>
                  <w:vMerge w:val="continue"/>
                  <w:tcBorders>
                    <w:right w:val="single" w:color="auto" w:sz="8" w:space="0"/>
                  </w:tcBorders>
                  <w:vAlign w:val="center"/>
                </w:tcPr>
                <w:p>
                  <w:pPr>
                    <w:widowControl/>
                    <w:jc w:val="center"/>
                    <w:rPr>
                      <w:bCs/>
                      <w:snapToGrid w:val="0"/>
                      <w:szCs w:val="20"/>
                    </w:rPr>
                  </w:pPr>
                </w:p>
              </w:tc>
              <w:tc>
                <w:tcPr>
                  <w:tcW w:w="1643" w:type="dxa"/>
                  <w:vMerge w:val="continue"/>
                  <w:tcBorders>
                    <w:left w:val="single" w:color="auto" w:sz="8" w:space="0"/>
                  </w:tcBorders>
                  <w:vAlign w:val="center"/>
                </w:tcPr>
                <w:p>
                  <w:pPr>
                    <w:widowControl/>
                    <w:jc w:val="center"/>
                    <w:rPr>
                      <w:bCs/>
                      <w:snapToGrid w:val="0"/>
                      <w:szCs w:val="20"/>
                    </w:rPr>
                  </w:pPr>
                </w:p>
              </w:tc>
              <w:tc>
                <w:tcPr>
                  <w:tcW w:w="1454" w:type="dxa"/>
                  <w:vMerge w:val="continue"/>
                  <w:tcBorders>
                    <w:left w:val="single" w:color="auto" w:sz="8" w:space="0"/>
                  </w:tcBorders>
                  <w:vAlign w:val="center"/>
                </w:tcPr>
                <w:p>
                  <w:pPr>
                    <w:widowControl/>
                    <w:jc w:val="center"/>
                    <w:rPr>
                      <w:bCs/>
                      <w:snapToGrid w:val="0"/>
                      <w:szCs w:val="20"/>
                    </w:rPr>
                  </w:pP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470" w:type="dxa"/>
                  <w:vMerge w:val="continue"/>
                  <w:vAlign w:val="center"/>
                </w:tcPr>
                <w:p>
                  <w:pPr>
                    <w:widowControl/>
                    <w:jc w:val="center"/>
                    <w:rPr>
                      <w:bCs/>
                      <w:snapToGrid w:val="0"/>
                      <w:szCs w:val="20"/>
                    </w:rPr>
                  </w:pPr>
                </w:p>
              </w:tc>
              <w:tc>
                <w:tcPr>
                  <w:tcW w:w="601" w:type="dxa"/>
                  <w:vAlign w:val="center"/>
                </w:tcPr>
                <w:p>
                  <w:pPr>
                    <w:widowControl/>
                    <w:jc w:val="center"/>
                    <w:rPr>
                      <w:bCs/>
                      <w:snapToGrid w:val="0"/>
                      <w:szCs w:val="20"/>
                    </w:rPr>
                  </w:pPr>
                  <w:r>
                    <w:rPr>
                      <w:bCs/>
                      <w:snapToGrid w:val="0"/>
                      <w:szCs w:val="20"/>
                    </w:rPr>
                    <w:t>废包装袋</w:t>
                  </w:r>
                </w:p>
              </w:tc>
              <w:tc>
                <w:tcPr>
                  <w:tcW w:w="1916" w:type="dxa"/>
                  <w:tcBorders>
                    <w:right w:val="single" w:color="auto" w:sz="8" w:space="0"/>
                  </w:tcBorders>
                  <w:vAlign w:val="center"/>
                </w:tcPr>
                <w:p>
                  <w:pPr>
                    <w:widowControl/>
                    <w:jc w:val="center"/>
                    <w:rPr>
                      <w:bCs/>
                      <w:snapToGrid w:val="0"/>
                      <w:szCs w:val="20"/>
                    </w:rPr>
                  </w:pPr>
                  <w:r>
                    <w:rPr>
                      <w:bCs/>
                      <w:snapToGrid w:val="0"/>
                      <w:szCs w:val="20"/>
                    </w:rPr>
                    <w:t>/</w:t>
                  </w:r>
                </w:p>
              </w:tc>
              <w:tc>
                <w:tcPr>
                  <w:tcW w:w="1643" w:type="dxa"/>
                  <w:tcBorders>
                    <w:left w:val="single" w:color="auto" w:sz="8" w:space="0"/>
                  </w:tcBorders>
                  <w:vAlign w:val="center"/>
                </w:tcPr>
                <w:p>
                  <w:pPr>
                    <w:widowControl/>
                    <w:rPr>
                      <w:bCs/>
                      <w:snapToGrid w:val="0"/>
                      <w:szCs w:val="20"/>
                    </w:rPr>
                  </w:pPr>
                  <w:r>
                    <w:rPr>
                      <w:bCs/>
                      <w:snapToGrid w:val="0"/>
                      <w:szCs w:val="20"/>
                    </w:rPr>
                    <w:t>收集后外售废品回收站</w:t>
                  </w:r>
                </w:p>
              </w:tc>
              <w:tc>
                <w:tcPr>
                  <w:tcW w:w="1454" w:type="dxa"/>
                  <w:tcBorders>
                    <w:left w:val="single" w:color="auto" w:sz="8" w:space="0"/>
                  </w:tcBorders>
                  <w:vAlign w:val="center"/>
                </w:tcPr>
                <w:p>
                  <w:pPr>
                    <w:widowControl/>
                    <w:rPr>
                      <w:bCs/>
                      <w:snapToGrid w:val="0"/>
                      <w:szCs w:val="20"/>
                    </w:rPr>
                  </w:pPr>
                  <w:r>
                    <w:rPr>
                      <w:bCs/>
                      <w:snapToGrid w:val="0"/>
                      <w:szCs w:val="20"/>
                    </w:rPr>
                    <w:t>收集后外售废品回收站</w:t>
                  </w:r>
                </w:p>
              </w:tc>
              <w:tc>
                <w:tcPr>
                  <w:tcW w:w="816" w:type="dxa"/>
                  <w:vAlign w:val="center"/>
                </w:tcPr>
                <w:p>
                  <w:pPr>
                    <w:widowControl/>
                    <w:jc w:val="center"/>
                    <w:rPr>
                      <w:bCs/>
                      <w:snapToGrid w:val="0"/>
                      <w:szCs w:val="20"/>
                    </w:rPr>
                  </w:pPr>
                  <w:r>
                    <w:rPr>
                      <w:bCs/>
                      <w:snapToGrid w:val="0"/>
                      <w:szCs w:val="20"/>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470" w:type="dxa"/>
                  <w:vMerge w:val="restart"/>
                  <w:vAlign w:val="center"/>
                </w:tcPr>
                <w:p>
                  <w:pPr>
                    <w:widowControl/>
                    <w:jc w:val="center"/>
                    <w:rPr>
                      <w:bCs/>
                      <w:snapToGrid w:val="0"/>
                      <w:szCs w:val="20"/>
                    </w:rPr>
                  </w:pPr>
                  <w:r>
                    <w:rPr>
                      <w:bCs/>
                      <w:snapToGrid w:val="0"/>
                      <w:szCs w:val="20"/>
                    </w:rPr>
                    <w:t>危险废物</w:t>
                  </w:r>
                </w:p>
              </w:tc>
              <w:tc>
                <w:tcPr>
                  <w:tcW w:w="601" w:type="dxa"/>
                  <w:vAlign w:val="center"/>
                </w:tcPr>
                <w:p>
                  <w:pPr>
                    <w:widowControl/>
                    <w:jc w:val="center"/>
                    <w:rPr>
                      <w:bCs/>
                      <w:snapToGrid w:val="0"/>
                      <w:szCs w:val="20"/>
                    </w:rPr>
                  </w:pPr>
                  <w:r>
                    <w:rPr>
                      <w:bCs/>
                      <w:snapToGrid w:val="0"/>
                      <w:szCs w:val="20"/>
                    </w:rPr>
                    <w:t>废润</w:t>
                  </w:r>
                </w:p>
                <w:p>
                  <w:pPr>
                    <w:widowControl/>
                    <w:jc w:val="center"/>
                    <w:rPr>
                      <w:bCs/>
                      <w:snapToGrid w:val="0"/>
                      <w:szCs w:val="20"/>
                    </w:rPr>
                  </w:pPr>
                  <w:r>
                    <w:rPr>
                      <w:bCs/>
                      <w:snapToGrid w:val="0"/>
                      <w:szCs w:val="20"/>
                    </w:rPr>
                    <w:t>滑油</w:t>
                  </w:r>
                </w:p>
              </w:tc>
              <w:tc>
                <w:tcPr>
                  <w:tcW w:w="1916" w:type="dxa"/>
                  <w:vMerge w:val="restart"/>
                  <w:tcBorders>
                    <w:right w:val="single" w:color="auto" w:sz="8" w:space="0"/>
                  </w:tcBorders>
                  <w:vAlign w:val="center"/>
                </w:tcPr>
                <w:p>
                  <w:pPr>
                    <w:widowControl/>
                    <w:jc w:val="center"/>
                    <w:rPr>
                      <w:bCs/>
                      <w:snapToGrid w:val="0"/>
                      <w:szCs w:val="20"/>
                    </w:rPr>
                  </w:pPr>
                  <w:r>
                    <w:rPr>
                      <w:bCs/>
                      <w:snapToGrid w:val="0"/>
                      <w:szCs w:val="20"/>
                    </w:rPr>
                    <w:t>/</w:t>
                  </w:r>
                </w:p>
              </w:tc>
              <w:tc>
                <w:tcPr>
                  <w:tcW w:w="1643" w:type="dxa"/>
                  <w:vMerge w:val="restart"/>
                  <w:tcBorders>
                    <w:left w:val="single" w:color="auto" w:sz="8" w:space="0"/>
                  </w:tcBorders>
                  <w:vAlign w:val="center"/>
                </w:tcPr>
                <w:p>
                  <w:pPr>
                    <w:widowControl/>
                    <w:rPr>
                      <w:bCs/>
                      <w:snapToGrid w:val="0"/>
                      <w:szCs w:val="20"/>
                    </w:rPr>
                  </w:pPr>
                  <w:r>
                    <w:rPr>
                      <w:bCs/>
                      <w:snapToGrid w:val="0"/>
                      <w:szCs w:val="20"/>
                    </w:rPr>
                    <w:t>建设1座10m</w:t>
                  </w:r>
                  <w:r>
                    <w:rPr>
                      <w:bCs/>
                      <w:snapToGrid w:val="0"/>
                      <w:szCs w:val="20"/>
                      <w:vertAlign w:val="superscript"/>
                    </w:rPr>
                    <w:t>2</w:t>
                  </w:r>
                  <w:r>
                    <w:rPr>
                      <w:bCs/>
                      <w:snapToGrid w:val="0"/>
                      <w:szCs w:val="20"/>
                    </w:rPr>
                    <w:t>危废暂存间，砖混+彩钢结构，委托有资质单位定期处置</w:t>
                  </w:r>
                </w:p>
              </w:tc>
              <w:tc>
                <w:tcPr>
                  <w:tcW w:w="1454" w:type="dxa"/>
                  <w:vMerge w:val="restart"/>
                  <w:tcBorders>
                    <w:left w:val="single" w:color="auto" w:sz="8" w:space="0"/>
                  </w:tcBorders>
                  <w:vAlign w:val="center"/>
                </w:tcPr>
                <w:p>
                  <w:pPr>
                    <w:widowControl/>
                    <w:rPr>
                      <w:bCs/>
                      <w:snapToGrid w:val="0"/>
                      <w:szCs w:val="20"/>
                    </w:rPr>
                  </w:pPr>
                  <w:r>
                    <w:rPr>
                      <w:bCs/>
                      <w:snapToGrid w:val="0"/>
                      <w:szCs w:val="20"/>
                    </w:rPr>
                    <w:t>建设1座10m</w:t>
                  </w:r>
                  <w:r>
                    <w:rPr>
                      <w:bCs/>
                      <w:snapToGrid w:val="0"/>
                      <w:szCs w:val="20"/>
                      <w:vertAlign w:val="superscript"/>
                    </w:rPr>
                    <w:t>2</w:t>
                  </w:r>
                  <w:r>
                    <w:rPr>
                      <w:bCs/>
                      <w:snapToGrid w:val="0"/>
                      <w:szCs w:val="20"/>
                    </w:rPr>
                    <w:t>危废暂存间，砖混+彩钢结构，委托有资质单位定期处置</w:t>
                  </w:r>
                </w:p>
              </w:tc>
              <w:tc>
                <w:tcPr>
                  <w:tcW w:w="816" w:type="dxa"/>
                  <w:vMerge w:val="restart"/>
                  <w:vAlign w:val="center"/>
                </w:tcPr>
                <w:p>
                  <w:pPr>
                    <w:widowControl/>
                    <w:jc w:val="center"/>
                    <w:rPr>
                      <w:bCs/>
                      <w:snapToGrid w:val="0"/>
                      <w:szCs w:val="20"/>
                    </w:rPr>
                  </w:pPr>
                  <w:r>
                    <w:rPr>
                      <w:bCs/>
                      <w:snapToGrid w:val="0"/>
                      <w:szCs w:val="20"/>
                    </w:rPr>
                    <w:t>未建</w:t>
                  </w:r>
                </w:p>
                <w:p>
                  <w:pPr>
                    <w:widowControl/>
                    <w:jc w:val="center"/>
                    <w:rPr>
                      <w:bCs/>
                      <w:snapToGrid w:val="0"/>
                      <w:szCs w:val="20"/>
                    </w:rPr>
                  </w:pPr>
                  <w:r>
                    <w:rPr>
                      <w:bCs/>
                      <w:snapToGrid w:val="0"/>
                      <w:szCs w:val="20"/>
                    </w:rPr>
                    <w:t>本次环评要求建设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470" w:type="dxa"/>
                  <w:vMerge w:val="continue"/>
                  <w:vAlign w:val="center"/>
                </w:tcPr>
                <w:p>
                  <w:pPr>
                    <w:widowControl/>
                    <w:jc w:val="center"/>
                    <w:rPr>
                      <w:bCs/>
                      <w:snapToGrid w:val="0"/>
                      <w:szCs w:val="20"/>
                    </w:rPr>
                  </w:pPr>
                </w:p>
              </w:tc>
              <w:tc>
                <w:tcPr>
                  <w:tcW w:w="601" w:type="dxa"/>
                  <w:vAlign w:val="center"/>
                </w:tcPr>
                <w:p>
                  <w:pPr>
                    <w:widowControl/>
                    <w:jc w:val="center"/>
                    <w:rPr>
                      <w:bCs/>
                      <w:snapToGrid w:val="0"/>
                      <w:szCs w:val="20"/>
                    </w:rPr>
                  </w:pPr>
                  <w:r>
                    <w:rPr>
                      <w:bCs/>
                      <w:snapToGrid w:val="0"/>
                      <w:szCs w:val="20"/>
                    </w:rPr>
                    <w:t>废润</w:t>
                  </w:r>
                </w:p>
                <w:p>
                  <w:pPr>
                    <w:widowControl/>
                    <w:jc w:val="center"/>
                    <w:rPr>
                      <w:bCs/>
                      <w:snapToGrid w:val="0"/>
                      <w:szCs w:val="20"/>
                    </w:rPr>
                  </w:pPr>
                  <w:r>
                    <w:rPr>
                      <w:bCs/>
                      <w:snapToGrid w:val="0"/>
                      <w:szCs w:val="20"/>
                    </w:rPr>
                    <w:t>滑油</w:t>
                  </w:r>
                </w:p>
                <w:p>
                  <w:pPr>
                    <w:widowControl/>
                    <w:jc w:val="center"/>
                    <w:rPr>
                      <w:bCs/>
                      <w:snapToGrid w:val="0"/>
                      <w:szCs w:val="20"/>
                    </w:rPr>
                  </w:pPr>
                  <w:r>
                    <w:rPr>
                      <w:bCs/>
                      <w:snapToGrid w:val="0"/>
                      <w:szCs w:val="20"/>
                    </w:rPr>
                    <w:t>桶</w:t>
                  </w:r>
                </w:p>
              </w:tc>
              <w:tc>
                <w:tcPr>
                  <w:tcW w:w="1916" w:type="dxa"/>
                  <w:vMerge w:val="continue"/>
                  <w:tcBorders>
                    <w:right w:val="single" w:color="auto" w:sz="8" w:space="0"/>
                  </w:tcBorders>
                  <w:vAlign w:val="center"/>
                </w:tcPr>
                <w:p>
                  <w:pPr>
                    <w:widowControl/>
                    <w:rPr>
                      <w:bCs/>
                      <w:snapToGrid w:val="0"/>
                      <w:szCs w:val="20"/>
                    </w:rPr>
                  </w:pPr>
                </w:p>
              </w:tc>
              <w:tc>
                <w:tcPr>
                  <w:tcW w:w="1643" w:type="dxa"/>
                  <w:vMerge w:val="continue"/>
                  <w:tcBorders>
                    <w:left w:val="single" w:color="auto" w:sz="8" w:space="0"/>
                  </w:tcBorders>
                  <w:vAlign w:val="center"/>
                </w:tcPr>
                <w:p>
                  <w:pPr>
                    <w:widowControl/>
                    <w:jc w:val="center"/>
                    <w:rPr>
                      <w:bCs/>
                      <w:snapToGrid w:val="0"/>
                      <w:szCs w:val="20"/>
                    </w:rPr>
                  </w:pPr>
                </w:p>
              </w:tc>
              <w:tc>
                <w:tcPr>
                  <w:tcW w:w="1454" w:type="dxa"/>
                  <w:vMerge w:val="continue"/>
                  <w:tcBorders>
                    <w:left w:val="single" w:color="auto" w:sz="8" w:space="0"/>
                  </w:tcBorders>
                  <w:vAlign w:val="center"/>
                </w:tcPr>
                <w:p>
                  <w:pPr>
                    <w:widowControl/>
                    <w:jc w:val="center"/>
                    <w:rPr>
                      <w:bCs/>
                      <w:snapToGrid w:val="0"/>
                      <w:szCs w:val="20"/>
                    </w:rPr>
                  </w:pPr>
                </w:p>
              </w:tc>
              <w:tc>
                <w:tcPr>
                  <w:tcW w:w="816" w:type="dxa"/>
                  <w:vMerge w:val="continue"/>
                  <w:vAlign w:val="center"/>
                </w:tcPr>
                <w:p>
                  <w:pPr>
                    <w:widowControl/>
                    <w:jc w:val="center"/>
                    <w:rPr>
                      <w:bCs/>
                      <w:snapToGrid w:val="0"/>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6" w:type="dxa"/>
                  <w:vMerge w:val="continue"/>
                  <w:vAlign w:val="center"/>
                </w:tcPr>
                <w:p>
                  <w:pPr>
                    <w:widowControl/>
                    <w:jc w:val="center"/>
                    <w:rPr>
                      <w:bCs/>
                      <w:snapToGrid w:val="0"/>
                      <w:szCs w:val="20"/>
                    </w:rPr>
                  </w:pPr>
                </w:p>
              </w:tc>
              <w:tc>
                <w:tcPr>
                  <w:tcW w:w="423" w:type="dxa"/>
                  <w:vMerge w:val="continue"/>
                  <w:vAlign w:val="center"/>
                </w:tcPr>
                <w:p>
                  <w:pPr>
                    <w:widowControl/>
                    <w:jc w:val="center"/>
                    <w:rPr>
                      <w:bCs/>
                      <w:snapToGrid w:val="0"/>
                      <w:szCs w:val="20"/>
                    </w:rPr>
                  </w:pPr>
                </w:p>
              </w:tc>
              <w:tc>
                <w:tcPr>
                  <w:tcW w:w="1071" w:type="dxa"/>
                  <w:gridSpan w:val="2"/>
                  <w:vAlign w:val="center"/>
                </w:tcPr>
                <w:p>
                  <w:pPr>
                    <w:widowControl/>
                    <w:jc w:val="center"/>
                    <w:rPr>
                      <w:bCs/>
                      <w:snapToGrid w:val="0"/>
                      <w:szCs w:val="20"/>
                    </w:rPr>
                  </w:pPr>
                  <w:r>
                    <w:rPr>
                      <w:bCs/>
                      <w:snapToGrid w:val="0"/>
                      <w:szCs w:val="20"/>
                    </w:rPr>
                    <w:t>生活垃圾</w:t>
                  </w:r>
                </w:p>
              </w:tc>
              <w:tc>
                <w:tcPr>
                  <w:tcW w:w="1916" w:type="dxa"/>
                  <w:tcBorders>
                    <w:right w:val="single" w:color="auto" w:sz="8" w:space="0"/>
                  </w:tcBorders>
                  <w:vAlign w:val="center"/>
                </w:tcPr>
                <w:p>
                  <w:pPr>
                    <w:widowControl/>
                    <w:rPr>
                      <w:bCs/>
                      <w:snapToGrid w:val="0"/>
                      <w:szCs w:val="20"/>
                    </w:rPr>
                  </w:pPr>
                  <w:r>
                    <w:rPr>
                      <w:bCs/>
                      <w:snapToGrid w:val="0"/>
                      <w:szCs w:val="20"/>
                    </w:rPr>
                    <w:t>设垃圾收集桶，定期交由环卫部门负责处置</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9" w:type="dxa"/>
                  <w:gridSpan w:val="2"/>
                  <w:vMerge w:val="restart"/>
                  <w:vAlign w:val="center"/>
                </w:tcPr>
                <w:p>
                  <w:pPr>
                    <w:widowControl/>
                    <w:jc w:val="center"/>
                    <w:rPr>
                      <w:bCs/>
                      <w:snapToGrid w:val="0"/>
                      <w:szCs w:val="20"/>
                    </w:rPr>
                  </w:pPr>
                  <w:r>
                    <w:rPr>
                      <w:bCs/>
                      <w:snapToGrid w:val="0"/>
                      <w:szCs w:val="20"/>
                    </w:rPr>
                    <w:t>储运工</w:t>
                  </w:r>
                </w:p>
                <w:p>
                  <w:pPr>
                    <w:widowControl/>
                    <w:jc w:val="center"/>
                    <w:rPr>
                      <w:bCs/>
                      <w:snapToGrid w:val="0"/>
                      <w:szCs w:val="20"/>
                    </w:rPr>
                  </w:pPr>
                  <w:r>
                    <w:rPr>
                      <w:bCs/>
                      <w:snapToGrid w:val="0"/>
                      <w:szCs w:val="20"/>
                    </w:rPr>
                    <w:t>程</w:t>
                  </w:r>
                </w:p>
              </w:tc>
              <w:tc>
                <w:tcPr>
                  <w:tcW w:w="1071" w:type="dxa"/>
                  <w:gridSpan w:val="2"/>
                  <w:vAlign w:val="center"/>
                </w:tcPr>
                <w:p>
                  <w:pPr>
                    <w:widowControl/>
                    <w:jc w:val="center"/>
                    <w:rPr>
                      <w:bCs/>
                      <w:snapToGrid w:val="0"/>
                      <w:szCs w:val="20"/>
                    </w:rPr>
                  </w:pPr>
                  <w:r>
                    <w:rPr>
                      <w:bCs/>
                      <w:snapToGrid w:val="0"/>
                      <w:szCs w:val="20"/>
                    </w:rPr>
                    <w:t>原料库</w:t>
                  </w:r>
                </w:p>
              </w:tc>
              <w:tc>
                <w:tcPr>
                  <w:tcW w:w="1916" w:type="dxa"/>
                  <w:tcBorders>
                    <w:right w:val="single" w:color="auto" w:sz="8" w:space="0"/>
                  </w:tcBorders>
                  <w:vAlign w:val="center"/>
                </w:tcPr>
                <w:p>
                  <w:pPr>
                    <w:widowControl/>
                    <w:rPr>
                      <w:bCs/>
                      <w:snapToGrid w:val="0"/>
                      <w:szCs w:val="20"/>
                    </w:rPr>
                  </w:pPr>
                  <w:r>
                    <w:rPr>
                      <w:bCs/>
                      <w:snapToGrid w:val="0"/>
                      <w:szCs w:val="20"/>
                    </w:rPr>
                    <w:t>1座，彩钢结构，1层，建筑面积90m</w:t>
                  </w:r>
                  <w:r>
                    <w:rPr>
                      <w:bCs/>
                      <w:snapToGrid w:val="0"/>
                      <w:szCs w:val="20"/>
                      <w:vertAlign w:val="superscript"/>
                    </w:rPr>
                    <w:t>2</w:t>
                  </w:r>
                  <w:r>
                    <w:rPr>
                      <w:bCs/>
                      <w:snapToGrid w:val="0"/>
                      <w:szCs w:val="20"/>
                    </w:rPr>
                    <w:t>，用于堆存原料</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9" w:type="dxa"/>
                  <w:gridSpan w:val="2"/>
                  <w:vMerge w:val="continue"/>
                  <w:vAlign w:val="center"/>
                </w:tcPr>
                <w:p>
                  <w:pPr>
                    <w:widowControl/>
                    <w:jc w:val="center"/>
                    <w:rPr>
                      <w:bCs/>
                      <w:snapToGrid w:val="0"/>
                      <w:szCs w:val="20"/>
                    </w:rPr>
                  </w:pPr>
                </w:p>
              </w:tc>
              <w:tc>
                <w:tcPr>
                  <w:tcW w:w="1071" w:type="dxa"/>
                  <w:gridSpan w:val="2"/>
                  <w:vAlign w:val="center"/>
                </w:tcPr>
                <w:p>
                  <w:pPr>
                    <w:widowControl/>
                    <w:jc w:val="center"/>
                    <w:rPr>
                      <w:bCs/>
                      <w:snapToGrid w:val="0"/>
                      <w:szCs w:val="20"/>
                    </w:rPr>
                  </w:pPr>
                  <w:r>
                    <w:rPr>
                      <w:bCs/>
                      <w:snapToGrid w:val="0"/>
                      <w:szCs w:val="20"/>
                    </w:rPr>
                    <w:t>成品库</w:t>
                  </w:r>
                </w:p>
              </w:tc>
              <w:tc>
                <w:tcPr>
                  <w:tcW w:w="1916" w:type="dxa"/>
                  <w:tcBorders>
                    <w:right w:val="single" w:color="auto" w:sz="8" w:space="0"/>
                  </w:tcBorders>
                  <w:vAlign w:val="center"/>
                </w:tcPr>
                <w:p>
                  <w:pPr>
                    <w:widowControl/>
                    <w:rPr>
                      <w:bCs/>
                      <w:snapToGrid w:val="0"/>
                      <w:szCs w:val="20"/>
                    </w:rPr>
                  </w:pPr>
                  <w:r>
                    <w:rPr>
                      <w:bCs/>
                      <w:snapToGrid w:val="0"/>
                      <w:szCs w:val="20"/>
                    </w:rPr>
                    <w:t>1座，彩钢结构，1层，建筑面积1000m</w:t>
                  </w:r>
                  <w:r>
                    <w:rPr>
                      <w:bCs/>
                      <w:snapToGrid w:val="0"/>
                      <w:szCs w:val="20"/>
                      <w:vertAlign w:val="superscript"/>
                    </w:rPr>
                    <w:t>2</w:t>
                  </w:r>
                  <w:r>
                    <w:rPr>
                      <w:bCs/>
                      <w:snapToGrid w:val="0"/>
                      <w:szCs w:val="20"/>
                    </w:rPr>
                    <w:t>，用于堆存成品果品包装框</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9" w:type="dxa"/>
                  <w:gridSpan w:val="2"/>
                  <w:vMerge w:val="continue"/>
                  <w:vAlign w:val="center"/>
                </w:tcPr>
                <w:p>
                  <w:pPr>
                    <w:widowControl/>
                    <w:jc w:val="center"/>
                    <w:rPr>
                      <w:bCs/>
                      <w:snapToGrid w:val="0"/>
                      <w:szCs w:val="20"/>
                    </w:rPr>
                  </w:pPr>
                </w:p>
              </w:tc>
              <w:tc>
                <w:tcPr>
                  <w:tcW w:w="1071" w:type="dxa"/>
                  <w:gridSpan w:val="2"/>
                  <w:vAlign w:val="center"/>
                </w:tcPr>
                <w:p>
                  <w:pPr>
                    <w:widowControl/>
                    <w:jc w:val="center"/>
                    <w:rPr>
                      <w:bCs/>
                      <w:snapToGrid w:val="0"/>
                      <w:szCs w:val="20"/>
                    </w:rPr>
                  </w:pPr>
                  <w:r>
                    <w:rPr>
                      <w:bCs/>
                      <w:snapToGrid w:val="0"/>
                      <w:szCs w:val="20"/>
                    </w:rPr>
                    <w:t>附件库</w:t>
                  </w:r>
                </w:p>
              </w:tc>
              <w:tc>
                <w:tcPr>
                  <w:tcW w:w="1916" w:type="dxa"/>
                  <w:tcBorders>
                    <w:right w:val="single" w:color="auto" w:sz="8" w:space="0"/>
                  </w:tcBorders>
                  <w:vAlign w:val="center"/>
                </w:tcPr>
                <w:p>
                  <w:pPr>
                    <w:widowControl/>
                    <w:rPr>
                      <w:bCs/>
                      <w:snapToGrid w:val="0"/>
                      <w:szCs w:val="20"/>
                    </w:rPr>
                  </w:pPr>
                  <w:r>
                    <w:rPr>
                      <w:bCs/>
                      <w:snapToGrid w:val="0"/>
                      <w:szCs w:val="20"/>
                    </w:rPr>
                    <w:t>1座，彩钢结构，1层，建筑面积360m</w:t>
                  </w:r>
                  <w:r>
                    <w:rPr>
                      <w:bCs/>
                      <w:snapToGrid w:val="0"/>
                      <w:szCs w:val="20"/>
                      <w:vertAlign w:val="superscript"/>
                    </w:rPr>
                    <w:t>2</w:t>
                  </w:r>
                  <w:r>
                    <w:rPr>
                      <w:bCs/>
                      <w:snapToGrid w:val="0"/>
                      <w:szCs w:val="20"/>
                    </w:rPr>
                    <w:t>，用于存放生产附件，包装材料，小型叉车等</w:t>
                  </w:r>
                </w:p>
              </w:tc>
              <w:tc>
                <w:tcPr>
                  <w:tcW w:w="1643" w:type="dxa"/>
                  <w:tcBorders>
                    <w:left w:val="single" w:color="auto" w:sz="8" w:space="0"/>
                  </w:tcBorders>
                  <w:vAlign w:val="center"/>
                </w:tcPr>
                <w:p>
                  <w:pPr>
                    <w:widowControl/>
                    <w:jc w:val="center"/>
                    <w:rPr>
                      <w:bCs/>
                      <w:snapToGrid w:val="0"/>
                      <w:szCs w:val="20"/>
                    </w:rPr>
                  </w:pPr>
                  <w:r>
                    <w:rPr>
                      <w:bCs/>
                      <w:snapToGrid w:val="0"/>
                      <w:szCs w:val="20"/>
                    </w:rPr>
                    <w:t>/</w:t>
                  </w:r>
                </w:p>
              </w:tc>
              <w:tc>
                <w:tcPr>
                  <w:tcW w:w="1454" w:type="dxa"/>
                  <w:tcBorders>
                    <w:left w:val="single" w:color="auto" w:sz="8" w:space="0"/>
                  </w:tcBorders>
                  <w:vAlign w:val="center"/>
                </w:tcPr>
                <w:p>
                  <w:pPr>
                    <w:widowControl/>
                    <w:jc w:val="center"/>
                    <w:rPr>
                      <w:bCs/>
                      <w:snapToGrid w:val="0"/>
                      <w:szCs w:val="20"/>
                    </w:rPr>
                  </w:pPr>
                  <w:r>
                    <w:rPr>
                      <w:bCs/>
                      <w:snapToGrid w:val="0"/>
                      <w:szCs w:val="20"/>
                    </w:rPr>
                    <w:t>依托现有</w:t>
                  </w:r>
                </w:p>
              </w:tc>
              <w:tc>
                <w:tcPr>
                  <w:tcW w:w="816" w:type="dxa"/>
                  <w:vAlign w:val="center"/>
                </w:tcPr>
                <w:p>
                  <w:pPr>
                    <w:widowControl/>
                    <w:jc w:val="center"/>
                    <w:rPr>
                      <w:bCs/>
                      <w:snapToGrid w:val="0"/>
                      <w:szCs w:val="20"/>
                    </w:rPr>
                  </w:pPr>
                  <w:r>
                    <w:rPr>
                      <w:bCs/>
                      <w:snapToGrid w:val="0"/>
                      <w:szCs w:val="20"/>
                    </w:rPr>
                    <w:t>依托</w:t>
                  </w:r>
                </w:p>
              </w:tc>
            </w:tr>
          </w:tbl>
          <w:p>
            <w:pPr>
              <w:pStyle w:val="10"/>
              <w:spacing w:line="360" w:lineRule="auto"/>
              <w:ind w:firstLine="482" w:firstLineChars="200"/>
              <w:rPr>
                <w:rFonts w:ascii="Times New Roman" w:hAnsi="Times New Roman"/>
                <w:b/>
                <w:sz w:val="24"/>
              </w:rPr>
            </w:pPr>
            <w:bookmarkStart w:id="4" w:name="本项目占地面积3600m2，东西长约70m，南北长约51m，建筑面积1800m2"/>
            <w:bookmarkEnd w:id="4"/>
            <w:r>
              <w:rPr>
                <w:rFonts w:ascii="Times New Roman" w:hAnsi="Times New Roman"/>
                <w:b/>
                <w:sz w:val="24"/>
              </w:rPr>
              <w:t>2.3主要产品及产量</w:t>
            </w:r>
          </w:p>
          <w:p>
            <w:pPr>
              <w:spacing w:line="360" w:lineRule="auto"/>
              <w:ind w:firstLine="480" w:firstLineChars="200"/>
              <w:rPr>
                <w:sz w:val="24"/>
                <w:szCs w:val="28"/>
              </w:rPr>
            </w:pPr>
            <w:r>
              <w:rPr>
                <w:sz w:val="24"/>
                <w:szCs w:val="28"/>
              </w:rPr>
              <w:t>本项目产品方案见表2-</w:t>
            </w:r>
            <w:r>
              <w:rPr>
                <w:rFonts w:hint="eastAsia"/>
                <w:sz w:val="24"/>
                <w:szCs w:val="28"/>
              </w:rPr>
              <w:t>2</w:t>
            </w:r>
            <w:r>
              <w:rPr>
                <w:sz w:val="24"/>
                <w:szCs w:val="28"/>
              </w:rPr>
              <w:t>。</w:t>
            </w:r>
          </w:p>
          <w:p>
            <w:pPr>
              <w:autoSpaceDE w:val="0"/>
              <w:spacing w:line="360" w:lineRule="auto"/>
              <w:jc w:val="center"/>
              <w:rPr>
                <w:b/>
                <w:snapToGrid w:val="0"/>
              </w:rPr>
            </w:pPr>
            <w:r>
              <w:rPr>
                <w:b/>
                <w:snapToGrid w:val="0"/>
              </w:rPr>
              <w:t>表2-</w:t>
            </w:r>
            <w:r>
              <w:rPr>
                <w:rFonts w:hint="eastAsia"/>
                <w:b/>
                <w:snapToGrid w:val="0"/>
              </w:rPr>
              <w:t>2</w:t>
            </w:r>
            <w:r>
              <w:rPr>
                <w:b/>
                <w:snapToGrid w:val="0"/>
              </w:rPr>
              <w:t xml:space="preserve">  产品方案一览表</w:t>
            </w:r>
          </w:p>
          <w:tbl>
            <w:tblPr>
              <w:tblStyle w:val="22"/>
              <w:tblW w:w="7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4"/>
              <w:gridCol w:w="567"/>
              <w:gridCol w:w="1276"/>
              <w:gridCol w:w="921"/>
              <w:gridCol w:w="921"/>
              <w:gridCol w:w="922"/>
              <w:gridCol w:w="921"/>
              <w:gridCol w:w="921"/>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4" w:type="dxa"/>
                  <w:vAlign w:val="center"/>
                </w:tcPr>
                <w:p>
                  <w:pPr>
                    <w:widowControl/>
                    <w:jc w:val="center"/>
                    <w:rPr>
                      <w:bCs/>
                      <w:snapToGrid w:val="0"/>
                      <w:szCs w:val="20"/>
                    </w:rPr>
                  </w:pPr>
                  <w:r>
                    <w:rPr>
                      <w:bCs/>
                      <w:snapToGrid w:val="0"/>
                      <w:szCs w:val="20"/>
                    </w:rPr>
                    <w:t>序号</w:t>
                  </w:r>
                </w:p>
              </w:tc>
              <w:tc>
                <w:tcPr>
                  <w:tcW w:w="567" w:type="dxa"/>
                  <w:vAlign w:val="center"/>
                </w:tcPr>
                <w:p>
                  <w:pPr>
                    <w:widowControl/>
                    <w:jc w:val="center"/>
                    <w:rPr>
                      <w:bCs/>
                      <w:snapToGrid w:val="0"/>
                      <w:szCs w:val="20"/>
                    </w:rPr>
                  </w:pPr>
                  <w:r>
                    <w:rPr>
                      <w:bCs/>
                      <w:snapToGrid w:val="0"/>
                      <w:szCs w:val="20"/>
                    </w:rPr>
                    <w:t>产品种类</w:t>
                  </w:r>
                </w:p>
              </w:tc>
              <w:tc>
                <w:tcPr>
                  <w:tcW w:w="1276" w:type="dxa"/>
                  <w:vAlign w:val="center"/>
                </w:tcPr>
                <w:p>
                  <w:pPr>
                    <w:widowControl/>
                    <w:jc w:val="center"/>
                    <w:rPr>
                      <w:bCs/>
                      <w:snapToGrid w:val="0"/>
                      <w:szCs w:val="20"/>
                    </w:rPr>
                  </w:pPr>
                  <w:r>
                    <w:rPr>
                      <w:bCs/>
                      <w:snapToGrid w:val="0"/>
                      <w:szCs w:val="20"/>
                    </w:rPr>
                    <w:t>产品规格</w:t>
                  </w:r>
                </w:p>
              </w:tc>
              <w:tc>
                <w:tcPr>
                  <w:tcW w:w="921" w:type="dxa"/>
                  <w:vAlign w:val="center"/>
                </w:tcPr>
                <w:p>
                  <w:pPr>
                    <w:widowControl/>
                    <w:jc w:val="center"/>
                    <w:rPr>
                      <w:bCs/>
                      <w:snapToGrid w:val="0"/>
                      <w:szCs w:val="20"/>
                    </w:rPr>
                  </w:pPr>
                  <w:r>
                    <w:rPr>
                      <w:bCs/>
                      <w:snapToGrid w:val="0"/>
                      <w:szCs w:val="20"/>
                    </w:rPr>
                    <w:t>现有项目生产能力</w:t>
                  </w:r>
                </w:p>
              </w:tc>
              <w:tc>
                <w:tcPr>
                  <w:tcW w:w="921" w:type="dxa"/>
                  <w:vAlign w:val="center"/>
                </w:tcPr>
                <w:p>
                  <w:pPr>
                    <w:widowControl/>
                    <w:jc w:val="center"/>
                    <w:rPr>
                      <w:bCs/>
                      <w:snapToGrid w:val="0"/>
                      <w:szCs w:val="20"/>
                    </w:rPr>
                  </w:pPr>
                  <w:r>
                    <w:rPr>
                      <w:bCs/>
                      <w:snapToGrid w:val="0"/>
                      <w:szCs w:val="20"/>
                    </w:rPr>
                    <w:t>现有项目生产量</w:t>
                  </w:r>
                </w:p>
              </w:tc>
              <w:tc>
                <w:tcPr>
                  <w:tcW w:w="922" w:type="dxa"/>
                  <w:vAlign w:val="center"/>
                </w:tcPr>
                <w:p>
                  <w:pPr>
                    <w:widowControl/>
                    <w:jc w:val="center"/>
                    <w:rPr>
                      <w:bCs/>
                      <w:snapToGrid w:val="0"/>
                      <w:szCs w:val="20"/>
                    </w:rPr>
                  </w:pPr>
                  <w:r>
                    <w:rPr>
                      <w:bCs/>
                      <w:snapToGrid w:val="0"/>
                      <w:szCs w:val="20"/>
                    </w:rPr>
                    <w:t>本项目生产能力</w:t>
                  </w:r>
                </w:p>
              </w:tc>
              <w:tc>
                <w:tcPr>
                  <w:tcW w:w="921" w:type="dxa"/>
                  <w:vAlign w:val="center"/>
                </w:tcPr>
                <w:p>
                  <w:pPr>
                    <w:widowControl/>
                    <w:jc w:val="center"/>
                    <w:rPr>
                      <w:bCs/>
                      <w:snapToGrid w:val="0"/>
                      <w:szCs w:val="20"/>
                    </w:rPr>
                  </w:pPr>
                  <w:r>
                    <w:rPr>
                      <w:bCs/>
                      <w:snapToGrid w:val="0"/>
                      <w:szCs w:val="20"/>
                    </w:rPr>
                    <w:t>本项目生产量</w:t>
                  </w:r>
                </w:p>
              </w:tc>
              <w:tc>
                <w:tcPr>
                  <w:tcW w:w="921" w:type="dxa"/>
                  <w:vAlign w:val="center"/>
                </w:tcPr>
                <w:p>
                  <w:pPr>
                    <w:widowControl/>
                    <w:jc w:val="center"/>
                    <w:rPr>
                      <w:bCs/>
                      <w:snapToGrid w:val="0"/>
                      <w:szCs w:val="20"/>
                    </w:rPr>
                  </w:pPr>
                  <w:r>
                    <w:rPr>
                      <w:bCs/>
                      <w:snapToGrid w:val="0"/>
                      <w:szCs w:val="20"/>
                    </w:rPr>
                    <w:t>扩建后全厂生产能力</w:t>
                  </w:r>
                </w:p>
              </w:tc>
              <w:tc>
                <w:tcPr>
                  <w:tcW w:w="922" w:type="dxa"/>
                  <w:vAlign w:val="center"/>
                </w:tcPr>
                <w:p>
                  <w:pPr>
                    <w:widowControl/>
                    <w:jc w:val="center"/>
                    <w:rPr>
                      <w:bCs/>
                      <w:snapToGrid w:val="0"/>
                      <w:szCs w:val="20"/>
                    </w:rPr>
                  </w:pPr>
                  <w:r>
                    <w:rPr>
                      <w:bCs/>
                      <w:snapToGrid w:val="0"/>
                      <w:szCs w:val="20"/>
                    </w:rPr>
                    <w:t>扩建后全厂生产量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Merge w:val="restart"/>
                  <w:vAlign w:val="center"/>
                </w:tcPr>
                <w:p>
                  <w:pPr>
                    <w:widowControl/>
                    <w:jc w:val="center"/>
                    <w:rPr>
                      <w:bCs/>
                      <w:snapToGrid w:val="0"/>
                      <w:szCs w:val="20"/>
                    </w:rPr>
                  </w:pPr>
                  <w:r>
                    <w:rPr>
                      <w:bCs/>
                      <w:snapToGrid w:val="0"/>
                      <w:szCs w:val="20"/>
                    </w:rPr>
                    <w:t>1</w:t>
                  </w:r>
                </w:p>
              </w:tc>
              <w:tc>
                <w:tcPr>
                  <w:tcW w:w="567" w:type="dxa"/>
                  <w:vMerge w:val="restart"/>
                  <w:vAlign w:val="center"/>
                </w:tcPr>
                <w:p>
                  <w:pPr>
                    <w:widowControl/>
                    <w:jc w:val="center"/>
                    <w:rPr>
                      <w:bCs/>
                      <w:snapToGrid w:val="0"/>
                      <w:szCs w:val="20"/>
                    </w:rPr>
                  </w:pPr>
                  <w:r>
                    <w:rPr>
                      <w:bCs/>
                      <w:snapToGrid w:val="0"/>
                      <w:szCs w:val="20"/>
                    </w:rPr>
                    <w:t>塑料果品包装筐</w:t>
                  </w:r>
                </w:p>
              </w:tc>
              <w:tc>
                <w:tcPr>
                  <w:tcW w:w="1276" w:type="dxa"/>
                  <w:vAlign w:val="center"/>
                </w:tcPr>
                <w:p>
                  <w:pPr>
                    <w:widowControl/>
                    <w:jc w:val="center"/>
                    <w:rPr>
                      <w:bCs/>
                      <w:snapToGrid w:val="0"/>
                      <w:szCs w:val="20"/>
                    </w:rPr>
                  </w:pPr>
                  <w:r>
                    <w:rPr>
                      <w:bCs/>
                      <w:snapToGrid w:val="0"/>
                      <w:szCs w:val="20"/>
                    </w:rPr>
                    <w:t>38×27×17cm（1.0kg）</w:t>
                  </w:r>
                </w:p>
              </w:tc>
              <w:tc>
                <w:tcPr>
                  <w:tcW w:w="921" w:type="dxa"/>
                  <w:vAlign w:val="center"/>
                </w:tcPr>
                <w:p>
                  <w:pPr>
                    <w:widowControl/>
                    <w:jc w:val="center"/>
                    <w:rPr>
                      <w:bCs/>
                      <w:snapToGrid w:val="0"/>
                      <w:szCs w:val="20"/>
                    </w:rPr>
                  </w:pPr>
                  <w:r>
                    <w:rPr>
                      <w:bCs/>
                      <w:snapToGrid w:val="0"/>
                      <w:szCs w:val="20"/>
                    </w:rPr>
                    <w:t>10万个/a</w:t>
                  </w:r>
                </w:p>
              </w:tc>
              <w:tc>
                <w:tcPr>
                  <w:tcW w:w="921" w:type="dxa"/>
                  <w:vAlign w:val="center"/>
                </w:tcPr>
                <w:p>
                  <w:pPr>
                    <w:widowControl/>
                    <w:jc w:val="center"/>
                    <w:rPr>
                      <w:bCs/>
                      <w:snapToGrid w:val="0"/>
                      <w:szCs w:val="20"/>
                    </w:rPr>
                  </w:pPr>
                  <w:r>
                    <w:rPr>
                      <w:bCs/>
                      <w:snapToGrid w:val="0"/>
                      <w:szCs w:val="20"/>
                    </w:rPr>
                    <w:t>100t/a</w:t>
                  </w:r>
                </w:p>
              </w:tc>
              <w:tc>
                <w:tcPr>
                  <w:tcW w:w="922" w:type="dxa"/>
                  <w:vAlign w:val="center"/>
                </w:tcPr>
                <w:p>
                  <w:pPr>
                    <w:widowControl/>
                    <w:jc w:val="center"/>
                    <w:rPr>
                      <w:bCs/>
                      <w:snapToGrid w:val="0"/>
                      <w:szCs w:val="20"/>
                    </w:rPr>
                  </w:pPr>
                  <w:r>
                    <w:rPr>
                      <w:bCs/>
                      <w:snapToGrid w:val="0"/>
                      <w:szCs w:val="20"/>
                    </w:rPr>
                    <w:t>1万个/a</w:t>
                  </w:r>
                </w:p>
              </w:tc>
              <w:tc>
                <w:tcPr>
                  <w:tcW w:w="921" w:type="dxa"/>
                  <w:vAlign w:val="center"/>
                </w:tcPr>
                <w:p>
                  <w:pPr>
                    <w:widowControl/>
                    <w:jc w:val="center"/>
                    <w:rPr>
                      <w:bCs/>
                      <w:snapToGrid w:val="0"/>
                      <w:szCs w:val="20"/>
                    </w:rPr>
                  </w:pPr>
                  <w:r>
                    <w:rPr>
                      <w:bCs/>
                      <w:snapToGrid w:val="0"/>
                      <w:szCs w:val="20"/>
                    </w:rPr>
                    <w:t>10t/a</w:t>
                  </w:r>
                </w:p>
              </w:tc>
              <w:tc>
                <w:tcPr>
                  <w:tcW w:w="921" w:type="dxa"/>
                  <w:vAlign w:val="center"/>
                </w:tcPr>
                <w:p>
                  <w:pPr>
                    <w:widowControl/>
                    <w:jc w:val="center"/>
                    <w:rPr>
                      <w:bCs/>
                      <w:snapToGrid w:val="0"/>
                      <w:szCs w:val="20"/>
                    </w:rPr>
                  </w:pPr>
                  <w:r>
                    <w:rPr>
                      <w:bCs/>
                      <w:snapToGrid w:val="0"/>
                      <w:szCs w:val="20"/>
                    </w:rPr>
                    <w:t>11万个/a</w:t>
                  </w:r>
                </w:p>
              </w:tc>
              <w:tc>
                <w:tcPr>
                  <w:tcW w:w="922" w:type="dxa"/>
                  <w:vAlign w:val="center"/>
                </w:tcPr>
                <w:p>
                  <w:pPr>
                    <w:widowControl/>
                    <w:jc w:val="center"/>
                    <w:rPr>
                      <w:bCs/>
                      <w:snapToGrid w:val="0"/>
                      <w:szCs w:val="20"/>
                    </w:rPr>
                  </w:pPr>
                  <w:r>
                    <w:rPr>
                      <w:bCs/>
                      <w:snapToGrid w:val="0"/>
                      <w:szCs w:val="20"/>
                    </w:rPr>
                    <w:t>110t/a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Merge w:val="continue"/>
                  <w:vAlign w:val="center"/>
                </w:tcPr>
                <w:p>
                  <w:pPr>
                    <w:widowControl/>
                    <w:jc w:val="center"/>
                    <w:rPr>
                      <w:bCs/>
                      <w:snapToGrid w:val="0"/>
                      <w:szCs w:val="20"/>
                    </w:rPr>
                  </w:pPr>
                </w:p>
              </w:tc>
              <w:tc>
                <w:tcPr>
                  <w:tcW w:w="567" w:type="dxa"/>
                  <w:vMerge w:val="continue"/>
                  <w:vAlign w:val="center"/>
                </w:tcPr>
                <w:p>
                  <w:pPr>
                    <w:widowControl/>
                    <w:jc w:val="center"/>
                    <w:rPr>
                      <w:bCs/>
                      <w:snapToGrid w:val="0"/>
                      <w:szCs w:val="20"/>
                    </w:rPr>
                  </w:pPr>
                </w:p>
              </w:tc>
              <w:tc>
                <w:tcPr>
                  <w:tcW w:w="1276" w:type="dxa"/>
                  <w:vAlign w:val="center"/>
                </w:tcPr>
                <w:p>
                  <w:pPr>
                    <w:widowControl/>
                    <w:jc w:val="center"/>
                    <w:rPr>
                      <w:bCs/>
                      <w:snapToGrid w:val="0"/>
                      <w:szCs w:val="20"/>
                    </w:rPr>
                  </w:pPr>
                  <w:r>
                    <w:rPr>
                      <w:bCs/>
                      <w:snapToGrid w:val="0"/>
                      <w:szCs w:val="20"/>
                    </w:rPr>
                    <w:t>36×25×13cm（0.5kg）</w:t>
                  </w:r>
                </w:p>
              </w:tc>
              <w:tc>
                <w:tcPr>
                  <w:tcW w:w="921" w:type="dxa"/>
                  <w:vAlign w:val="center"/>
                </w:tcPr>
                <w:p>
                  <w:pPr>
                    <w:widowControl/>
                    <w:jc w:val="center"/>
                    <w:rPr>
                      <w:bCs/>
                      <w:snapToGrid w:val="0"/>
                      <w:szCs w:val="20"/>
                    </w:rPr>
                  </w:pPr>
                  <w:r>
                    <w:rPr>
                      <w:bCs/>
                      <w:snapToGrid w:val="0"/>
                      <w:szCs w:val="20"/>
                    </w:rPr>
                    <w:t>5万个/a</w:t>
                  </w:r>
                </w:p>
              </w:tc>
              <w:tc>
                <w:tcPr>
                  <w:tcW w:w="921" w:type="dxa"/>
                  <w:vAlign w:val="center"/>
                </w:tcPr>
                <w:p>
                  <w:pPr>
                    <w:widowControl/>
                    <w:jc w:val="center"/>
                    <w:rPr>
                      <w:bCs/>
                      <w:snapToGrid w:val="0"/>
                      <w:szCs w:val="20"/>
                    </w:rPr>
                  </w:pPr>
                  <w:r>
                    <w:rPr>
                      <w:bCs/>
                      <w:snapToGrid w:val="0"/>
                      <w:szCs w:val="20"/>
                    </w:rPr>
                    <w:t>25t/a</w:t>
                  </w:r>
                </w:p>
              </w:tc>
              <w:tc>
                <w:tcPr>
                  <w:tcW w:w="922" w:type="dxa"/>
                  <w:vAlign w:val="center"/>
                </w:tcPr>
                <w:p>
                  <w:pPr>
                    <w:widowControl/>
                    <w:jc w:val="center"/>
                    <w:rPr>
                      <w:bCs/>
                      <w:snapToGrid w:val="0"/>
                      <w:szCs w:val="20"/>
                    </w:rPr>
                  </w:pPr>
                  <w:r>
                    <w:rPr>
                      <w:bCs/>
                      <w:snapToGrid w:val="0"/>
                      <w:szCs w:val="20"/>
                    </w:rPr>
                    <w:t>2万个/a</w:t>
                  </w:r>
                </w:p>
              </w:tc>
              <w:tc>
                <w:tcPr>
                  <w:tcW w:w="921" w:type="dxa"/>
                  <w:vAlign w:val="center"/>
                </w:tcPr>
                <w:p>
                  <w:pPr>
                    <w:widowControl/>
                    <w:jc w:val="center"/>
                    <w:rPr>
                      <w:bCs/>
                      <w:snapToGrid w:val="0"/>
                      <w:szCs w:val="20"/>
                    </w:rPr>
                  </w:pPr>
                  <w:r>
                    <w:rPr>
                      <w:bCs/>
                      <w:snapToGrid w:val="0"/>
                      <w:szCs w:val="20"/>
                    </w:rPr>
                    <w:t>10t/a</w:t>
                  </w:r>
                </w:p>
              </w:tc>
              <w:tc>
                <w:tcPr>
                  <w:tcW w:w="921" w:type="dxa"/>
                  <w:vAlign w:val="center"/>
                </w:tcPr>
                <w:p>
                  <w:pPr>
                    <w:widowControl/>
                    <w:jc w:val="center"/>
                    <w:rPr>
                      <w:bCs/>
                      <w:snapToGrid w:val="0"/>
                      <w:szCs w:val="20"/>
                    </w:rPr>
                  </w:pPr>
                  <w:r>
                    <w:rPr>
                      <w:bCs/>
                      <w:snapToGrid w:val="0"/>
                      <w:szCs w:val="20"/>
                    </w:rPr>
                    <w:t>7万个/a</w:t>
                  </w:r>
                </w:p>
              </w:tc>
              <w:tc>
                <w:tcPr>
                  <w:tcW w:w="922" w:type="dxa"/>
                  <w:vAlign w:val="center"/>
                </w:tcPr>
                <w:p>
                  <w:pPr>
                    <w:widowControl/>
                    <w:jc w:val="center"/>
                    <w:rPr>
                      <w:bCs/>
                      <w:snapToGrid w:val="0"/>
                      <w:szCs w:val="20"/>
                    </w:rPr>
                  </w:pPr>
                  <w:r>
                    <w:rPr>
                      <w:bCs/>
                      <w:snapToGrid w:val="0"/>
                      <w:szCs w:val="20"/>
                    </w:rPr>
                    <w:t>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4" w:type="dxa"/>
                  <w:vMerge w:val="continue"/>
                  <w:vAlign w:val="center"/>
                </w:tcPr>
                <w:p>
                  <w:pPr>
                    <w:widowControl/>
                    <w:jc w:val="center"/>
                    <w:rPr>
                      <w:bCs/>
                      <w:snapToGrid w:val="0"/>
                      <w:szCs w:val="20"/>
                    </w:rPr>
                  </w:pPr>
                </w:p>
              </w:tc>
              <w:tc>
                <w:tcPr>
                  <w:tcW w:w="567" w:type="dxa"/>
                  <w:vMerge w:val="continue"/>
                  <w:vAlign w:val="center"/>
                </w:tcPr>
                <w:p>
                  <w:pPr>
                    <w:widowControl/>
                    <w:jc w:val="center"/>
                    <w:rPr>
                      <w:bCs/>
                      <w:snapToGrid w:val="0"/>
                      <w:szCs w:val="20"/>
                    </w:rPr>
                  </w:pPr>
                </w:p>
              </w:tc>
              <w:tc>
                <w:tcPr>
                  <w:tcW w:w="1276" w:type="dxa"/>
                  <w:vAlign w:val="center"/>
                </w:tcPr>
                <w:p>
                  <w:pPr>
                    <w:widowControl/>
                    <w:jc w:val="center"/>
                    <w:rPr>
                      <w:bCs/>
                      <w:snapToGrid w:val="0"/>
                      <w:szCs w:val="20"/>
                    </w:rPr>
                  </w:pPr>
                  <w:r>
                    <w:rPr>
                      <w:bCs/>
                      <w:snapToGrid w:val="0"/>
                      <w:szCs w:val="20"/>
                    </w:rPr>
                    <w:t>40×27×17cm（1.5kg）</w:t>
                  </w:r>
                </w:p>
              </w:tc>
              <w:tc>
                <w:tcPr>
                  <w:tcW w:w="921" w:type="dxa"/>
                  <w:vAlign w:val="center"/>
                </w:tcPr>
                <w:p>
                  <w:pPr>
                    <w:widowControl/>
                    <w:jc w:val="center"/>
                    <w:rPr>
                      <w:bCs/>
                      <w:snapToGrid w:val="0"/>
                      <w:szCs w:val="20"/>
                    </w:rPr>
                  </w:pPr>
                  <w:r>
                    <w:rPr>
                      <w:bCs/>
                      <w:snapToGrid w:val="0"/>
                      <w:szCs w:val="20"/>
                    </w:rPr>
                    <w:t>15万个/a</w:t>
                  </w:r>
                </w:p>
              </w:tc>
              <w:tc>
                <w:tcPr>
                  <w:tcW w:w="921" w:type="dxa"/>
                  <w:vAlign w:val="center"/>
                </w:tcPr>
                <w:p>
                  <w:pPr>
                    <w:widowControl/>
                    <w:jc w:val="center"/>
                    <w:rPr>
                      <w:bCs/>
                      <w:snapToGrid w:val="0"/>
                      <w:szCs w:val="20"/>
                    </w:rPr>
                  </w:pPr>
                  <w:r>
                    <w:rPr>
                      <w:bCs/>
                      <w:snapToGrid w:val="0"/>
                      <w:szCs w:val="20"/>
                    </w:rPr>
                    <w:t>225t/a</w:t>
                  </w:r>
                </w:p>
              </w:tc>
              <w:tc>
                <w:tcPr>
                  <w:tcW w:w="922" w:type="dxa"/>
                  <w:vAlign w:val="center"/>
                </w:tcPr>
                <w:p>
                  <w:pPr>
                    <w:widowControl/>
                    <w:jc w:val="center"/>
                    <w:rPr>
                      <w:bCs/>
                      <w:snapToGrid w:val="0"/>
                      <w:szCs w:val="20"/>
                    </w:rPr>
                  </w:pPr>
                  <w:r>
                    <w:rPr>
                      <w:bCs/>
                      <w:snapToGrid w:val="0"/>
                      <w:szCs w:val="20"/>
                    </w:rPr>
                    <w:t>3万个/a</w:t>
                  </w:r>
                </w:p>
              </w:tc>
              <w:tc>
                <w:tcPr>
                  <w:tcW w:w="921" w:type="dxa"/>
                  <w:vAlign w:val="center"/>
                </w:tcPr>
                <w:p>
                  <w:pPr>
                    <w:widowControl/>
                    <w:jc w:val="center"/>
                    <w:rPr>
                      <w:bCs/>
                      <w:snapToGrid w:val="0"/>
                      <w:szCs w:val="20"/>
                    </w:rPr>
                  </w:pPr>
                  <w:r>
                    <w:rPr>
                      <w:bCs/>
                      <w:snapToGrid w:val="0"/>
                      <w:szCs w:val="20"/>
                    </w:rPr>
                    <w:t>45t/a</w:t>
                  </w:r>
                </w:p>
              </w:tc>
              <w:tc>
                <w:tcPr>
                  <w:tcW w:w="921" w:type="dxa"/>
                  <w:vAlign w:val="center"/>
                </w:tcPr>
                <w:p>
                  <w:pPr>
                    <w:widowControl/>
                    <w:jc w:val="center"/>
                    <w:rPr>
                      <w:bCs/>
                      <w:snapToGrid w:val="0"/>
                      <w:szCs w:val="20"/>
                    </w:rPr>
                  </w:pPr>
                  <w:r>
                    <w:rPr>
                      <w:bCs/>
                      <w:snapToGrid w:val="0"/>
                      <w:szCs w:val="20"/>
                    </w:rPr>
                    <w:t>18万个/a</w:t>
                  </w:r>
                </w:p>
              </w:tc>
              <w:tc>
                <w:tcPr>
                  <w:tcW w:w="922" w:type="dxa"/>
                  <w:vAlign w:val="center"/>
                </w:tcPr>
                <w:p>
                  <w:pPr>
                    <w:widowControl/>
                    <w:jc w:val="center"/>
                    <w:rPr>
                      <w:bCs/>
                      <w:snapToGrid w:val="0"/>
                      <w:szCs w:val="20"/>
                    </w:rPr>
                  </w:pPr>
                  <w:r>
                    <w:rPr>
                      <w:bCs/>
                      <w:snapToGrid w:val="0"/>
                      <w:szCs w:val="20"/>
                    </w:rPr>
                    <w:t>270t/a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3"/>
                  <w:vAlign w:val="center"/>
                </w:tcPr>
                <w:p>
                  <w:pPr>
                    <w:widowControl/>
                    <w:jc w:val="center"/>
                    <w:rPr>
                      <w:bCs/>
                      <w:snapToGrid w:val="0"/>
                      <w:szCs w:val="20"/>
                    </w:rPr>
                  </w:pPr>
                  <w:r>
                    <w:rPr>
                      <w:bCs/>
                      <w:snapToGrid w:val="0"/>
                      <w:szCs w:val="20"/>
                    </w:rPr>
                    <w:t>合计</w:t>
                  </w:r>
                </w:p>
              </w:tc>
              <w:tc>
                <w:tcPr>
                  <w:tcW w:w="921" w:type="dxa"/>
                  <w:vAlign w:val="center"/>
                </w:tcPr>
                <w:p>
                  <w:pPr>
                    <w:widowControl/>
                    <w:jc w:val="center"/>
                    <w:rPr>
                      <w:bCs/>
                      <w:snapToGrid w:val="0"/>
                      <w:szCs w:val="20"/>
                    </w:rPr>
                  </w:pPr>
                  <w:r>
                    <w:rPr>
                      <w:bCs/>
                      <w:snapToGrid w:val="0"/>
                      <w:szCs w:val="20"/>
                    </w:rPr>
                    <w:t>30万个/a</w:t>
                  </w:r>
                </w:p>
              </w:tc>
              <w:tc>
                <w:tcPr>
                  <w:tcW w:w="921" w:type="dxa"/>
                  <w:vAlign w:val="center"/>
                </w:tcPr>
                <w:p>
                  <w:pPr>
                    <w:widowControl/>
                    <w:jc w:val="center"/>
                    <w:rPr>
                      <w:bCs/>
                      <w:snapToGrid w:val="0"/>
                      <w:szCs w:val="20"/>
                    </w:rPr>
                  </w:pPr>
                  <w:r>
                    <w:rPr>
                      <w:bCs/>
                      <w:snapToGrid w:val="0"/>
                      <w:szCs w:val="20"/>
                    </w:rPr>
                    <w:t>350t/a</w:t>
                  </w:r>
                </w:p>
              </w:tc>
              <w:tc>
                <w:tcPr>
                  <w:tcW w:w="922" w:type="dxa"/>
                  <w:vAlign w:val="center"/>
                </w:tcPr>
                <w:p>
                  <w:pPr>
                    <w:widowControl/>
                    <w:jc w:val="center"/>
                    <w:rPr>
                      <w:bCs/>
                      <w:snapToGrid w:val="0"/>
                      <w:szCs w:val="20"/>
                    </w:rPr>
                  </w:pPr>
                  <w:r>
                    <w:rPr>
                      <w:bCs/>
                      <w:snapToGrid w:val="0"/>
                      <w:szCs w:val="20"/>
                    </w:rPr>
                    <w:t>6万个/a</w:t>
                  </w:r>
                </w:p>
              </w:tc>
              <w:tc>
                <w:tcPr>
                  <w:tcW w:w="921" w:type="dxa"/>
                  <w:vAlign w:val="center"/>
                </w:tcPr>
                <w:p>
                  <w:pPr>
                    <w:widowControl/>
                    <w:jc w:val="center"/>
                    <w:rPr>
                      <w:bCs/>
                      <w:snapToGrid w:val="0"/>
                      <w:szCs w:val="20"/>
                    </w:rPr>
                  </w:pPr>
                  <w:r>
                    <w:rPr>
                      <w:bCs/>
                      <w:snapToGrid w:val="0"/>
                      <w:szCs w:val="20"/>
                    </w:rPr>
                    <w:t>65t/a</w:t>
                  </w:r>
                </w:p>
              </w:tc>
              <w:tc>
                <w:tcPr>
                  <w:tcW w:w="921" w:type="dxa"/>
                  <w:vAlign w:val="center"/>
                </w:tcPr>
                <w:p>
                  <w:pPr>
                    <w:widowControl/>
                    <w:jc w:val="center"/>
                    <w:rPr>
                      <w:bCs/>
                      <w:snapToGrid w:val="0"/>
                      <w:szCs w:val="20"/>
                    </w:rPr>
                  </w:pPr>
                  <w:r>
                    <w:rPr>
                      <w:bCs/>
                      <w:snapToGrid w:val="0"/>
                      <w:szCs w:val="20"/>
                    </w:rPr>
                    <w:t>36万个/a</w:t>
                  </w:r>
                </w:p>
              </w:tc>
              <w:tc>
                <w:tcPr>
                  <w:tcW w:w="922" w:type="dxa"/>
                  <w:vAlign w:val="center"/>
                </w:tcPr>
                <w:p>
                  <w:pPr>
                    <w:widowControl/>
                    <w:jc w:val="center"/>
                    <w:rPr>
                      <w:bCs/>
                      <w:snapToGrid w:val="0"/>
                      <w:szCs w:val="20"/>
                    </w:rPr>
                  </w:pPr>
                  <w:r>
                    <w:rPr>
                      <w:bCs/>
                      <w:snapToGrid w:val="0"/>
                      <w:szCs w:val="20"/>
                    </w:rPr>
                    <w:t>415t/a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25" w:type="dxa"/>
                  <w:gridSpan w:val="9"/>
                  <w:vAlign w:val="center"/>
                </w:tcPr>
                <w:p>
                  <w:pPr>
                    <w:widowControl/>
                    <w:rPr>
                      <w:bCs/>
                      <w:snapToGrid w:val="0"/>
                      <w:szCs w:val="20"/>
                    </w:rPr>
                  </w:pPr>
                  <w:r>
                    <w:rPr>
                      <w:bCs/>
                      <w:snapToGrid w:val="0"/>
                      <w:szCs w:val="20"/>
                    </w:rPr>
                    <w:t>注：根据客户需求更换模具，因尺寸大小不同则重量不同，则每个重量</w:t>
                  </w:r>
                  <w:r>
                    <w:rPr>
                      <w:rFonts w:hint="eastAsia"/>
                      <w:bCs/>
                      <w:snapToGrid w:val="0"/>
                      <w:szCs w:val="20"/>
                      <w:lang w:eastAsia="zh-CN"/>
                    </w:rPr>
                    <w:t>有</w:t>
                  </w:r>
                  <w:r>
                    <w:rPr>
                      <w:bCs/>
                      <w:snapToGrid w:val="0"/>
                      <w:szCs w:val="20"/>
                    </w:rPr>
                    <w:t>所不同，经计算产品总重量为65t。</w:t>
                  </w:r>
                </w:p>
              </w:tc>
            </w:tr>
          </w:tbl>
          <w:p>
            <w:pPr>
              <w:pStyle w:val="10"/>
              <w:spacing w:line="360" w:lineRule="auto"/>
              <w:ind w:firstLine="482" w:firstLineChars="200"/>
              <w:rPr>
                <w:rFonts w:ascii="Times New Roman" w:hAnsi="Times New Roman"/>
                <w:b/>
                <w:sz w:val="24"/>
              </w:rPr>
            </w:pPr>
            <w:r>
              <w:rPr>
                <w:rFonts w:ascii="Times New Roman" w:hAnsi="Times New Roman"/>
                <w:b/>
                <w:sz w:val="24"/>
              </w:rPr>
              <w:t>2.4主要生产设施及参数</w:t>
            </w:r>
          </w:p>
          <w:p>
            <w:pPr>
              <w:spacing w:line="360" w:lineRule="auto"/>
              <w:ind w:firstLine="480" w:firstLineChars="200"/>
              <w:rPr>
                <w:sz w:val="24"/>
              </w:rPr>
            </w:pPr>
            <w:r>
              <w:rPr>
                <w:sz w:val="24"/>
              </w:rPr>
              <w:t>项目主要设备清单见下表。</w:t>
            </w:r>
          </w:p>
          <w:p>
            <w:pPr>
              <w:autoSpaceDE w:val="0"/>
              <w:spacing w:line="360" w:lineRule="auto"/>
              <w:jc w:val="center"/>
              <w:rPr>
                <w:b/>
              </w:rPr>
            </w:pPr>
            <w:r>
              <w:rPr>
                <w:b/>
              </w:rPr>
              <w:t>表2-3  主要设备清单一览表</w:t>
            </w:r>
          </w:p>
          <w:tbl>
            <w:tblPr>
              <w:tblStyle w:val="22"/>
              <w:tblW w:w="80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13"/>
              <w:gridCol w:w="1422"/>
              <w:gridCol w:w="945"/>
              <w:gridCol w:w="1033"/>
              <w:gridCol w:w="1235"/>
              <w:gridCol w:w="13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Align w:val="center"/>
                </w:tcPr>
                <w:p>
                  <w:pPr>
                    <w:adjustRightInd w:val="0"/>
                    <w:snapToGrid w:val="0"/>
                    <w:jc w:val="center"/>
                    <w:rPr>
                      <w:szCs w:val="21"/>
                    </w:rPr>
                  </w:pPr>
                  <w:r>
                    <w:rPr>
                      <w:bCs/>
                      <w:szCs w:val="21"/>
                    </w:rPr>
                    <w:t>序号</w:t>
                  </w:r>
                </w:p>
              </w:tc>
              <w:tc>
                <w:tcPr>
                  <w:tcW w:w="819" w:type="pct"/>
                  <w:vAlign w:val="center"/>
                </w:tcPr>
                <w:p>
                  <w:pPr>
                    <w:adjustRightInd w:val="0"/>
                    <w:snapToGrid w:val="0"/>
                    <w:jc w:val="center"/>
                    <w:rPr>
                      <w:szCs w:val="21"/>
                    </w:rPr>
                  </w:pPr>
                  <w:r>
                    <w:rPr>
                      <w:bCs/>
                      <w:szCs w:val="21"/>
                    </w:rPr>
                    <w:t>设备名称</w:t>
                  </w:r>
                </w:p>
              </w:tc>
              <w:tc>
                <w:tcPr>
                  <w:tcW w:w="888" w:type="pct"/>
                  <w:vAlign w:val="center"/>
                </w:tcPr>
                <w:p>
                  <w:pPr>
                    <w:adjustRightInd w:val="0"/>
                    <w:snapToGrid w:val="0"/>
                    <w:jc w:val="center"/>
                    <w:rPr>
                      <w:szCs w:val="21"/>
                    </w:rPr>
                  </w:pPr>
                  <w:r>
                    <w:rPr>
                      <w:bCs/>
                      <w:szCs w:val="21"/>
                    </w:rPr>
                    <w:t>规格型号</w:t>
                  </w:r>
                </w:p>
              </w:tc>
              <w:tc>
                <w:tcPr>
                  <w:tcW w:w="590" w:type="pct"/>
                  <w:vAlign w:val="center"/>
                </w:tcPr>
                <w:p>
                  <w:pPr>
                    <w:adjustRightInd w:val="0"/>
                    <w:snapToGrid w:val="0"/>
                    <w:jc w:val="center"/>
                    <w:rPr>
                      <w:szCs w:val="21"/>
                    </w:rPr>
                  </w:pPr>
                  <w:r>
                    <w:rPr>
                      <w:szCs w:val="21"/>
                    </w:rPr>
                    <w:t>现有项目数量</w:t>
                  </w:r>
                </w:p>
              </w:tc>
              <w:tc>
                <w:tcPr>
                  <w:tcW w:w="645" w:type="pct"/>
                  <w:vAlign w:val="center"/>
                </w:tcPr>
                <w:p>
                  <w:pPr>
                    <w:adjustRightInd w:val="0"/>
                    <w:snapToGrid w:val="0"/>
                    <w:jc w:val="center"/>
                    <w:rPr>
                      <w:szCs w:val="21"/>
                    </w:rPr>
                  </w:pPr>
                  <w:r>
                    <w:rPr>
                      <w:szCs w:val="21"/>
                    </w:rPr>
                    <w:t>扩建项目数量</w:t>
                  </w:r>
                </w:p>
              </w:tc>
              <w:tc>
                <w:tcPr>
                  <w:tcW w:w="771" w:type="pct"/>
                  <w:vAlign w:val="center"/>
                </w:tcPr>
                <w:p>
                  <w:pPr>
                    <w:adjustRightInd w:val="0"/>
                    <w:snapToGrid w:val="0"/>
                    <w:jc w:val="center"/>
                    <w:rPr>
                      <w:szCs w:val="21"/>
                    </w:rPr>
                  </w:pPr>
                </w:p>
              </w:tc>
              <w:tc>
                <w:tcPr>
                  <w:tcW w:w="815" w:type="pct"/>
                  <w:vAlign w:val="center"/>
                </w:tcPr>
                <w:p>
                  <w:pPr>
                    <w:adjustRightInd w:val="0"/>
                    <w:snapToGrid w:val="0"/>
                    <w:jc w:val="center"/>
                    <w:rPr>
                      <w:bCs/>
                      <w:szCs w:val="21"/>
                    </w:rPr>
                  </w:pPr>
                  <w:r>
                    <w:rPr>
                      <w:bCs/>
                      <w:szCs w:val="21"/>
                    </w:rPr>
                    <w:t>扩建后全厂变化情况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注塑机</w:t>
                  </w:r>
                </w:p>
              </w:tc>
              <w:tc>
                <w:tcPr>
                  <w:tcW w:w="888" w:type="pct"/>
                  <w:vAlign w:val="center"/>
                </w:tcPr>
                <w:p>
                  <w:pPr>
                    <w:adjustRightInd w:val="0"/>
                    <w:snapToGrid w:val="0"/>
                    <w:jc w:val="center"/>
                    <w:rPr>
                      <w:bCs/>
                      <w:kern w:val="21"/>
                      <w:szCs w:val="21"/>
                    </w:rPr>
                  </w:pPr>
                  <w:r>
                    <w:rPr>
                      <w:bCs/>
                      <w:kern w:val="21"/>
                      <w:szCs w:val="21"/>
                    </w:rPr>
                    <w:t>HXM-488，单台处理能力0.8t/d</w:t>
                  </w:r>
                </w:p>
              </w:tc>
              <w:tc>
                <w:tcPr>
                  <w:tcW w:w="590" w:type="pct"/>
                  <w:vAlign w:val="center"/>
                </w:tcPr>
                <w:p>
                  <w:pPr>
                    <w:adjustRightInd w:val="0"/>
                    <w:snapToGrid w:val="0"/>
                    <w:jc w:val="center"/>
                    <w:rPr>
                      <w:bCs/>
                      <w:kern w:val="21"/>
                      <w:szCs w:val="21"/>
                    </w:rPr>
                  </w:pPr>
                  <w:r>
                    <w:rPr>
                      <w:bCs/>
                      <w:kern w:val="21"/>
                      <w:szCs w:val="21"/>
                    </w:rPr>
                    <w:t>1台</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widowControl/>
                    <w:jc w:val="center"/>
                    <w:textAlignment w:val="center"/>
                    <w:rPr>
                      <w:kern w:val="0"/>
                      <w:szCs w:val="21"/>
                      <w:lang w:bidi="ar"/>
                    </w:rPr>
                  </w:pPr>
                  <w:r>
                    <w:rPr>
                      <w:bCs/>
                      <w:kern w:val="21"/>
                      <w:szCs w:val="21"/>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注塑机</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w:t>
                  </w:r>
                </w:p>
              </w:tc>
              <w:tc>
                <w:tcPr>
                  <w:tcW w:w="645" w:type="pct"/>
                  <w:vAlign w:val="center"/>
                </w:tcPr>
                <w:p>
                  <w:pPr>
                    <w:adjustRightInd w:val="0"/>
                    <w:snapToGrid w:val="0"/>
                    <w:jc w:val="center"/>
                    <w:rPr>
                      <w:bCs/>
                      <w:kern w:val="21"/>
                      <w:szCs w:val="21"/>
                    </w:rPr>
                  </w:pPr>
                  <w:r>
                    <w:rPr>
                      <w:bCs/>
                      <w:kern w:val="21"/>
                      <w:szCs w:val="21"/>
                    </w:rPr>
                    <w:t>1台</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螺旋上料机</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1台</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螺旋上料机</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w:t>
                  </w:r>
                </w:p>
              </w:tc>
              <w:tc>
                <w:tcPr>
                  <w:tcW w:w="645" w:type="pct"/>
                  <w:vAlign w:val="center"/>
                </w:tcPr>
                <w:p>
                  <w:pPr>
                    <w:adjustRightInd w:val="0"/>
                    <w:snapToGrid w:val="0"/>
                    <w:jc w:val="center"/>
                    <w:rPr>
                      <w:bCs/>
                      <w:kern w:val="21"/>
                      <w:szCs w:val="21"/>
                    </w:rPr>
                  </w:pPr>
                  <w:r>
                    <w:rPr>
                      <w:bCs/>
                      <w:kern w:val="21"/>
                      <w:szCs w:val="21"/>
                    </w:rPr>
                    <w:t>1台</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冷却塔</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1台</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破碎机</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1台</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二级活性炭吸附装置</w:t>
                  </w:r>
                </w:p>
              </w:tc>
              <w:tc>
                <w:tcPr>
                  <w:tcW w:w="888" w:type="pct"/>
                  <w:vAlign w:val="center"/>
                </w:tcPr>
                <w:p>
                  <w:pPr>
                    <w:adjustRightInd w:val="0"/>
                    <w:snapToGrid w:val="0"/>
                    <w:jc w:val="center"/>
                    <w:rPr>
                      <w:bCs/>
                      <w:kern w:val="21"/>
                      <w:szCs w:val="21"/>
                    </w:rPr>
                  </w:pPr>
                  <w:r>
                    <w:rPr>
                      <w:bCs/>
                      <w:kern w:val="21"/>
                      <w:szCs w:val="21"/>
                    </w:rPr>
                    <w:t>10000m</w:t>
                  </w:r>
                  <w:r>
                    <w:rPr>
                      <w:bCs/>
                      <w:kern w:val="21"/>
                      <w:szCs w:val="21"/>
                      <w:vertAlign w:val="superscript"/>
                    </w:rPr>
                    <w:t>3</w:t>
                  </w:r>
                  <w:r>
                    <w:rPr>
                      <w:bCs/>
                      <w:kern w:val="21"/>
                      <w:szCs w:val="21"/>
                    </w:rPr>
                    <w:t>/h</w:t>
                  </w:r>
                </w:p>
              </w:tc>
              <w:tc>
                <w:tcPr>
                  <w:tcW w:w="590" w:type="pct"/>
                  <w:vAlign w:val="center"/>
                </w:tcPr>
                <w:p>
                  <w:pPr>
                    <w:adjustRightInd w:val="0"/>
                    <w:snapToGrid w:val="0"/>
                    <w:jc w:val="center"/>
                    <w:rPr>
                      <w:bCs/>
                      <w:kern w:val="21"/>
                      <w:szCs w:val="21"/>
                    </w:rPr>
                  </w:pPr>
                  <w:r>
                    <w:rPr>
                      <w:bCs/>
                      <w:kern w:val="21"/>
                      <w:szCs w:val="21"/>
                    </w:rPr>
                    <w:t>1套</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71" w:type="pct"/>
                  <w:vAlign w:val="center"/>
                </w:tcPr>
                <w:p>
                  <w:pPr>
                    <w:pStyle w:val="72"/>
                    <w:numPr>
                      <w:ilvl w:val="0"/>
                      <w:numId w:val="1"/>
                    </w:numPr>
                    <w:spacing w:line="240" w:lineRule="auto"/>
                    <w:rPr>
                      <w:sz w:val="21"/>
                      <w:szCs w:val="21"/>
                    </w:rPr>
                  </w:pPr>
                </w:p>
              </w:tc>
              <w:tc>
                <w:tcPr>
                  <w:tcW w:w="819" w:type="pct"/>
                  <w:vAlign w:val="center"/>
                </w:tcPr>
                <w:p>
                  <w:pPr>
                    <w:adjustRightInd w:val="0"/>
                    <w:snapToGrid w:val="0"/>
                    <w:jc w:val="center"/>
                    <w:rPr>
                      <w:bCs/>
                      <w:kern w:val="21"/>
                      <w:szCs w:val="21"/>
                    </w:rPr>
                  </w:pPr>
                  <w:r>
                    <w:rPr>
                      <w:bCs/>
                      <w:kern w:val="21"/>
                      <w:szCs w:val="21"/>
                    </w:rPr>
                    <w:t>布袋除尘器</w:t>
                  </w:r>
                </w:p>
              </w:tc>
              <w:tc>
                <w:tcPr>
                  <w:tcW w:w="888" w:type="pct"/>
                  <w:vAlign w:val="center"/>
                </w:tcPr>
                <w:p>
                  <w:pPr>
                    <w:adjustRightInd w:val="0"/>
                    <w:snapToGrid w:val="0"/>
                    <w:jc w:val="center"/>
                    <w:rPr>
                      <w:bCs/>
                      <w:kern w:val="21"/>
                      <w:szCs w:val="21"/>
                    </w:rPr>
                  </w:pPr>
                </w:p>
              </w:tc>
              <w:tc>
                <w:tcPr>
                  <w:tcW w:w="590" w:type="pct"/>
                  <w:vAlign w:val="center"/>
                </w:tcPr>
                <w:p>
                  <w:pPr>
                    <w:adjustRightInd w:val="0"/>
                    <w:snapToGrid w:val="0"/>
                    <w:jc w:val="center"/>
                    <w:rPr>
                      <w:bCs/>
                      <w:kern w:val="21"/>
                      <w:szCs w:val="21"/>
                    </w:rPr>
                  </w:pPr>
                  <w:r>
                    <w:rPr>
                      <w:bCs/>
                      <w:kern w:val="21"/>
                      <w:szCs w:val="21"/>
                    </w:rPr>
                    <w:t>1台</w:t>
                  </w:r>
                </w:p>
              </w:tc>
              <w:tc>
                <w:tcPr>
                  <w:tcW w:w="645" w:type="pct"/>
                  <w:vAlign w:val="center"/>
                </w:tcPr>
                <w:p>
                  <w:pPr>
                    <w:adjustRightInd w:val="0"/>
                    <w:snapToGrid w:val="0"/>
                    <w:jc w:val="center"/>
                    <w:rPr>
                      <w:bCs/>
                      <w:kern w:val="21"/>
                      <w:szCs w:val="21"/>
                    </w:rPr>
                  </w:pPr>
                  <w:r>
                    <w:rPr>
                      <w:bCs/>
                      <w:kern w:val="21"/>
                      <w:szCs w:val="21"/>
                    </w:rPr>
                    <w:t>/</w:t>
                  </w:r>
                </w:p>
              </w:tc>
              <w:tc>
                <w:tcPr>
                  <w:tcW w:w="771" w:type="pct"/>
                  <w:vAlign w:val="center"/>
                </w:tcPr>
                <w:p>
                  <w:pPr>
                    <w:widowControl/>
                    <w:jc w:val="center"/>
                    <w:textAlignment w:val="center"/>
                    <w:rPr>
                      <w:kern w:val="0"/>
                      <w:szCs w:val="21"/>
                      <w:lang w:bidi="ar"/>
                    </w:rPr>
                  </w:pPr>
                </w:p>
              </w:tc>
              <w:tc>
                <w:tcPr>
                  <w:tcW w:w="815" w:type="pct"/>
                  <w:vAlign w:val="center"/>
                </w:tcPr>
                <w:p>
                  <w:pPr>
                    <w:adjustRightInd w:val="0"/>
                    <w:snapToGrid w:val="0"/>
                    <w:jc w:val="center"/>
                    <w:rPr>
                      <w:bCs/>
                      <w:kern w:val="21"/>
                      <w:szCs w:val="21"/>
                    </w:rPr>
                  </w:pPr>
                  <w:r>
                    <w:rPr>
                      <w:bCs/>
                      <w:kern w:val="21"/>
                      <w:szCs w:val="21"/>
                    </w:rPr>
                    <w:t>新增</w:t>
                  </w:r>
                </w:p>
              </w:tc>
            </w:tr>
          </w:tbl>
          <w:p>
            <w:pPr>
              <w:pStyle w:val="10"/>
              <w:spacing w:line="360" w:lineRule="auto"/>
              <w:ind w:firstLine="482" w:firstLineChars="200"/>
              <w:rPr>
                <w:rFonts w:ascii="Times New Roman" w:hAnsi="Times New Roman"/>
                <w:b/>
                <w:sz w:val="24"/>
              </w:rPr>
            </w:pPr>
            <w:r>
              <w:rPr>
                <w:rFonts w:ascii="Times New Roman" w:hAnsi="Times New Roman"/>
                <w:b/>
                <w:sz w:val="24"/>
              </w:rPr>
              <w:t>2.5主要原辅材料、燃料</w:t>
            </w:r>
          </w:p>
          <w:p>
            <w:pPr>
              <w:spacing w:line="360" w:lineRule="auto"/>
              <w:ind w:firstLine="480" w:firstLineChars="200"/>
              <w:rPr>
                <w:sz w:val="24"/>
              </w:rPr>
            </w:pPr>
            <w:r>
              <w:rPr>
                <w:sz w:val="24"/>
              </w:rPr>
              <w:t>本项目主要原辅材料年消耗情况见表2-</w:t>
            </w:r>
            <w:r>
              <w:rPr>
                <w:rFonts w:hint="eastAsia"/>
                <w:sz w:val="24"/>
              </w:rPr>
              <w:t>4</w:t>
            </w:r>
            <w:r>
              <w:rPr>
                <w:sz w:val="24"/>
              </w:rPr>
              <w:t>。</w:t>
            </w:r>
          </w:p>
          <w:p>
            <w:pPr>
              <w:autoSpaceDE w:val="0"/>
              <w:spacing w:line="360" w:lineRule="auto"/>
              <w:jc w:val="center"/>
              <w:rPr>
                <w:b/>
              </w:rPr>
            </w:pPr>
            <w:r>
              <w:rPr>
                <w:b/>
              </w:rPr>
              <w:t>表2-</w:t>
            </w:r>
            <w:r>
              <w:rPr>
                <w:rFonts w:hint="eastAsia"/>
                <w:b/>
              </w:rPr>
              <w:t>4</w:t>
            </w:r>
            <w:r>
              <w:rPr>
                <w:b/>
              </w:rPr>
              <w:t xml:space="preserve">  主要原辅材料统计表</w:t>
            </w:r>
          </w:p>
          <w:tbl>
            <w:tblPr>
              <w:tblStyle w:val="22"/>
              <w:tblW w:w="743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4"/>
              <w:gridCol w:w="1226"/>
              <w:gridCol w:w="1266"/>
              <w:gridCol w:w="1261"/>
              <w:gridCol w:w="1395"/>
              <w:gridCol w:w="14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45" w:hRule="atLeast"/>
                <w:jc w:val="center"/>
              </w:trPr>
              <w:tc>
                <w:tcPr>
                  <w:tcW w:w="884" w:type="dxa"/>
                  <w:vAlign w:val="center"/>
                </w:tcPr>
                <w:p>
                  <w:pPr>
                    <w:widowControl/>
                    <w:jc w:val="center"/>
                    <w:rPr>
                      <w:bCs/>
                      <w:snapToGrid w:val="0"/>
                      <w:szCs w:val="20"/>
                    </w:rPr>
                  </w:pPr>
                  <w:r>
                    <w:rPr>
                      <w:bCs/>
                      <w:snapToGrid w:val="0"/>
                      <w:szCs w:val="20"/>
                    </w:rPr>
                    <w:t>序号</w:t>
                  </w:r>
                </w:p>
              </w:tc>
              <w:tc>
                <w:tcPr>
                  <w:tcW w:w="1226" w:type="dxa"/>
                  <w:vAlign w:val="center"/>
                </w:tcPr>
                <w:p>
                  <w:pPr>
                    <w:widowControl/>
                    <w:jc w:val="center"/>
                    <w:rPr>
                      <w:bCs/>
                      <w:snapToGrid w:val="0"/>
                      <w:szCs w:val="20"/>
                    </w:rPr>
                  </w:pPr>
                  <w:r>
                    <w:rPr>
                      <w:bCs/>
                      <w:snapToGrid w:val="0"/>
                      <w:szCs w:val="20"/>
                    </w:rPr>
                    <w:t>名称</w:t>
                  </w:r>
                </w:p>
              </w:tc>
              <w:tc>
                <w:tcPr>
                  <w:tcW w:w="1266" w:type="dxa"/>
                  <w:vAlign w:val="center"/>
                </w:tcPr>
                <w:p>
                  <w:pPr>
                    <w:widowControl/>
                    <w:jc w:val="center"/>
                    <w:rPr>
                      <w:bCs/>
                      <w:snapToGrid w:val="0"/>
                      <w:szCs w:val="20"/>
                    </w:rPr>
                  </w:pPr>
                  <w:r>
                    <w:rPr>
                      <w:bCs/>
                      <w:snapToGrid w:val="0"/>
                      <w:szCs w:val="20"/>
                    </w:rPr>
                    <w:t>年使用量 t</w:t>
                  </w:r>
                </w:p>
              </w:tc>
              <w:tc>
                <w:tcPr>
                  <w:tcW w:w="1261" w:type="dxa"/>
                  <w:vAlign w:val="center"/>
                </w:tcPr>
                <w:p>
                  <w:pPr>
                    <w:widowControl/>
                    <w:jc w:val="center"/>
                    <w:rPr>
                      <w:bCs/>
                      <w:snapToGrid w:val="0"/>
                      <w:szCs w:val="20"/>
                    </w:rPr>
                  </w:pPr>
                  <w:r>
                    <w:rPr>
                      <w:bCs/>
                      <w:snapToGrid w:val="0"/>
                      <w:szCs w:val="20"/>
                    </w:rPr>
                    <w:t>包装形式</w:t>
                  </w:r>
                </w:p>
              </w:tc>
              <w:tc>
                <w:tcPr>
                  <w:tcW w:w="1395" w:type="dxa"/>
                  <w:vAlign w:val="center"/>
                </w:tcPr>
                <w:p>
                  <w:pPr>
                    <w:widowControl/>
                    <w:jc w:val="center"/>
                    <w:rPr>
                      <w:bCs/>
                      <w:snapToGrid w:val="0"/>
                      <w:szCs w:val="20"/>
                    </w:rPr>
                  </w:pPr>
                  <w:r>
                    <w:rPr>
                      <w:bCs/>
                      <w:snapToGrid w:val="0"/>
                      <w:szCs w:val="20"/>
                    </w:rPr>
                    <w:t>存储方式</w:t>
                  </w:r>
                </w:p>
              </w:tc>
              <w:tc>
                <w:tcPr>
                  <w:tcW w:w="1402" w:type="dxa"/>
                  <w:vAlign w:val="center"/>
                </w:tcPr>
                <w:p>
                  <w:pPr>
                    <w:widowControl/>
                    <w:jc w:val="center"/>
                    <w:rPr>
                      <w:bCs/>
                      <w:snapToGrid w:val="0"/>
                      <w:szCs w:val="20"/>
                    </w:rPr>
                  </w:pPr>
                  <w:r>
                    <w:rPr>
                      <w:bCs/>
                      <w:snapToGrid w:val="0"/>
                      <w:szCs w:val="20"/>
                    </w:rPr>
                    <w:t>有毒有害成分</w:t>
                  </w:r>
                </w:p>
                <w:p>
                  <w:pPr>
                    <w:widowControl/>
                    <w:jc w:val="center"/>
                    <w:rPr>
                      <w:bCs/>
                      <w:snapToGrid w:val="0"/>
                      <w:szCs w:val="20"/>
                    </w:rPr>
                  </w:pPr>
                  <w:r>
                    <w:rPr>
                      <w:bCs/>
                      <w:snapToGrid w:val="0"/>
                      <w:szCs w:val="20"/>
                    </w:rPr>
                    <w:t>及占比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884" w:type="dxa"/>
                  <w:vAlign w:val="center"/>
                </w:tcPr>
                <w:p>
                  <w:pPr>
                    <w:widowControl/>
                    <w:jc w:val="center"/>
                    <w:rPr>
                      <w:bCs/>
                      <w:snapToGrid w:val="0"/>
                      <w:szCs w:val="20"/>
                    </w:rPr>
                  </w:pPr>
                  <w:r>
                    <w:rPr>
                      <w:bCs/>
                      <w:snapToGrid w:val="0"/>
                      <w:szCs w:val="20"/>
                    </w:rPr>
                    <w:t>1</w:t>
                  </w:r>
                </w:p>
              </w:tc>
              <w:tc>
                <w:tcPr>
                  <w:tcW w:w="1226" w:type="dxa"/>
                  <w:vAlign w:val="center"/>
                </w:tcPr>
                <w:p>
                  <w:pPr>
                    <w:widowControl/>
                    <w:jc w:val="center"/>
                    <w:rPr>
                      <w:bCs/>
                      <w:snapToGrid w:val="0"/>
                      <w:szCs w:val="20"/>
                    </w:rPr>
                  </w:pPr>
                  <w:r>
                    <w:rPr>
                      <w:bCs/>
                      <w:snapToGrid w:val="0"/>
                      <w:szCs w:val="20"/>
                    </w:rPr>
                    <w:t>聚丙烯塑料</w:t>
                  </w:r>
                </w:p>
                <w:p>
                  <w:pPr>
                    <w:widowControl/>
                    <w:jc w:val="center"/>
                    <w:rPr>
                      <w:bCs/>
                      <w:snapToGrid w:val="0"/>
                      <w:szCs w:val="20"/>
                    </w:rPr>
                  </w:pPr>
                  <w:r>
                    <w:rPr>
                      <w:bCs/>
                      <w:snapToGrid w:val="0"/>
                      <w:szCs w:val="20"/>
                    </w:rPr>
                    <w:t>颗粒</w:t>
                  </w:r>
                </w:p>
              </w:tc>
              <w:tc>
                <w:tcPr>
                  <w:tcW w:w="1266" w:type="dxa"/>
                  <w:vAlign w:val="center"/>
                </w:tcPr>
                <w:p>
                  <w:pPr>
                    <w:widowControl/>
                    <w:jc w:val="center"/>
                    <w:rPr>
                      <w:bCs/>
                      <w:snapToGrid w:val="0"/>
                      <w:szCs w:val="20"/>
                    </w:rPr>
                  </w:pPr>
                  <w:r>
                    <w:rPr>
                      <w:bCs/>
                      <w:snapToGrid w:val="0"/>
                      <w:szCs w:val="20"/>
                    </w:rPr>
                    <w:t>65</w:t>
                  </w:r>
                </w:p>
              </w:tc>
              <w:tc>
                <w:tcPr>
                  <w:tcW w:w="1261" w:type="dxa"/>
                  <w:vAlign w:val="center"/>
                </w:tcPr>
                <w:p>
                  <w:pPr>
                    <w:widowControl/>
                    <w:jc w:val="center"/>
                    <w:rPr>
                      <w:bCs/>
                      <w:snapToGrid w:val="0"/>
                      <w:szCs w:val="20"/>
                    </w:rPr>
                  </w:pPr>
                  <w:r>
                    <w:rPr>
                      <w:bCs/>
                      <w:snapToGrid w:val="0"/>
                      <w:szCs w:val="20"/>
                    </w:rPr>
                    <w:t>颗粒状，袋装</w:t>
                  </w:r>
                </w:p>
              </w:tc>
              <w:tc>
                <w:tcPr>
                  <w:tcW w:w="1395" w:type="dxa"/>
                  <w:vAlign w:val="center"/>
                </w:tcPr>
                <w:p>
                  <w:pPr>
                    <w:widowControl/>
                    <w:jc w:val="center"/>
                    <w:rPr>
                      <w:bCs/>
                      <w:snapToGrid w:val="0"/>
                      <w:szCs w:val="20"/>
                    </w:rPr>
                  </w:pPr>
                  <w:r>
                    <w:rPr>
                      <w:bCs/>
                      <w:snapToGrid w:val="0"/>
                      <w:szCs w:val="20"/>
                    </w:rPr>
                    <w:t>堆放于原料区</w:t>
                  </w:r>
                </w:p>
              </w:tc>
              <w:tc>
                <w:tcPr>
                  <w:tcW w:w="1402" w:type="dxa"/>
                  <w:vAlign w:val="center"/>
                </w:tcPr>
                <w:p>
                  <w:pPr>
                    <w:widowControl/>
                    <w:jc w:val="center"/>
                    <w:rPr>
                      <w:bCs/>
                      <w:snapToGrid w:val="0"/>
                      <w:szCs w:val="20"/>
                    </w:rPr>
                  </w:pPr>
                  <w:r>
                    <w:rPr>
                      <w:bCs/>
                      <w:snapToGrid w:val="0"/>
                      <w:szCs w:val="20"/>
                    </w:rPr>
                    <w:t>无</w:t>
                  </w:r>
                </w:p>
              </w:tc>
            </w:tr>
          </w:tbl>
          <w:p>
            <w:pPr>
              <w:spacing w:line="360" w:lineRule="auto"/>
              <w:ind w:firstLine="480" w:firstLineChars="200"/>
              <w:rPr>
                <w:sz w:val="24"/>
              </w:rPr>
            </w:pPr>
            <w:r>
              <w:rPr>
                <w:sz w:val="24"/>
              </w:rPr>
              <w:t>本项目禁止原料使用废旧再生塑料，均采用聚丙烯塑料颗粒新料，</w:t>
            </w:r>
          </w:p>
          <w:p>
            <w:pPr>
              <w:spacing w:line="360" w:lineRule="auto"/>
              <w:ind w:firstLine="480" w:firstLineChars="200"/>
              <w:rPr>
                <w:sz w:val="24"/>
              </w:rPr>
            </w:pPr>
            <w:r>
              <w:rPr>
                <w:sz w:val="24"/>
              </w:rPr>
              <w:t>产品筐为原色，不添加色母，不使用增塑剂。项目残次品外售不回用。</w:t>
            </w:r>
          </w:p>
          <w:p>
            <w:pPr>
              <w:spacing w:line="360" w:lineRule="auto"/>
              <w:ind w:firstLine="480" w:firstLineChars="200"/>
              <w:rPr>
                <w:sz w:val="24"/>
              </w:rPr>
            </w:pPr>
            <w:r>
              <w:rPr>
                <w:sz w:val="24"/>
              </w:rPr>
              <w:t>聚丙烯：白色、无味、固体，密度为0.91g/cm</w:t>
            </w:r>
            <w:r>
              <w:rPr>
                <w:sz w:val="24"/>
                <w:vertAlign w:val="superscript"/>
              </w:rPr>
              <w:t>3</w:t>
            </w:r>
            <w:r>
              <w:rPr>
                <w:sz w:val="24"/>
              </w:rPr>
              <w:t>。强度高，硬度大，耐磨，耐弯曲疲劳，耐湿和耐化学性均佳。聚丙烯熔点范围为164~170℃。遇高热、明火可燃，无臭，无毒。除能被浓硫酸、浓硝酸侵蚀外，对其它各种化学试剂都比较稳定；但低分子量的脂肪烃、芳香烃和氯化烃等能使聚丙烯软化和溶胀，化学稳定性随结晶度的增加还有所提高，防腐蚀效果良好。</w:t>
            </w:r>
          </w:p>
          <w:p>
            <w:pPr>
              <w:pStyle w:val="10"/>
              <w:spacing w:line="360" w:lineRule="auto"/>
              <w:ind w:firstLine="482" w:firstLineChars="200"/>
              <w:rPr>
                <w:rFonts w:ascii="Times New Roman" w:hAnsi="Times New Roman"/>
                <w:b/>
                <w:sz w:val="24"/>
              </w:rPr>
            </w:pPr>
            <w:r>
              <w:rPr>
                <w:rFonts w:ascii="Times New Roman" w:hAnsi="Times New Roman"/>
                <w:b/>
                <w:sz w:val="24"/>
              </w:rPr>
              <w:t>2.6工作制度及劳动定员</w:t>
            </w:r>
          </w:p>
          <w:p>
            <w:pPr>
              <w:spacing w:line="360" w:lineRule="auto"/>
              <w:ind w:firstLine="480" w:firstLineChars="200"/>
              <w:rPr>
                <w:sz w:val="24"/>
                <w:szCs w:val="28"/>
              </w:rPr>
            </w:pPr>
            <w:r>
              <w:rPr>
                <w:sz w:val="24"/>
                <w:szCs w:val="28"/>
              </w:rPr>
              <w:t>本项目新增劳动定员5人，原有劳动人员15人，扩建后全厂劳动定员共有20人；全年工作210天，每天8小时，年工作1680h。</w:t>
            </w:r>
          </w:p>
          <w:p>
            <w:pPr>
              <w:spacing w:line="360" w:lineRule="auto"/>
              <w:ind w:firstLine="482" w:firstLineChars="200"/>
              <w:rPr>
                <w:b/>
                <w:bCs/>
                <w:sz w:val="24"/>
              </w:rPr>
            </w:pPr>
            <w:r>
              <w:rPr>
                <w:b/>
                <w:bCs/>
                <w:sz w:val="24"/>
              </w:rPr>
              <w:t>2.7总平面布置</w:t>
            </w:r>
          </w:p>
          <w:p>
            <w:pPr>
              <w:spacing w:line="360" w:lineRule="auto"/>
              <w:ind w:firstLine="480" w:firstLineChars="200"/>
              <w:rPr>
                <w:bCs/>
                <w:sz w:val="24"/>
              </w:rPr>
            </w:pPr>
            <w:r>
              <w:rPr>
                <w:bCs/>
                <w:sz w:val="24"/>
              </w:rPr>
              <w:t>厂区大门位于西南侧，成品库位于厂区北侧，成品库南侧为生产车间，成品库东侧为危废间和循环冷却水池，生产车间西侧为办公区。车间内根据生产工序进行布置，布局较合理。</w:t>
            </w:r>
          </w:p>
          <w:p>
            <w:pPr>
              <w:spacing w:line="360" w:lineRule="auto"/>
              <w:ind w:firstLine="480" w:firstLineChars="200"/>
              <w:rPr>
                <w:b/>
                <w:bCs/>
                <w:sz w:val="24"/>
              </w:rPr>
            </w:pPr>
            <w:r>
              <w:rPr>
                <w:bCs/>
                <w:sz w:val="24"/>
              </w:rPr>
              <w:t>项目四邻关系见附图2；项目总平面布置见附图3。</w:t>
            </w:r>
          </w:p>
          <w:p>
            <w:pPr>
              <w:spacing w:line="360" w:lineRule="auto"/>
              <w:ind w:firstLine="482" w:firstLineChars="200"/>
              <w:rPr>
                <w:b/>
                <w:bCs/>
                <w:sz w:val="24"/>
              </w:rPr>
            </w:pPr>
            <w:r>
              <w:rPr>
                <w:b/>
                <w:bCs/>
                <w:sz w:val="24"/>
              </w:rPr>
              <w:t>2.8公辅工程</w:t>
            </w:r>
          </w:p>
          <w:p>
            <w:pPr>
              <w:pStyle w:val="10"/>
              <w:spacing w:line="360" w:lineRule="auto"/>
              <w:ind w:firstLine="482" w:firstLineChars="200"/>
              <w:rPr>
                <w:rFonts w:ascii="Times New Roman" w:hAnsi="Times New Roman"/>
                <w:b/>
                <w:sz w:val="24"/>
              </w:rPr>
            </w:pPr>
            <w:r>
              <w:rPr>
                <w:rFonts w:ascii="Times New Roman" w:hAnsi="Times New Roman"/>
                <w:b/>
                <w:sz w:val="24"/>
              </w:rPr>
              <w:t>2.8.1给排水分析</w:t>
            </w:r>
          </w:p>
          <w:p>
            <w:pPr>
              <w:spacing w:line="520" w:lineRule="exact"/>
              <w:ind w:firstLine="480" w:firstLineChars="200"/>
              <w:rPr>
                <w:bCs/>
                <w:sz w:val="24"/>
              </w:rPr>
            </w:pPr>
            <w:r>
              <w:rPr>
                <w:bCs/>
                <w:sz w:val="24"/>
              </w:rPr>
              <w:t>(1)给水</w:t>
            </w:r>
          </w:p>
          <w:p>
            <w:pPr>
              <w:spacing w:line="520" w:lineRule="exact"/>
              <w:ind w:firstLine="480" w:firstLineChars="200"/>
              <w:rPr>
                <w:bCs/>
                <w:sz w:val="24"/>
              </w:rPr>
            </w:pPr>
            <w:r>
              <w:rPr>
                <w:bCs/>
                <w:sz w:val="24"/>
              </w:rPr>
              <w:t>本项目用水由</w:t>
            </w:r>
            <w:r>
              <w:rPr>
                <w:rFonts w:hint="eastAsia"/>
                <w:bCs/>
                <w:sz w:val="24"/>
              </w:rPr>
              <w:t>现有厂区内水井</w:t>
            </w:r>
            <w:r>
              <w:rPr>
                <w:bCs/>
                <w:sz w:val="24"/>
              </w:rPr>
              <w:t>供给，主要用水环节为职工生活用水和生产用水，新鲜用水量为</w:t>
            </w:r>
            <w:r>
              <w:rPr>
                <w:rFonts w:hint="eastAsia"/>
                <w:bCs/>
                <w:sz w:val="24"/>
              </w:rPr>
              <w:t>0.6</w:t>
            </w:r>
            <w:r>
              <w:rPr>
                <w:bCs/>
                <w:sz w:val="24"/>
              </w:rPr>
              <w:t>m</w:t>
            </w:r>
            <w:r>
              <w:rPr>
                <w:bCs/>
                <w:sz w:val="24"/>
                <w:vertAlign w:val="superscript"/>
              </w:rPr>
              <w:t>3</w:t>
            </w:r>
            <w:r>
              <w:rPr>
                <w:bCs/>
                <w:sz w:val="24"/>
              </w:rPr>
              <w:t>/d（</w:t>
            </w:r>
            <w:r>
              <w:rPr>
                <w:rFonts w:hint="eastAsia"/>
                <w:bCs/>
                <w:sz w:val="24"/>
              </w:rPr>
              <w:t>126.0</w:t>
            </w:r>
            <w:r>
              <w:rPr>
                <w:bCs/>
                <w:sz w:val="24"/>
              </w:rPr>
              <w:t>m</w:t>
            </w:r>
            <w:r>
              <w:rPr>
                <w:bCs/>
                <w:sz w:val="24"/>
                <w:vertAlign w:val="superscript"/>
              </w:rPr>
              <w:t>3</w:t>
            </w:r>
            <w:r>
              <w:rPr>
                <w:bCs/>
                <w:sz w:val="24"/>
              </w:rPr>
              <w:t>/a）。</w:t>
            </w:r>
          </w:p>
          <w:p>
            <w:pPr>
              <w:spacing w:line="520" w:lineRule="exact"/>
              <w:ind w:firstLine="480"/>
              <w:rPr>
                <w:bCs/>
                <w:sz w:val="24"/>
              </w:rPr>
            </w:pPr>
            <w:r>
              <w:rPr>
                <w:rFonts w:ascii="Cambria Math" w:hAnsi="Cambria Math" w:cs="Cambria Math"/>
                <w:bCs/>
                <w:sz w:val="24"/>
              </w:rPr>
              <w:t>①</w:t>
            </w:r>
            <w:r>
              <w:rPr>
                <w:bCs/>
                <w:sz w:val="24"/>
              </w:rPr>
              <w:t>循环水补水</w:t>
            </w:r>
          </w:p>
          <w:p>
            <w:pPr>
              <w:spacing w:line="520" w:lineRule="exact"/>
              <w:ind w:firstLine="480" w:firstLineChars="200"/>
              <w:rPr>
                <w:bCs/>
                <w:sz w:val="24"/>
              </w:rPr>
            </w:pPr>
            <w:r>
              <w:rPr>
                <w:bCs/>
                <w:sz w:val="24"/>
              </w:rPr>
              <w:t>生产过程中，注塑机模具循环冷却水按1.5m</w:t>
            </w:r>
            <w:r>
              <w:rPr>
                <w:bCs/>
                <w:sz w:val="24"/>
                <w:vertAlign w:val="superscript"/>
              </w:rPr>
              <w:t>3</w:t>
            </w:r>
            <w:r>
              <w:rPr>
                <w:bCs/>
                <w:sz w:val="24"/>
              </w:rPr>
              <w:t>/h计算，共</w:t>
            </w:r>
            <w:r>
              <w:rPr>
                <w:rFonts w:hint="eastAsia"/>
                <w:bCs/>
                <w:sz w:val="24"/>
              </w:rPr>
              <w:t>新增</w:t>
            </w:r>
            <w:r>
              <w:rPr>
                <w:bCs/>
                <w:sz w:val="24"/>
              </w:rPr>
              <w:t>1台注塑机，运行时间为</w:t>
            </w:r>
            <w:r>
              <w:rPr>
                <w:rFonts w:hint="eastAsia"/>
                <w:bCs/>
                <w:sz w:val="24"/>
              </w:rPr>
              <w:t>8</w:t>
            </w:r>
            <w:r>
              <w:rPr>
                <w:bCs/>
                <w:sz w:val="24"/>
              </w:rPr>
              <w:t>h/d，因此循环用水量为</w:t>
            </w:r>
            <w:r>
              <w:rPr>
                <w:rFonts w:hint="eastAsia"/>
                <w:bCs/>
                <w:sz w:val="24"/>
              </w:rPr>
              <w:t>12</w:t>
            </w:r>
            <w:r>
              <w:rPr>
                <w:bCs/>
                <w:sz w:val="24"/>
              </w:rPr>
              <w:t>m</w:t>
            </w:r>
            <w:r>
              <w:rPr>
                <w:bCs/>
                <w:sz w:val="24"/>
                <w:vertAlign w:val="superscript"/>
              </w:rPr>
              <w:t>3</w:t>
            </w:r>
            <w:r>
              <w:rPr>
                <w:bCs/>
                <w:sz w:val="24"/>
              </w:rPr>
              <w:t>/d。循环水池的水因蒸发及损耗需要每天进行补水，补水量约为循环水量的2.5%，则补水量为</w:t>
            </w:r>
            <w:r>
              <w:rPr>
                <w:rFonts w:hint="eastAsia"/>
                <w:bCs/>
                <w:sz w:val="24"/>
              </w:rPr>
              <w:t>0.3</w:t>
            </w:r>
            <w:r>
              <w:rPr>
                <w:bCs/>
                <w:sz w:val="24"/>
              </w:rPr>
              <w:t>m</w:t>
            </w:r>
            <w:r>
              <w:rPr>
                <w:bCs/>
                <w:sz w:val="24"/>
                <w:vertAlign w:val="superscript"/>
              </w:rPr>
              <w:t>3</w:t>
            </w:r>
            <w:r>
              <w:rPr>
                <w:bCs/>
                <w:sz w:val="24"/>
              </w:rPr>
              <w:t>/d，无废水外排。</w:t>
            </w:r>
          </w:p>
          <w:p>
            <w:pPr>
              <w:spacing w:line="520" w:lineRule="exact"/>
              <w:ind w:firstLine="480" w:firstLineChars="200"/>
              <w:rPr>
                <w:bCs/>
                <w:sz w:val="24"/>
              </w:rPr>
            </w:pPr>
            <w:r>
              <w:rPr>
                <w:rFonts w:ascii="Cambria Math" w:hAnsi="Cambria Math" w:cs="Cambria Math"/>
                <w:bCs/>
                <w:sz w:val="24"/>
              </w:rPr>
              <w:t>②</w:t>
            </w:r>
            <w:r>
              <w:rPr>
                <w:bCs/>
                <w:sz w:val="24"/>
              </w:rPr>
              <w:t>职工生活用水</w:t>
            </w:r>
          </w:p>
          <w:p>
            <w:pPr>
              <w:spacing w:line="520" w:lineRule="exact"/>
              <w:ind w:firstLine="480" w:firstLineChars="200"/>
              <w:rPr>
                <w:bCs/>
                <w:sz w:val="24"/>
              </w:rPr>
            </w:pPr>
            <w:r>
              <w:rPr>
                <w:bCs/>
                <w:sz w:val="24"/>
              </w:rPr>
              <w:t>本项目</w:t>
            </w:r>
            <w:r>
              <w:rPr>
                <w:rFonts w:hint="eastAsia"/>
                <w:bCs/>
                <w:sz w:val="24"/>
              </w:rPr>
              <w:t>新增</w:t>
            </w:r>
            <w:r>
              <w:rPr>
                <w:bCs/>
                <w:sz w:val="24"/>
              </w:rPr>
              <w:t>劳动定员</w:t>
            </w:r>
            <w:r>
              <w:rPr>
                <w:rFonts w:hint="eastAsia"/>
                <w:bCs/>
                <w:sz w:val="24"/>
              </w:rPr>
              <w:t>5</w:t>
            </w:r>
            <w:r>
              <w:rPr>
                <w:bCs/>
                <w:sz w:val="24"/>
              </w:rPr>
              <w:t>人，用水定额取60L/人•d，则职工生活用水量为</w:t>
            </w:r>
            <w:r>
              <w:rPr>
                <w:rFonts w:hint="eastAsia"/>
                <w:bCs/>
                <w:sz w:val="24"/>
              </w:rPr>
              <w:t>0.3</w:t>
            </w:r>
            <w:r>
              <w:rPr>
                <w:bCs/>
                <w:sz w:val="24"/>
              </w:rPr>
              <w:t>m</w:t>
            </w:r>
            <w:r>
              <w:rPr>
                <w:bCs/>
                <w:sz w:val="24"/>
                <w:vertAlign w:val="superscript"/>
              </w:rPr>
              <w:t>3</w:t>
            </w:r>
            <w:r>
              <w:rPr>
                <w:bCs/>
                <w:sz w:val="24"/>
              </w:rPr>
              <w:t>/d（合</w:t>
            </w:r>
            <w:r>
              <w:rPr>
                <w:rFonts w:hint="eastAsia"/>
                <w:bCs/>
                <w:sz w:val="24"/>
              </w:rPr>
              <w:t>63.0</w:t>
            </w:r>
            <w:r>
              <w:rPr>
                <w:bCs/>
                <w:sz w:val="24"/>
              </w:rPr>
              <w:t>m</w:t>
            </w:r>
            <w:r>
              <w:rPr>
                <w:bCs/>
                <w:sz w:val="24"/>
                <w:vertAlign w:val="superscript"/>
              </w:rPr>
              <w:t>3</w:t>
            </w:r>
            <w:r>
              <w:rPr>
                <w:bCs/>
                <w:sz w:val="24"/>
              </w:rPr>
              <w:t>/a），污水排放量按用水量的80%计，则污水产生量为0.</w:t>
            </w:r>
            <w:r>
              <w:rPr>
                <w:rFonts w:hint="eastAsia"/>
                <w:bCs/>
                <w:sz w:val="24"/>
              </w:rPr>
              <w:t>24</w:t>
            </w:r>
            <w:r>
              <w:rPr>
                <w:bCs/>
                <w:sz w:val="24"/>
              </w:rPr>
              <w:t>m</w:t>
            </w:r>
            <w:r>
              <w:rPr>
                <w:bCs/>
                <w:sz w:val="24"/>
                <w:vertAlign w:val="superscript"/>
              </w:rPr>
              <w:t>3</w:t>
            </w:r>
            <w:r>
              <w:rPr>
                <w:bCs/>
                <w:sz w:val="24"/>
              </w:rPr>
              <w:t>/d（</w:t>
            </w:r>
            <w:r>
              <w:rPr>
                <w:rFonts w:hint="eastAsia"/>
                <w:bCs/>
                <w:sz w:val="24"/>
              </w:rPr>
              <w:t>50.4</w:t>
            </w:r>
            <w:r>
              <w:rPr>
                <w:bCs/>
                <w:sz w:val="24"/>
              </w:rPr>
              <w:t>m</w:t>
            </w:r>
            <w:r>
              <w:rPr>
                <w:bCs/>
                <w:sz w:val="24"/>
                <w:vertAlign w:val="superscript"/>
              </w:rPr>
              <w:t>3</w:t>
            </w:r>
            <w:r>
              <w:rPr>
                <w:bCs/>
                <w:sz w:val="24"/>
              </w:rPr>
              <w:t>/a）。</w:t>
            </w:r>
          </w:p>
          <w:p>
            <w:pPr>
              <w:spacing w:line="520" w:lineRule="exact"/>
              <w:ind w:firstLine="480" w:firstLineChars="200"/>
              <w:rPr>
                <w:bCs/>
                <w:sz w:val="24"/>
              </w:rPr>
            </w:pPr>
            <w:r>
              <w:rPr>
                <w:bCs/>
                <w:sz w:val="24"/>
              </w:rPr>
              <w:t>(2)排水</w:t>
            </w:r>
          </w:p>
          <w:p>
            <w:pPr>
              <w:spacing w:line="520" w:lineRule="exact"/>
              <w:ind w:firstLine="480" w:firstLineChars="200"/>
              <w:rPr>
                <w:bCs/>
                <w:sz w:val="24"/>
              </w:rPr>
            </w:pPr>
            <w:r>
              <w:rPr>
                <w:bCs/>
                <w:sz w:val="24"/>
              </w:rPr>
              <w:t>本项目无生产废水</w:t>
            </w:r>
            <w:r>
              <w:rPr>
                <w:rFonts w:hint="eastAsia"/>
                <w:bCs/>
                <w:sz w:val="24"/>
              </w:rPr>
              <w:t>排放</w:t>
            </w:r>
            <w:r>
              <w:rPr>
                <w:bCs/>
                <w:sz w:val="24"/>
              </w:rPr>
              <w:t>，</w:t>
            </w:r>
            <w:r>
              <w:rPr>
                <w:rFonts w:hint="eastAsia"/>
                <w:bCs/>
                <w:sz w:val="24"/>
              </w:rPr>
              <w:t>冷却水循环使用不外排；</w:t>
            </w:r>
            <w:r>
              <w:rPr>
                <w:bCs/>
                <w:sz w:val="24"/>
              </w:rPr>
              <w:t>产生的污水主要为职工办公</w:t>
            </w:r>
            <w:r>
              <w:rPr>
                <w:rFonts w:hint="eastAsia"/>
                <w:bCs/>
                <w:sz w:val="24"/>
              </w:rPr>
              <w:t>生活</w:t>
            </w:r>
            <w:r>
              <w:rPr>
                <w:bCs/>
                <w:sz w:val="24"/>
              </w:rPr>
              <w:t>污水，废水产生量为</w:t>
            </w:r>
            <w:r>
              <w:rPr>
                <w:rFonts w:hint="eastAsia"/>
                <w:bCs/>
                <w:sz w:val="24"/>
              </w:rPr>
              <w:t>0.24</w:t>
            </w:r>
            <w:r>
              <w:rPr>
                <w:bCs/>
                <w:sz w:val="24"/>
              </w:rPr>
              <w:t>m</w:t>
            </w:r>
            <w:r>
              <w:rPr>
                <w:bCs/>
                <w:sz w:val="24"/>
                <w:vertAlign w:val="superscript"/>
              </w:rPr>
              <w:t>3</w:t>
            </w:r>
            <w:r>
              <w:rPr>
                <w:bCs/>
                <w:sz w:val="24"/>
              </w:rPr>
              <w:t>/d（</w:t>
            </w:r>
            <w:r>
              <w:rPr>
                <w:rFonts w:hint="eastAsia"/>
                <w:bCs/>
                <w:sz w:val="24"/>
              </w:rPr>
              <w:t>50.4</w:t>
            </w:r>
            <w:r>
              <w:rPr>
                <w:bCs/>
                <w:sz w:val="24"/>
              </w:rPr>
              <w:t>m</w:t>
            </w:r>
            <w:r>
              <w:rPr>
                <w:bCs/>
                <w:sz w:val="24"/>
                <w:vertAlign w:val="superscript"/>
              </w:rPr>
              <w:t>3</w:t>
            </w:r>
            <w:r>
              <w:rPr>
                <w:bCs/>
                <w:sz w:val="24"/>
              </w:rPr>
              <w:t>/a），生活污水用于厂区洒水抑尘，不外排。</w:t>
            </w:r>
          </w:p>
          <w:p>
            <w:pPr>
              <w:spacing w:line="520" w:lineRule="exact"/>
              <w:ind w:firstLine="480" w:firstLineChars="200"/>
              <w:rPr>
                <w:bCs/>
                <w:sz w:val="24"/>
              </w:rPr>
            </w:pPr>
            <w:r>
              <w:rPr>
                <w:bCs/>
                <w:sz w:val="24"/>
              </w:rPr>
              <w:t>项目用、排水量见下表</w:t>
            </w:r>
            <w:r>
              <w:rPr>
                <w:rFonts w:hint="eastAsia"/>
                <w:bCs/>
                <w:sz w:val="24"/>
              </w:rPr>
              <w:t>2-5</w:t>
            </w:r>
            <w:r>
              <w:rPr>
                <w:bCs/>
                <w:sz w:val="24"/>
              </w:rPr>
              <w:t>，项目水平衡图见图1。</w:t>
            </w:r>
          </w:p>
          <w:p>
            <w:pPr>
              <w:autoSpaceDE w:val="0"/>
              <w:spacing w:line="360" w:lineRule="auto"/>
              <w:jc w:val="center"/>
              <w:rPr>
                <w:b/>
              </w:rPr>
            </w:pPr>
            <w:r>
              <w:rPr>
                <w:b/>
              </w:rPr>
              <w:t>表</w:t>
            </w:r>
            <w:r>
              <w:rPr>
                <w:rFonts w:hint="eastAsia"/>
                <w:b/>
              </w:rPr>
              <w:t>2-5</w:t>
            </w:r>
            <w:r>
              <w:rPr>
                <w:b/>
              </w:rPr>
              <w:t xml:space="preserve">  项目用、排水情况一览表</w:t>
            </w:r>
          </w:p>
          <w:tbl>
            <w:tblPr>
              <w:tblStyle w:val="22"/>
              <w:tblW w:w="8067"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29"/>
              <w:gridCol w:w="1428"/>
              <w:gridCol w:w="917"/>
              <w:gridCol w:w="1133"/>
              <w:gridCol w:w="1089"/>
              <w:gridCol w:w="217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97" w:hRule="atLeast"/>
                <w:jc w:val="center"/>
              </w:trPr>
              <w:tc>
                <w:tcPr>
                  <w:tcW w:w="1329" w:type="dxa"/>
                  <w:vAlign w:val="center"/>
                </w:tcPr>
                <w:p>
                  <w:pPr>
                    <w:widowControl/>
                    <w:jc w:val="center"/>
                    <w:rPr>
                      <w:kern w:val="0"/>
                      <w:szCs w:val="21"/>
                    </w:rPr>
                  </w:pPr>
                  <w:r>
                    <w:rPr>
                      <w:kern w:val="0"/>
                      <w:szCs w:val="21"/>
                    </w:rPr>
                    <w:t>名称</w:t>
                  </w:r>
                </w:p>
              </w:tc>
              <w:tc>
                <w:tcPr>
                  <w:tcW w:w="1428" w:type="dxa"/>
                  <w:vAlign w:val="center"/>
                </w:tcPr>
                <w:p>
                  <w:pPr>
                    <w:widowControl/>
                    <w:jc w:val="center"/>
                    <w:rPr>
                      <w:kern w:val="0"/>
                      <w:szCs w:val="21"/>
                    </w:rPr>
                  </w:pPr>
                  <w:r>
                    <w:rPr>
                      <w:kern w:val="0"/>
                      <w:szCs w:val="21"/>
                    </w:rPr>
                    <w:t>用水定额</w:t>
                  </w:r>
                </w:p>
              </w:tc>
              <w:tc>
                <w:tcPr>
                  <w:tcW w:w="917" w:type="dxa"/>
                  <w:vAlign w:val="center"/>
                </w:tcPr>
                <w:p>
                  <w:pPr>
                    <w:widowControl/>
                    <w:jc w:val="center"/>
                    <w:rPr>
                      <w:kern w:val="0"/>
                      <w:szCs w:val="21"/>
                    </w:rPr>
                  </w:pPr>
                  <w:r>
                    <w:rPr>
                      <w:kern w:val="0"/>
                      <w:szCs w:val="21"/>
                    </w:rPr>
                    <w:t>规模</w:t>
                  </w:r>
                </w:p>
              </w:tc>
              <w:tc>
                <w:tcPr>
                  <w:tcW w:w="1133" w:type="dxa"/>
                  <w:vAlign w:val="center"/>
                </w:tcPr>
                <w:p>
                  <w:pPr>
                    <w:widowControl/>
                    <w:jc w:val="center"/>
                    <w:rPr>
                      <w:kern w:val="0"/>
                      <w:szCs w:val="21"/>
                    </w:rPr>
                  </w:pPr>
                  <w:r>
                    <w:rPr>
                      <w:kern w:val="0"/>
                      <w:szCs w:val="21"/>
                    </w:rPr>
                    <w:t>用水总量</w:t>
                  </w:r>
                </w:p>
              </w:tc>
              <w:tc>
                <w:tcPr>
                  <w:tcW w:w="1089" w:type="dxa"/>
                  <w:vAlign w:val="center"/>
                </w:tcPr>
                <w:p>
                  <w:pPr>
                    <w:widowControl/>
                    <w:jc w:val="center"/>
                    <w:rPr>
                      <w:kern w:val="0"/>
                      <w:szCs w:val="21"/>
                    </w:rPr>
                  </w:pPr>
                  <w:r>
                    <w:rPr>
                      <w:kern w:val="0"/>
                      <w:szCs w:val="21"/>
                    </w:rPr>
                    <w:t>排水总量</w:t>
                  </w:r>
                </w:p>
              </w:tc>
              <w:tc>
                <w:tcPr>
                  <w:tcW w:w="2171" w:type="dxa"/>
                  <w:vAlign w:val="center"/>
                </w:tcPr>
                <w:p>
                  <w:pPr>
                    <w:widowControl/>
                    <w:jc w:val="center"/>
                    <w:rPr>
                      <w:kern w:val="0"/>
                      <w:szCs w:val="21"/>
                    </w:rPr>
                  </w:pPr>
                  <w:r>
                    <w:rPr>
                      <w:kern w:val="0"/>
                      <w:szCs w:val="21"/>
                    </w:rPr>
                    <w:t>备注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29" w:type="dxa"/>
                  <w:vAlign w:val="center"/>
                </w:tcPr>
                <w:p>
                  <w:pPr>
                    <w:widowControl/>
                    <w:jc w:val="center"/>
                    <w:rPr>
                      <w:kern w:val="0"/>
                      <w:szCs w:val="21"/>
                    </w:rPr>
                  </w:pPr>
                  <w:r>
                    <w:rPr>
                      <w:kern w:val="0"/>
                      <w:szCs w:val="21"/>
                    </w:rPr>
                    <w:t>循环补充水</w:t>
                  </w:r>
                </w:p>
              </w:tc>
              <w:tc>
                <w:tcPr>
                  <w:tcW w:w="1428" w:type="dxa"/>
                  <w:vAlign w:val="center"/>
                </w:tcPr>
                <w:p>
                  <w:pPr>
                    <w:widowControl/>
                    <w:jc w:val="center"/>
                    <w:rPr>
                      <w:kern w:val="0"/>
                      <w:szCs w:val="21"/>
                    </w:rPr>
                  </w:pPr>
                  <w:r>
                    <w:rPr>
                      <w:kern w:val="0"/>
                      <w:szCs w:val="21"/>
                    </w:rPr>
                    <w:t>/</w:t>
                  </w:r>
                </w:p>
              </w:tc>
              <w:tc>
                <w:tcPr>
                  <w:tcW w:w="917" w:type="dxa"/>
                  <w:vAlign w:val="center"/>
                </w:tcPr>
                <w:p>
                  <w:pPr>
                    <w:widowControl/>
                    <w:jc w:val="center"/>
                    <w:rPr>
                      <w:kern w:val="0"/>
                      <w:szCs w:val="21"/>
                    </w:rPr>
                  </w:pPr>
                  <w:r>
                    <w:rPr>
                      <w:kern w:val="0"/>
                      <w:szCs w:val="21"/>
                    </w:rPr>
                    <w:t>/</w:t>
                  </w:r>
                </w:p>
              </w:tc>
              <w:tc>
                <w:tcPr>
                  <w:tcW w:w="1133" w:type="dxa"/>
                  <w:vAlign w:val="center"/>
                </w:tcPr>
                <w:p>
                  <w:pPr>
                    <w:widowControl/>
                    <w:jc w:val="center"/>
                    <w:rPr>
                      <w:kern w:val="0"/>
                      <w:szCs w:val="21"/>
                    </w:rPr>
                  </w:pPr>
                  <w:r>
                    <w:rPr>
                      <w:rFonts w:hint="eastAsia"/>
                      <w:kern w:val="0"/>
                      <w:szCs w:val="21"/>
                    </w:rPr>
                    <w:t>0.3</w:t>
                  </w:r>
                  <w:r>
                    <w:rPr>
                      <w:kern w:val="0"/>
                      <w:szCs w:val="21"/>
                    </w:rPr>
                    <w:t>m</w:t>
                  </w:r>
                  <w:r>
                    <w:rPr>
                      <w:kern w:val="0"/>
                      <w:szCs w:val="21"/>
                      <w:vertAlign w:val="superscript"/>
                    </w:rPr>
                    <w:t>3</w:t>
                  </w:r>
                  <w:r>
                    <w:rPr>
                      <w:kern w:val="0"/>
                      <w:szCs w:val="21"/>
                    </w:rPr>
                    <w:t>/d</w:t>
                  </w:r>
                </w:p>
              </w:tc>
              <w:tc>
                <w:tcPr>
                  <w:tcW w:w="1089" w:type="dxa"/>
                  <w:vAlign w:val="center"/>
                </w:tcPr>
                <w:p>
                  <w:pPr>
                    <w:widowControl/>
                    <w:jc w:val="center"/>
                    <w:rPr>
                      <w:kern w:val="0"/>
                      <w:szCs w:val="21"/>
                    </w:rPr>
                  </w:pPr>
                  <w:r>
                    <w:rPr>
                      <w:kern w:val="0"/>
                      <w:szCs w:val="21"/>
                    </w:rPr>
                    <w:t>0</w:t>
                  </w:r>
                </w:p>
              </w:tc>
              <w:tc>
                <w:tcPr>
                  <w:tcW w:w="2171" w:type="dxa"/>
                  <w:vAlign w:val="center"/>
                </w:tcPr>
                <w:p>
                  <w:pPr>
                    <w:widowControl/>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97" w:hRule="atLeast"/>
                <w:jc w:val="center"/>
              </w:trPr>
              <w:tc>
                <w:tcPr>
                  <w:tcW w:w="1329" w:type="dxa"/>
                  <w:vAlign w:val="center"/>
                </w:tcPr>
                <w:p>
                  <w:pPr>
                    <w:widowControl/>
                    <w:jc w:val="center"/>
                    <w:rPr>
                      <w:kern w:val="0"/>
                      <w:szCs w:val="21"/>
                    </w:rPr>
                  </w:pPr>
                  <w:bookmarkStart w:id="5" w:name="OLE_LINK1"/>
                  <w:r>
                    <w:rPr>
                      <w:kern w:val="0"/>
                      <w:szCs w:val="21"/>
                    </w:rPr>
                    <w:t>生活用水</w:t>
                  </w:r>
                  <w:bookmarkEnd w:id="5"/>
                </w:p>
              </w:tc>
              <w:tc>
                <w:tcPr>
                  <w:tcW w:w="1428" w:type="dxa"/>
                  <w:vAlign w:val="center"/>
                </w:tcPr>
                <w:p>
                  <w:pPr>
                    <w:widowControl/>
                    <w:jc w:val="center"/>
                    <w:rPr>
                      <w:kern w:val="0"/>
                      <w:szCs w:val="21"/>
                    </w:rPr>
                  </w:pPr>
                  <w:r>
                    <w:rPr>
                      <w:kern w:val="0"/>
                      <w:szCs w:val="21"/>
                    </w:rPr>
                    <w:t>60L/人•班</w:t>
                  </w:r>
                </w:p>
              </w:tc>
              <w:tc>
                <w:tcPr>
                  <w:tcW w:w="917" w:type="dxa"/>
                  <w:vAlign w:val="center"/>
                </w:tcPr>
                <w:p>
                  <w:pPr>
                    <w:widowControl/>
                    <w:jc w:val="center"/>
                    <w:rPr>
                      <w:kern w:val="0"/>
                      <w:szCs w:val="21"/>
                    </w:rPr>
                  </w:pPr>
                  <w:r>
                    <w:rPr>
                      <w:kern w:val="0"/>
                      <w:szCs w:val="21"/>
                    </w:rPr>
                    <w:t>20人</w:t>
                  </w:r>
                </w:p>
              </w:tc>
              <w:tc>
                <w:tcPr>
                  <w:tcW w:w="1133" w:type="dxa"/>
                  <w:vAlign w:val="center"/>
                </w:tcPr>
                <w:p>
                  <w:pPr>
                    <w:widowControl/>
                    <w:jc w:val="center"/>
                    <w:rPr>
                      <w:kern w:val="0"/>
                      <w:szCs w:val="21"/>
                    </w:rPr>
                  </w:pPr>
                  <w:r>
                    <w:rPr>
                      <w:rFonts w:hint="eastAsia"/>
                      <w:kern w:val="0"/>
                      <w:szCs w:val="21"/>
                    </w:rPr>
                    <w:t>0.3</w:t>
                  </w:r>
                  <w:r>
                    <w:rPr>
                      <w:kern w:val="0"/>
                      <w:szCs w:val="21"/>
                    </w:rPr>
                    <w:t>m</w:t>
                  </w:r>
                  <w:r>
                    <w:rPr>
                      <w:kern w:val="0"/>
                      <w:szCs w:val="21"/>
                      <w:vertAlign w:val="superscript"/>
                    </w:rPr>
                    <w:t>3</w:t>
                  </w:r>
                  <w:r>
                    <w:rPr>
                      <w:kern w:val="0"/>
                      <w:szCs w:val="21"/>
                    </w:rPr>
                    <w:t>/d</w:t>
                  </w:r>
                </w:p>
              </w:tc>
              <w:tc>
                <w:tcPr>
                  <w:tcW w:w="1089" w:type="dxa"/>
                  <w:vAlign w:val="center"/>
                </w:tcPr>
                <w:p>
                  <w:pPr>
                    <w:widowControl/>
                    <w:jc w:val="center"/>
                    <w:rPr>
                      <w:kern w:val="0"/>
                      <w:szCs w:val="21"/>
                    </w:rPr>
                  </w:pPr>
                  <w:r>
                    <w:rPr>
                      <w:kern w:val="0"/>
                      <w:szCs w:val="21"/>
                    </w:rPr>
                    <w:t>0.</w:t>
                  </w:r>
                  <w:r>
                    <w:rPr>
                      <w:rFonts w:hint="eastAsia"/>
                      <w:kern w:val="0"/>
                      <w:szCs w:val="21"/>
                    </w:rPr>
                    <w:t>24</w:t>
                  </w:r>
                  <w:r>
                    <w:rPr>
                      <w:kern w:val="0"/>
                      <w:szCs w:val="21"/>
                    </w:rPr>
                    <w:t>m</w:t>
                  </w:r>
                  <w:r>
                    <w:rPr>
                      <w:kern w:val="0"/>
                      <w:szCs w:val="21"/>
                      <w:vertAlign w:val="superscript"/>
                    </w:rPr>
                    <w:t>3</w:t>
                  </w:r>
                  <w:r>
                    <w:rPr>
                      <w:kern w:val="0"/>
                      <w:szCs w:val="21"/>
                    </w:rPr>
                    <w:t>/d</w:t>
                  </w:r>
                </w:p>
              </w:tc>
              <w:tc>
                <w:tcPr>
                  <w:tcW w:w="2171" w:type="dxa"/>
                  <w:vAlign w:val="center"/>
                </w:tcPr>
                <w:p>
                  <w:pPr>
                    <w:widowControl/>
                    <w:jc w:val="center"/>
                    <w:rPr>
                      <w:kern w:val="0"/>
                      <w:szCs w:val="21"/>
                    </w:rPr>
                  </w:pPr>
                  <w:r>
                    <w:rPr>
                      <w:kern w:val="0"/>
                      <w:szCs w:val="21"/>
                    </w:rPr>
                    <w:t>产生的废水用于厂区洒水抑尘，不外排</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97" w:hRule="atLeast"/>
                <w:jc w:val="center"/>
              </w:trPr>
              <w:tc>
                <w:tcPr>
                  <w:tcW w:w="1329" w:type="dxa"/>
                  <w:vAlign w:val="center"/>
                </w:tcPr>
                <w:p>
                  <w:pPr>
                    <w:widowControl/>
                    <w:jc w:val="center"/>
                    <w:rPr>
                      <w:kern w:val="0"/>
                      <w:szCs w:val="21"/>
                    </w:rPr>
                  </w:pPr>
                  <w:r>
                    <w:rPr>
                      <w:kern w:val="0"/>
                      <w:szCs w:val="21"/>
                    </w:rPr>
                    <w:t>总计</w:t>
                  </w:r>
                </w:p>
              </w:tc>
              <w:tc>
                <w:tcPr>
                  <w:tcW w:w="2345" w:type="dxa"/>
                  <w:gridSpan w:val="2"/>
                  <w:vAlign w:val="center"/>
                </w:tcPr>
                <w:p>
                  <w:pPr>
                    <w:widowControl/>
                    <w:jc w:val="center"/>
                    <w:rPr>
                      <w:kern w:val="0"/>
                      <w:szCs w:val="21"/>
                    </w:rPr>
                  </w:pPr>
                  <w:r>
                    <w:rPr>
                      <w:kern w:val="0"/>
                      <w:szCs w:val="21"/>
                    </w:rPr>
                    <w:t>/</w:t>
                  </w:r>
                </w:p>
              </w:tc>
              <w:tc>
                <w:tcPr>
                  <w:tcW w:w="1133" w:type="dxa"/>
                  <w:vAlign w:val="center"/>
                </w:tcPr>
                <w:p>
                  <w:pPr>
                    <w:widowControl/>
                    <w:jc w:val="center"/>
                    <w:rPr>
                      <w:kern w:val="0"/>
                      <w:szCs w:val="21"/>
                    </w:rPr>
                  </w:pPr>
                  <w:r>
                    <w:rPr>
                      <w:rFonts w:hint="eastAsia"/>
                      <w:kern w:val="0"/>
                      <w:szCs w:val="21"/>
                    </w:rPr>
                    <w:t>0.6</w:t>
                  </w:r>
                  <w:r>
                    <w:rPr>
                      <w:kern w:val="0"/>
                      <w:szCs w:val="21"/>
                    </w:rPr>
                    <w:t>m</w:t>
                  </w:r>
                  <w:r>
                    <w:rPr>
                      <w:kern w:val="0"/>
                      <w:szCs w:val="21"/>
                      <w:vertAlign w:val="superscript"/>
                    </w:rPr>
                    <w:t>3</w:t>
                  </w:r>
                  <w:r>
                    <w:rPr>
                      <w:kern w:val="0"/>
                      <w:szCs w:val="21"/>
                    </w:rPr>
                    <w:t>/d</w:t>
                  </w:r>
                </w:p>
              </w:tc>
              <w:tc>
                <w:tcPr>
                  <w:tcW w:w="1089" w:type="dxa"/>
                  <w:vAlign w:val="center"/>
                </w:tcPr>
                <w:p>
                  <w:pPr>
                    <w:widowControl/>
                    <w:jc w:val="center"/>
                    <w:rPr>
                      <w:kern w:val="0"/>
                      <w:szCs w:val="21"/>
                    </w:rPr>
                  </w:pPr>
                  <w:r>
                    <w:rPr>
                      <w:rFonts w:hint="eastAsia"/>
                      <w:kern w:val="0"/>
                      <w:szCs w:val="21"/>
                    </w:rPr>
                    <w:t>0.24</w:t>
                  </w:r>
                  <w:r>
                    <w:rPr>
                      <w:kern w:val="0"/>
                      <w:szCs w:val="21"/>
                    </w:rPr>
                    <w:t>m</w:t>
                  </w:r>
                  <w:r>
                    <w:rPr>
                      <w:kern w:val="0"/>
                      <w:szCs w:val="21"/>
                      <w:vertAlign w:val="superscript"/>
                    </w:rPr>
                    <w:t>3</w:t>
                  </w:r>
                  <w:r>
                    <w:rPr>
                      <w:kern w:val="0"/>
                      <w:szCs w:val="21"/>
                    </w:rPr>
                    <w:t>/d</w:t>
                  </w:r>
                </w:p>
              </w:tc>
              <w:tc>
                <w:tcPr>
                  <w:tcW w:w="2171" w:type="dxa"/>
                  <w:vAlign w:val="center"/>
                </w:tcPr>
                <w:p>
                  <w:pPr>
                    <w:widowControl/>
                    <w:jc w:val="center"/>
                    <w:rPr>
                      <w:kern w:val="0"/>
                      <w:szCs w:val="21"/>
                    </w:rPr>
                  </w:pPr>
                </w:p>
              </w:tc>
            </w:tr>
          </w:tbl>
          <w:p>
            <w:pPr>
              <w:spacing w:line="360" w:lineRule="auto"/>
              <w:jc w:val="center"/>
            </w:pPr>
            <w:r>
              <w:rPr>
                <w:rFonts w:hint="eastAsia"/>
              </w:rPr>
              <w:object>
                <v:shape id="_x0000_i1025" o:spt="75" type="#_x0000_t75" style="height:116.65pt;width:274pt;" o:ole="t" filled="f" o:preferrelative="t" stroked="f" coordsize="21600,21600">
                  <v:path/>
                  <v:fill on="f" focussize="0,0"/>
                  <v:stroke on="f" joinstyle="miter"/>
                  <v:imagedata r:id="rId16" o:title=""/>
                  <o:lock v:ext="edit" aspectratio="t"/>
                  <w10:wrap type="none"/>
                  <w10:anchorlock/>
                </v:shape>
                <o:OLEObject Type="Embed" ProgID="Visio.Drawing.11" ShapeID="_x0000_i1025" DrawAspect="Content" ObjectID="_1468075725" r:id="rId15">
                  <o:LockedField>false</o:LockedField>
                </o:OLEObject>
              </w:object>
            </w:r>
          </w:p>
          <w:p>
            <w:pPr>
              <w:spacing w:line="520" w:lineRule="exact"/>
              <w:ind w:right="115" w:rightChars="55"/>
              <w:jc w:val="center"/>
              <w:rPr>
                <w:rFonts w:hint="eastAsia" w:ascii="宋体" w:hAnsi="宋体"/>
                <w:b/>
                <w:szCs w:val="21"/>
              </w:rPr>
            </w:pPr>
            <w:r>
              <w:rPr>
                <w:rFonts w:ascii="宋体" w:hAnsi="宋体"/>
                <w:b/>
                <w:szCs w:val="21"/>
              </w:rPr>
              <w:t>图1  项目水平衡图  单位：m</w:t>
            </w:r>
            <w:r>
              <w:rPr>
                <w:rFonts w:ascii="宋体" w:hAnsi="宋体"/>
                <w:b/>
                <w:szCs w:val="21"/>
                <w:vertAlign w:val="superscript"/>
              </w:rPr>
              <w:t>3</w:t>
            </w:r>
            <w:r>
              <w:rPr>
                <w:rFonts w:ascii="宋体" w:hAnsi="宋体"/>
                <w:b/>
                <w:szCs w:val="21"/>
              </w:rPr>
              <w:t>/d</w:t>
            </w:r>
          </w:p>
          <w:p>
            <w:pPr>
              <w:pStyle w:val="10"/>
              <w:spacing w:line="360" w:lineRule="auto"/>
              <w:ind w:firstLine="482" w:firstLineChars="200"/>
              <w:rPr>
                <w:rFonts w:ascii="Times New Roman" w:hAnsi="Times New Roman"/>
                <w:b/>
                <w:sz w:val="24"/>
              </w:rPr>
            </w:pPr>
            <w:r>
              <w:rPr>
                <w:rFonts w:ascii="Times New Roman" w:hAnsi="Times New Roman"/>
                <w:b/>
                <w:sz w:val="24"/>
              </w:rPr>
              <w:t>2.8.2供电</w:t>
            </w:r>
          </w:p>
          <w:p>
            <w:pPr>
              <w:spacing w:line="360" w:lineRule="auto"/>
              <w:ind w:right="115" w:rightChars="55" w:firstLine="480" w:firstLineChars="200"/>
              <w:rPr>
                <w:bCs/>
                <w:sz w:val="24"/>
              </w:rPr>
            </w:pPr>
            <w:r>
              <w:rPr>
                <w:bCs/>
                <w:sz w:val="24"/>
              </w:rPr>
              <w:t>本项目用电由里砦镇上韩村接35KV供电线路，厂区南侧设一台630KVA变压器。</w:t>
            </w:r>
          </w:p>
          <w:p>
            <w:pPr>
              <w:pStyle w:val="10"/>
              <w:spacing w:line="360" w:lineRule="auto"/>
              <w:ind w:firstLine="482" w:firstLineChars="200"/>
              <w:rPr>
                <w:rFonts w:ascii="Times New Roman" w:hAnsi="Times New Roman"/>
                <w:b/>
                <w:sz w:val="24"/>
              </w:rPr>
            </w:pPr>
            <w:r>
              <w:rPr>
                <w:rFonts w:ascii="Times New Roman" w:hAnsi="Times New Roman"/>
                <w:b/>
                <w:sz w:val="24"/>
              </w:rPr>
              <w:t>2.8.3供暖</w:t>
            </w:r>
          </w:p>
          <w:p>
            <w:pPr>
              <w:spacing w:line="360" w:lineRule="auto"/>
              <w:ind w:right="115" w:rightChars="55" w:firstLine="480" w:firstLineChars="200"/>
              <w:rPr>
                <w:bCs/>
                <w:sz w:val="24"/>
              </w:rPr>
            </w:pPr>
            <w:r>
              <w:rPr>
                <w:bCs/>
                <w:sz w:val="24"/>
              </w:rPr>
              <w:t>本项目生产车间不采暖；办公室冬季空调供暖。</w:t>
            </w:r>
          </w:p>
          <w:p>
            <w:pPr>
              <w:pStyle w:val="10"/>
              <w:spacing w:line="360" w:lineRule="auto"/>
              <w:ind w:firstLine="482" w:firstLineChars="200"/>
              <w:rPr>
                <w:rFonts w:ascii="Times New Roman" w:hAnsi="Times New Roman"/>
                <w:b/>
                <w:sz w:val="24"/>
              </w:rPr>
            </w:pPr>
            <w:r>
              <w:rPr>
                <w:rFonts w:ascii="Times New Roman" w:hAnsi="Times New Roman"/>
                <w:b/>
                <w:sz w:val="24"/>
              </w:rPr>
              <w:t>2.8.4制冷</w:t>
            </w:r>
          </w:p>
          <w:p>
            <w:pPr>
              <w:spacing w:line="360" w:lineRule="auto"/>
              <w:ind w:right="115" w:rightChars="55" w:firstLine="480" w:firstLineChars="200"/>
              <w:rPr>
                <w:bCs/>
                <w:sz w:val="24"/>
              </w:rPr>
            </w:pPr>
            <w:r>
              <w:rPr>
                <w:bCs/>
                <w:sz w:val="24"/>
              </w:rPr>
              <w:t>生产车间夏季电风扇制冷；办公室夏季空调制冷。</w:t>
            </w:r>
          </w:p>
          <w:p>
            <w:pPr>
              <w:spacing w:line="520" w:lineRule="exact"/>
              <w:ind w:right="115" w:rightChars="55"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4680" w:type="pct"/>
          </w:tcPr>
          <w:p>
            <w:pPr>
              <w:spacing w:line="520" w:lineRule="exact"/>
              <w:ind w:firstLine="482" w:firstLineChars="200"/>
              <w:rPr>
                <w:b/>
                <w:sz w:val="24"/>
              </w:rPr>
            </w:pPr>
            <w:r>
              <w:rPr>
                <w:b/>
                <w:sz w:val="24"/>
              </w:rPr>
              <w:t>2.9生产工艺流程和产排污环节</w:t>
            </w:r>
          </w:p>
          <w:p>
            <w:pPr>
              <w:spacing w:line="520" w:lineRule="exact"/>
              <w:ind w:firstLine="480" w:firstLineChars="200"/>
              <w:rPr>
                <w:bCs/>
                <w:sz w:val="24"/>
              </w:rPr>
            </w:pPr>
            <w:r>
              <w:rPr>
                <w:bCs/>
                <w:sz w:val="24"/>
              </w:rPr>
              <w:t>本项目主要产品生产工艺流程见下图</w:t>
            </w:r>
            <w:r>
              <w:rPr>
                <w:rFonts w:hint="eastAsia"/>
                <w:bCs/>
                <w:sz w:val="24"/>
              </w:rPr>
              <w:t>2</w:t>
            </w:r>
            <w:r>
              <w:rPr>
                <w:bCs/>
                <w:sz w:val="24"/>
              </w:rPr>
              <w:t>：</w:t>
            </w:r>
          </w:p>
          <w:p>
            <w:pPr>
              <w:spacing w:line="520" w:lineRule="exact"/>
              <w:ind w:firstLine="482" w:firstLineChars="200"/>
              <w:rPr>
                <w:b/>
                <w:sz w:val="24"/>
              </w:rPr>
            </w:pPr>
            <w:r>
              <w:rPr>
                <w:b/>
                <w:sz w:val="24"/>
              </w:rPr>
              <w:t>生产工艺流程说明：</w:t>
            </w:r>
          </w:p>
          <w:p>
            <w:pPr>
              <w:spacing w:line="520" w:lineRule="exact"/>
              <w:ind w:firstLine="480" w:firstLineChars="200"/>
              <w:rPr>
                <w:bCs/>
                <w:sz w:val="24"/>
              </w:rPr>
            </w:pPr>
            <w:r>
              <w:rPr>
                <w:bCs/>
                <w:sz w:val="24"/>
              </w:rPr>
              <w:t>1、本项目购买聚丙烯树脂颗粒（颗粒状新料）原料，通过车辆将包装好的原料运输至本项目厂区。</w:t>
            </w:r>
          </w:p>
          <w:p>
            <w:pPr>
              <w:spacing w:line="520" w:lineRule="exact"/>
              <w:ind w:firstLine="480" w:firstLineChars="200"/>
              <w:rPr>
                <w:bCs/>
                <w:sz w:val="24"/>
              </w:rPr>
            </w:pPr>
            <w:r>
              <w:rPr>
                <w:bCs/>
                <w:sz w:val="24"/>
              </w:rPr>
              <w:t>2、上料输送：原料（全部为颗粒状）通过行车输送上料斗，料斗下方设螺旋输送机将原料输送至注塑机上方中间料仓；输送机一端与料斗无缝衔接，另一端直接与中间仓无缝衔接，整个输送过程均属于封闭式连接。不产生粉尘。</w:t>
            </w:r>
          </w:p>
          <w:p>
            <w:pPr>
              <w:jc w:val="center"/>
              <w:rPr>
                <w:bCs/>
                <w:sz w:val="24"/>
              </w:rPr>
            </w:pPr>
            <w:r>
              <w:rPr>
                <w:rFonts w:hint="eastAsia"/>
              </w:rPr>
              <w:object>
                <v:shape id="_x0000_i1026" o:spt="75" type="#_x0000_t75" style="height:408pt;width:326pt;" o:ole="t" filled="f" o:preferrelative="t" stroked="f" coordsize="21600,21600">
                  <v:path/>
                  <v:fill on="f" focussize="0,0"/>
                  <v:stroke on="f" joinstyle="miter"/>
                  <v:imagedata r:id="rId18" o:title=""/>
                  <o:lock v:ext="edit" aspectratio="t"/>
                  <w10:wrap type="none"/>
                  <w10:anchorlock/>
                </v:shape>
                <o:OLEObject Type="Embed" ProgID="Visio.Drawing.11" ShapeID="_x0000_i1026" DrawAspect="Content" ObjectID="_1468075726" r:id="rId17">
                  <o:LockedField>false</o:LockedField>
                </o:OLEObject>
              </w:object>
            </w:r>
          </w:p>
          <w:p>
            <w:pPr>
              <w:spacing w:line="520" w:lineRule="exact"/>
              <w:ind w:right="115" w:rightChars="55"/>
              <w:jc w:val="center"/>
              <w:rPr>
                <w:rFonts w:hint="eastAsia" w:ascii="宋体" w:hAnsi="宋体"/>
                <w:b/>
                <w:szCs w:val="21"/>
              </w:rPr>
            </w:pPr>
            <w:r>
              <w:rPr>
                <w:rFonts w:ascii="宋体" w:hAnsi="宋体"/>
                <w:b/>
                <w:szCs w:val="21"/>
              </w:rPr>
              <w:t>图</w:t>
            </w:r>
            <w:r>
              <w:rPr>
                <w:rFonts w:hint="eastAsia" w:ascii="宋体" w:hAnsi="宋体"/>
                <w:b/>
                <w:szCs w:val="21"/>
              </w:rPr>
              <w:t>2</w:t>
            </w:r>
            <w:r>
              <w:rPr>
                <w:rFonts w:ascii="宋体" w:hAnsi="宋体"/>
                <w:b/>
                <w:szCs w:val="21"/>
              </w:rPr>
              <w:t xml:space="preserve">  项目运营期工艺流程及产物环节图</w:t>
            </w:r>
          </w:p>
          <w:p>
            <w:pPr>
              <w:spacing w:line="520" w:lineRule="exact"/>
              <w:ind w:firstLine="480" w:firstLineChars="200"/>
              <w:rPr>
                <w:bCs/>
                <w:sz w:val="24"/>
              </w:rPr>
            </w:pPr>
            <w:r>
              <w:rPr>
                <w:bCs/>
                <w:sz w:val="24"/>
              </w:rPr>
              <w:t>3、注塑成型：中间料仓下端与注塑机相连，原料进入注塑机通过螺杆的旋转和机筒外壁加热至180～220℃，使塑料颗粒成为熔融状态，聚丙烯裂解温度≥300℃，因此不会产生多环芳香烃类有机物。但是在高温</w:t>
            </w:r>
            <w:r>
              <w:rPr>
                <w:rFonts w:hint="eastAsia"/>
                <w:bCs/>
                <w:sz w:val="24"/>
                <w:lang w:eastAsia="zh-CN"/>
              </w:rPr>
              <w:t>熔化</w:t>
            </w:r>
            <w:r>
              <w:rPr>
                <w:bCs/>
                <w:sz w:val="24"/>
              </w:rPr>
              <w:t>的过程中仍会有少量的挥发性较强的有机气体释放出来，主要为烷烃和烯烃，以非甲烷总烃计。然后机器进行合模和注射座前移，使喷嘴贴紧模具的浇口道，接着螺杆向前推进，从而以很高的压力和较快的速度将熔料注入温度较低的闭合模具内，经过一定时间和压力保持（又称保压）、冷却，使其固化成型，然后拆模具，最后进入检验工序；该工艺会产生废气和噪声。</w:t>
            </w:r>
          </w:p>
          <w:p>
            <w:pPr>
              <w:spacing w:line="520" w:lineRule="exact"/>
              <w:ind w:firstLine="480" w:firstLineChars="200"/>
              <w:rPr>
                <w:bCs/>
                <w:sz w:val="24"/>
              </w:rPr>
            </w:pPr>
            <w:r>
              <w:rPr>
                <w:bCs/>
                <w:sz w:val="24"/>
              </w:rPr>
              <w:t>4、检验：人工检验、包装后即为成品入库、外售。检验后产生的不合格品外售废品收购站。</w:t>
            </w:r>
          </w:p>
          <w:p>
            <w:pPr>
              <w:spacing w:line="520" w:lineRule="exact"/>
              <w:ind w:firstLine="482" w:firstLineChars="200"/>
              <w:rPr>
                <w:b/>
                <w:bCs/>
                <w:sz w:val="24"/>
              </w:rPr>
            </w:pPr>
            <w:r>
              <w:rPr>
                <w:b/>
                <w:bCs/>
                <w:sz w:val="24"/>
              </w:rPr>
              <w:t>主要产排污环节：</w:t>
            </w:r>
          </w:p>
          <w:p>
            <w:pPr>
              <w:spacing w:line="520" w:lineRule="exact"/>
              <w:ind w:firstLine="482" w:firstLineChars="200"/>
              <w:rPr>
                <w:b/>
                <w:bCs/>
                <w:sz w:val="24"/>
              </w:rPr>
            </w:pPr>
            <w:r>
              <w:rPr>
                <w:b/>
                <w:bCs/>
                <w:sz w:val="24"/>
              </w:rPr>
              <w:t>一、废气产生环节</w:t>
            </w:r>
          </w:p>
          <w:p>
            <w:pPr>
              <w:spacing w:line="520" w:lineRule="exact"/>
              <w:ind w:firstLine="480" w:firstLineChars="200"/>
              <w:rPr>
                <w:bCs/>
                <w:sz w:val="24"/>
              </w:rPr>
            </w:pPr>
            <w:r>
              <w:rPr>
                <w:bCs/>
                <w:sz w:val="24"/>
              </w:rPr>
              <w:t>1、加热过程产生的非甲烷总烃G1；</w:t>
            </w:r>
          </w:p>
          <w:p>
            <w:pPr>
              <w:spacing w:line="520" w:lineRule="exact"/>
              <w:ind w:firstLine="480" w:firstLineChars="200"/>
              <w:rPr>
                <w:bCs/>
                <w:sz w:val="24"/>
              </w:rPr>
            </w:pPr>
            <w:r>
              <w:rPr>
                <w:bCs/>
                <w:sz w:val="24"/>
              </w:rPr>
              <w:t>2、破碎粉尘G2；</w:t>
            </w:r>
          </w:p>
          <w:p>
            <w:pPr>
              <w:spacing w:line="520" w:lineRule="exact"/>
              <w:ind w:firstLine="482" w:firstLineChars="200"/>
              <w:rPr>
                <w:b/>
                <w:bCs/>
                <w:sz w:val="24"/>
              </w:rPr>
            </w:pPr>
            <w:r>
              <w:rPr>
                <w:b/>
                <w:bCs/>
                <w:sz w:val="24"/>
              </w:rPr>
              <w:t>二、废水产生环节</w:t>
            </w:r>
          </w:p>
          <w:p>
            <w:pPr>
              <w:spacing w:line="520" w:lineRule="exact"/>
              <w:ind w:firstLine="480" w:firstLineChars="200"/>
              <w:rPr>
                <w:bCs/>
                <w:sz w:val="24"/>
              </w:rPr>
            </w:pPr>
            <w:r>
              <w:rPr>
                <w:bCs/>
                <w:sz w:val="24"/>
              </w:rPr>
              <w:t>1、职工产生的生活污水W1；</w:t>
            </w:r>
          </w:p>
          <w:p>
            <w:pPr>
              <w:spacing w:line="520" w:lineRule="exact"/>
              <w:ind w:firstLine="482" w:firstLineChars="200"/>
              <w:rPr>
                <w:b/>
                <w:bCs/>
                <w:sz w:val="24"/>
              </w:rPr>
            </w:pPr>
            <w:r>
              <w:rPr>
                <w:b/>
                <w:bCs/>
                <w:sz w:val="24"/>
              </w:rPr>
              <w:t>三、噪声产生环节</w:t>
            </w:r>
          </w:p>
          <w:p>
            <w:pPr>
              <w:spacing w:line="520" w:lineRule="exact"/>
              <w:ind w:firstLine="480" w:firstLineChars="200"/>
              <w:rPr>
                <w:bCs/>
                <w:sz w:val="24"/>
              </w:rPr>
            </w:pPr>
            <w:r>
              <w:rPr>
                <w:bCs/>
                <w:sz w:val="24"/>
              </w:rPr>
              <w:t>1、注塑机产生的噪声Z1；</w:t>
            </w:r>
          </w:p>
          <w:p>
            <w:pPr>
              <w:spacing w:line="520" w:lineRule="exact"/>
              <w:ind w:firstLine="480" w:firstLineChars="200"/>
              <w:rPr>
                <w:bCs/>
                <w:sz w:val="24"/>
              </w:rPr>
            </w:pPr>
            <w:r>
              <w:rPr>
                <w:bCs/>
                <w:sz w:val="24"/>
              </w:rPr>
              <w:t>2、破碎机产生的噪声Z2；</w:t>
            </w:r>
          </w:p>
          <w:p>
            <w:pPr>
              <w:spacing w:line="520" w:lineRule="exact"/>
              <w:ind w:firstLine="480" w:firstLineChars="200"/>
              <w:rPr>
                <w:bCs/>
                <w:sz w:val="24"/>
              </w:rPr>
            </w:pPr>
            <w:r>
              <w:rPr>
                <w:bCs/>
                <w:sz w:val="24"/>
              </w:rPr>
              <w:t>3、凉水塔运行时产生的设备噪声Z3。</w:t>
            </w:r>
          </w:p>
          <w:p>
            <w:pPr>
              <w:spacing w:line="520" w:lineRule="exact"/>
              <w:ind w:firstLine="482" w:firstLineChars="200"/>
              <w:rPr>
                <w:b/>
                <w:bCs/>
                <w:sz w:val="24"/>
              </w:rPr>
            </w:pPr>
            <w:r>
              <w:rPr>
                <w:b/>
                <w:bCs/>
                <w:sz w:val="24"/>
              </w:rPr>
              <w:t>四、固体废物产生环节</w:t>
            </w:r>
          </w:p>
          <w:p>
            <w:pPr>
              <w:spacing w:line="520" w:lineRule="exact"/>
              <w:ind w:firstLine="480" w:firstLineChars="200"/>
              <w:rPr>
                <w:bCs/>
                <w:sz w:val="24"/>
              </w:rPr>
            </w:pPr>
            <w:r>
              <w:rPr>
                <w:bCs/>
                <w:sz w:val="24"/>
              </w:rPr>
              <w:t>1、生产过程产生的次品S1；</w:t>
            </w:r>
          </w:p>
          <w:p>
            <w:pPr>
              <w:spacing w:line="520" w:lineRule="exact"/>
              <w:ind w:firstLine="480" w:firstLineChars="200"/>
              <w:rPr>
                <w:bCs/>
                <w:sz w:val="24"/>
              </w:rPr>
            </w:pPr>
            <w:r>
              <w:rPr>
                <w:bCs/>
                <w:sz w:val="24"/>
              </w:rPr>
              <w:t>2、职工产生的生活垃圾S2；</w:t>
            </w:r>
          </w:p>
          <w:p>
            <w:pPr>
              <w:spacing w:line="520" w:lineRule="exact"/>
              <w:ind w:firstLine="480" w:firstLineChars="200"/>
              <w:rPr>
                <w:bCs/>
                <w:sz w:val="24"/>
              </w:rPr>
            </w:pPr>
            <w:r>
              <w:rPr>
                <w:rFonts w:hint="eastAsia"/>
                <w:bCs/>
                <w:sz w:val="24"/>
              </w:rPr>
              <w:t>3</w:t>
            </w:r>
            <w:r>
              <w:rPr>
                <w:bCs/>
                <w:sz w:val="24"/>
              </w:rPr>
              <w:t>、</w:t>
            </w:r>
            <w:r>
              <w:rPr>
                <w:rFonts w:hint="eastAsia"/>
                <w:bCs/>
                <w:sz w:val="24"/>
              </w:rPr>
              <w:t>设备维护</w:t>
            </w:r>
            <w:r>
              <w:rPr>
                <w:bCs/>
                <w:sz w:val="24"/>
              </w:rPr>
              <w:t>产生的</w:t>
            </w:r>
            <w:r>
              <w:rPr>
                <w:rFonts w:hint="eastAsia"/>
                <w:bCs/>
                <w:sz w:val="24"/>
              </w:rPr>
              <w:t>废油桶、废机油</w:t>
            </w:r>
            <w:r>
              <w:rPr>
                <w:bCs/>
                <w:sz w:val="24"/>
              </w:rPr>
              <w:t>S</w:t>
            </w:r>
            <w:r>
              <w:rPr>
                <w:rFonts w:hint="eastAsia"/>
                <w:bCs/>
                <w:sz w:val="24"/>
              </w:rPr>
              <w:t>3；</w:t>
            </w:r>
          </w:p>
          <w:p>
            <w:pPr>
              <w:spacing w:line="520" w:lineRule="exact"/>
              <w:ind w:firstLine="480" w:firstLineChars="200"/>
              <w:rPr>
                <w:bCs/>
                <w:sz w:val="24"/>
              </w:rPr>
            </w:pPr>
            <w:r>
              <w:rPr>
                <w:rFonts w:hint="eastAsia"/>
                <w:bCs/>
                <w:sz w:val="24"/>
              </w:rPr>
              <w:t>4</w:t>
            </w:r>
            <w:r>
              <w:rPr>
                <w:bCs/>
                <w:sz w:val="24"/>
              </w:rPr>
              <w:t>、</w:t>
            </w:r>
            <w:r>
              <w:rPr>
                <w:rFonts w:hint="eastAsia"/>
                <w:bCs/>
                <w:sz w:val="24"/>
              </w:rPr>
              <w:t>废包装材料</w:t>
            </w:r>
            <w:r>
              <w:rPr>
                <w:bCs/>
                <w:sz w:val="24"/>
              </w:rPr>
              <w:t>S</w:t>
            </w:r>
            <w:r>
              <w:rPr>
                <w:rFonts w:hint="eastAsia"/>
                <w:bCs/>
                <w:sz w:val="24"/>
              </w:rPr>
              <w:t>4</w:t>
            </w:r>
            <w:r>
              <w:rPr>
                <w:bCs/>
                <w:sz w:val="24"/>
              </w:rPr>
              <w:t>。</w:t>
            </w:r>
          </w:p>
          <w:p>
            <w:pPr>
              <w:pStyle w:val="2"/>
              <w:ind w:firstLine="420"/>
            </w:pPr>
          </w:p>
          <w:p>
            <w:pPr>
              <w:pStyle w:val="2"/>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4680" w:type="pct"/>
          </w:tcPr>
          <w:p>
            <w:pPr>
              <w:pStyle w:val="10"/>
              <w:spacing w:line="360" w:lineRule="auto"/>
              <w:ind w:firstLine="482" w:firstLineChars="200"/>
              <w:rPr>
                <w:rFonts w:ascii="Times New Roman" w:hAnsi="Times New Roman"/>
                <w:b/>
                <w:sz w:val="24"/>
              </w:rPr>
            </w:pPr>
            <w:r>
              <w:rPr>
                <w:rFonts w:ascii="Times New Roman" w:hAnsi="Times New Roman"/>
                <w:b/>
                <w:sz w:val="24"/>
              </w:rPr>
              <w:t>2.10现有工程环保手续履行情况</w:t>
            </w:r>
          </w:p>
          <w:p>
            <w:pPr>
              <w:pStyle w:val="10"/>
              <w:spacing w:line="360" w:lineRule="auto"/>
              <w:ind w:firstLine="480" w:firstLineChars="200"/>
              <w:rPr>
                <w:rFonts w:ascii="Times New Roman" w:hAnsi="Times New Roman"/>
                <w:bCs/>
                <w:sz w:val="24"/>
              </w:rPr>
            </w:pPr>
            <w:r>
              <w:rPr>
                <w:rFonts w:ascii="Times New Roman" w:hAnsi="Times New Roman"/>
                <w:bCs/>
                <w:sz w:val="24"/>
              </w:rPr>
              <w:t>2015年12月21日翼城县环境保护局关于《翼城县祥怡塑业有限公司年产30万只果品塑料包装框生产线项目环境影响报告表的批复》（翼环审函字〔2015〕31号）；2025年05月04日重新申请排污许可登记管理，登记编号：91141022330502927H001X；2016年9月29日翼城县环境保护局关于《翼城县祥怡塑业有限公司年产30万只果品塑料包装框生产线项目竣工环境保护验收的批复》（翼环审函字〔201</w:t>
            </w:r>
            <w:r>
              <w:rPr>
                <w:rFonts w:hint="eastAsia" w:ascii="Times New Roman" w:hAnsi="Times New Roman"/>
                <w:bCs/>
                <w:sz w:val="24"/>
                <w:lang w:val="en-US" w:eastAsia="zh-CN"/>
              </w:rPr>
              <w:t>6</w:t>
            </w:r>
            <w:r>
              <w:rPr>
                <w:rFonts w:ascii="Times New Roman" w:hAnsi="Times New Roman"/>
                <w:bCs/>
                <w:sz w:val="24"/>
              </w:rPr>
              <w:t>〕28号）。</w:t>
            </w:r>
          </w:p>
          <w:p>
            <w:pPr>
              <w:pStyle w:val="10"/>
              <w:spacing w:line="360" w:lineRule="auto"/>
              <w:ind w:firstLine="482" w:firstLineChars="200"/>
              <w:rPr>
                <w:rFonts w:ascii="Times New Roman" w:hAnsi="Times New Roman"/>
                <w:b/>
                <w:sz w:val="24"/>
              </w:rPr>
            </w:pPr>
            <w:r>
              <w:rPr>
                <w:rFonts w:ascii="Times New Roman" w:hAnsi="Times New Roman"/>
                <w:b/>
                <w:sz w:val="24"/>
              </w:rPr>
              <w:t>2.1</w:t>
            </w:r>
            <w:r>
              <w:rPr>
                <w:rFonts w:hint="eastAsia" w:ascii="Times New Roman" w:hAnsi="Times New Roman"/>
                <w:b/>
                <w:sz w:val="24"/>
              </w:rPr>
              <w:t>1</w:t>
            </w:r>
            <w:r>
              <w:rPr>
                <w:rFonts w:ascii="Times New Roman" w:hAnsi="Times New Roman"/>
                <w:b/>
                <w:sz w:val="24"/>
              </w:rPr>
              <w:t>企业现有环保设施及存在主要环境问题</w:t>
            </w:r>
          </w:p>
          <w:p>
            <w:pPr>
              <w:pStyle w:val="10"/>
              <w:spacing w:line="360" w:lineRule="auto"/>
              <w:ind w:firstLine="480" w:firstLineChars="200"/>
              <w:rPr>
                <w:rFonts w:ascii="Times New Roman" w:hAnsi="Times New Roman"/>
                <w:bCs/>
                <w:sz w:val="24"/>
              </w:rPr>
            </w:pPr>
            <w:r>
              <w:rPr>
                <w:rFonts w:hint="eastAsia" w:ascii="Times New Roman" w:hAnsi="Times New Roman"/>
                <w:bCs/>
                <w:sz w:val="24"/>
              </w:rPr>
              <w:t>现有项目环评阶段未对有机废气及破碎粉尘治理提出明确措施，建设单位已按照现行要求实际安装有1套二级活性炭吸附装置+1根15米高排气筒及1台布袋除尘器+1根15米高的排气筒，</w:t>
            </w:r>
            <w:r>
              <w:rPr>
                <w:rFonts w:ascii="Times New Roman" w:hAnsi="Times New Roman"/>
                <w:bCs/>
                <w:sz w:val="24"/>
              </w:rPr>
              <w:t>现有项目生产设施及环保设施运营完好</w:t>
            </w:r>
            <w:r>
              <w:rPr>
                <w:rFonts w:hint="eastAsia" w:ascii="Times New Roman" w:hAnsi="Times New Roman"/>
                <w:bCs/>
                <w:sz w:val="24"/>
              </w:rPr>
              <w:t>。</w:t>
            </w:r>
          </w:p>
          <w:p>
            <w:pPr>
              <w:pStyle w:val="10"/>
              <w:spacing w:line="360" w:lineRule="auto"/>
              <w:ind w:firstLine="480" w:firstLineChars="200"/>
              <w:rPr>
                <w:rFonts w:ascii="Times New Roman" w:hAnsi="Times New Roman"/>
                <w:bCs/>
                <w:sz w:val="24"/>
              </w:rPr>
            </w:pPr>
            <w:r>
              <w:rPr>
                <w:rFonts w:hint="eastAsia" w:ascii="Times New Roman" w:hAnsi="Times New Roman"/>
                <w:bCs/>
                <w:sz w:val="24"/>
              </w:rPr>
              <w:t>本次评价完善相关评价。</w:t>
            </w:r>
          </w:p>
          <w:p>
            <w:pPr>
              <w:pStyle w:val="10"/>
              <w:spacing w:line="360" w:lineRule="auto"/>
              <w:ind w:firstLine="482" w:firstLineChars="200"/>
              <w:rPr>
                <w:rFonts w:ascii="Times New Roman" w:hAnsi="Times New Roman"/>
                <w:b/>
                <w:sz w:val="24"/>
              </w:rPr>
            </w:pPr>
            <w:r>
              <w:rPr>
                <w:rFonts w:ascii="Times New Roman" w:hAnsi="Times New Roman"/>
                <w:b/>
                <w:sz w:val="24"/>
              </w:rPr>
              <w:t>2.1</w:t>
            </w:r>
            <w:r>
              <w:rPr>
                <w:rFonts w:hint="eastAsia" w:ascii="Times New Roman" w:hAnsi="Times New Roman"/>
                <w:b/>
                <w:sz w:val="24"/>
              </w:rPr>
              <w:t>2</w:t>
            </w:r>
            <w:r>
              <w:rPr>
                <w:rFonts w:ascii="Times New Roman" w:hAnsi="Times New Roman"/>
                <w:b/>
                <w:sz w:val="24"/>
              </w:rPr>
              <w:t>“以新带老”措施整改措施</w:t>
            </w:r>
          </w:p>
          <w:p>
            <w:pPr>
              <w:pStyle w:val="10"/>
              <w:spacing w:line="360" w:lineRule="auto"/>
              <w:ind w:firstLine="480" w:firstLineChars="200"/>
              <w:rPr>
                <w:rFonts w:ascii="Times New Roman" w:hAnsi="Times New Roman"/>
                <w:bCs/>
                <w:sz w:val="24"/>
              </w:rPr>
            </w:pPr>
            <w:r>
              <w:rPr>
                <w:rFonts w:hint="eastAsia" w:ascii="Times New Roman" w:hAnsi="Times New Roman"/>
                <w:bCs/>
                <w:sz w:val="24"/>
              </w:rPr>
              <w:t>扩建后两台注塑机共用1套二级活性炭吸附装置+1根15米高的排气筒；破碎粉尘安装1台布袋除尘器+1根15米高的排气筒。</w:t>
            </w: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rFonts w:ascii="Times New Roman" w:hAnsi="Times New Roman"/>
                <w:bCs/>
                <w:sz w:val="24"/>
              </w:rPr>
            </w:pPr>
          </w:p>
          <w:p>
            <w:pPr>
              <w:pStyle w:val="10"/>
              <w:spacing w:line="360" w:lineRule="auto"/>
              <w:ind w:firstLine="480" w:firstLineChars="200"/>
              <w:rPr>
                <w:sz w:val="24"/>
              </w:rPr>
            </w:pPr>
          </w:p>
          <w:p/>
        </w:tc>
      </w:tr>
    </w:tbl>
    <w:p>
      <w:pPr>
        <w:pStyle w:val="18"/>
        <w:jc w:val="center"/>
        <w:rPr>
          <w:rFonts w:ascii="Times New Roman" w:hAnsi="Times New Roman" w:eastAsia="黑体"/>
          <w:snapToGrid w:val="0"/>
          <w:sz w:val="36"/>
          <w:szCs w:val="36"/>
        </w:rPr>
        <w:sectPr>
          <w:pgSz w:w="11906" w:h="16838"/>
          <w:pgMar w:top="1440" w:right="1800" w:bottom="1440" w:left="1800" w:header="851" w:footer="851" w:gutter="0"/>
          <w:cols w:space="720" w:num="1"/>
          <w:docGrid w:type="lines" w:linePitch="312" w:charSpace="0"/>
        </w:sectPr>
      </w:pPr>
    </w:p>
    <w:p>
      <w:pPr>
        <w:pStyle w:val="18"/>
        <w:overflowPunct w:val="0"/>
        <w:spacing w:before="156" w:beforeLines="50" w:beforeAutospacing="0" w:after="156" w:afterLines="50" w:afterAutospacing="0"/>
        <w:jc w:val="center"/>
        <w:outlineLvl w:val="0"/>
        <w:rPr>
          <w:rFonts w:ascii="Times New Roman" w:hAnsi="Times New Roman" w:eastAsia="黑体"/>
          <w:snapToGrid w:val="0"/>
          <w:sz w:val="30"/>
          <w:szCs w:val="30"/>
        </w:rPr>
      </w:pPr>
      <w:bookmarkStart w:id="6" w:name="_Toc196816302"/>
      <w:r>
        <w:rPr>
          <w:rFonts w:ascii="Times New Roman" w:hAnsi="Times New Roman" w:eastAsia="黑体"/>
          <w:snapToGrid w:val="0"/>
          <w:sz w:val="30"/>
          <w:szCs w:val="30"/>
        </w:rPr>
        <w:t>三、区域环境质量现状、环境保护目标及评价标准</w:t>
      </w:r>
      <w:bookmarkEnd w:id="6"/>
    </w:p>
    <w:tbl>
      <w:tblPr>
        <w:tblStyle w:val="2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89" w:type="dxa"/>
            <w:vAlign w:val="center"/>
          </w:tcPr>
          <w:p>
            <w:pPr>
              <w:adjustRightInd w:val="0"/>
              <w:snapToGrid w:val="0"/>
              <w:jc w:val="center"/>
              <w:rPr>
                <w:kern w:val="0"/>
                <w:szCs w:val="21"/>
              </w:rPr>
            </w:pPr>
            <w:r>
              <w:rPr>
                <w:kern w:val="0"/>
                <w:sz w:val="24"/>
              </w:rPr>
              <w:t>区域环境质量现状</w:t>
            </w:r>
          </w:p>
        </w:tc>
        <w:tc>
          <w:tcPr>
            <w:tcW w:w="8166" w:type="dxa"/>
            <w:vAlign w:val="center"/>
          </w:tcPr>
          <w:p>
            <w:pPr>
              <w:spacing w:line="520" w:lineRule="exact"/>
              <w:ind w:firstLine="471"/>
              <w:rPr>
                <w:b/>
                <w:sz w:val="24"/>
              </w:rPr>
            </w:pPr>
            <w:r>
              <w:rPr>
                <w:b/>
                <w:sz w:val="24"/>
              </w:rPr>
              <w:t>3.1大气环境</w:t>
            </w:r>
          </w:p>
          <w:p>
            <w:pPr>
              <w:spacing w:line="520" w:lineRule="exact"/>
              <w:ind w:firstLine="480"/>
              <w:rPr>
                <w:b/>
                <w:sz w:val="24"/>
              </w:rPr>
            </w:pPr>
            <w:r>
              <w:rPr>
                <w:b/>
                <w:sz w:val="24"/>
              </w:rPr>
              <w:t>3.1.1常规污染物</w:t>
            </w:r>
          </w:p>
          <w:p>
            <w:pPr>
              <w:spacing w:line="520" w:lineRule="exact"/>
              <w:ind w:firstLine="480"/>
              <w:rPr>
                <w:sz w:val="24"/>
              </w:rPr>
            </w:pPr>
            <w:r>
              <w:rPr>
                <w:sz w:val="24"/>
              </w:rPr>
              <w:t>本次评价收集了翼城县2024年全年的环境空气质量监测数据。</w:t>
            </w:r>
          </w:p>
          <w:p>
            <w:pPr>
              <w:spacing w:line="360" w:lineRule="auto"/>
              <w:jc w:val="center"/>
              <w:rPr>
                <w:b/>
                <w:bCs/>
                <w:szCs w:val="21"/>
              </w:rPr>
            </w:pPr>
            <w:r>
              <w:rPr>
                <w:b/>
                <w:bCs/>
                <w:szCs w:val="21"/>
              </w:rPr>
              <w:t>表3-1  翼城县2024年全年环境空气例行监测数据一览表</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986"/>
              <w:gridCol w:w="1299"/>
              <w:gridCol w:w="1146"/>
              <w:gridCol w:w="1272"/>
              <w:gridCol w:w="11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rPr>
                      <w:szCs w:val="21"/>
                    </w:rPr>
                  </w:pPr>
                  <w:r>
                    <w:t>项目</w:t>
                  </w:r>
                </w:p>
              </w:tc>
              <w:tc>
                <w:tcPr>
                  <w:tcW w:w="1986" w:type="dxa"/>
                  <w:vAlign w:val="center"/>
                </w:tcPr>
                <w:p>
                  <w:pPr>
                    <w:jc w:val="center"/>
                  </w:pPr>
                  <w:r>
                    <w:t>年评价指标</w:t>
                  </w:r>
                </w:p>
              </w:tc>
              <w:tc>
                <w:tcPr>
                  <w:tcW w:w="1299" w:type="dxa"/>
                  <w:vAlign w:val="center"/>
                </w:tcPr>
                <w:p>
                  <w:pPr>
                    <w:jc w:val="center"/>
                  </w:pPr>
                  <w:r>
                    <w:t>现状浓度（μg/m</w:t>
                  </w:r>
                  <w:r>
                    <w:rPr>
                      <w:vertAlign w:val="superscript"/>
                    </w:rPr>
                    <w:t>3</w:t>
                  </w:r>
                  <w:r>
                    <w:t>）</w:t>
                  </w:r>
                </w:p>
              </w:tc>
              <w:tc>
                <w:tcPr>
                  <w:tcW w:w="1146" w:type="dxa"/>
                  <w:vAlign w:val="center"/>
                </w:tcPr>
                <w:p>
                  <w:pPr>
                    <w:jc w:val="center"/>
                  </w:pPr>
                  <w:r>
                    <w:t>标准值（μg/m</w:t>
                  </w:r>
                  <w:r>
                    <w:rPr>
                      <w:vertAlign w:val="superscript"/>
                    </w:rPr>
                    <w:t>3</w:t>
                  </w:r>
                  <w:r>
                    <w:t>）</w:t>
                  </w:r>
                </w:p>
              </w:tc>
              <w:tc>
                <w:tcPr>
                  <w:tcW w:w="1272" w:type="dxa"/>
                  <w:vAlign w:val="center"/>
                </w:tcPr>
                <w:p>
                  <w:pPr>
                    <w:jc w:val="center"/>
                  </w:pPr>
                  <w:r>
                    <w:t>占标率</w:t>
                  </w:r>
                </w:p>
                <w:p>
                  <w:pPr>
                    <w:jc w:val="center"/>
                  </w:pPr>
                  <w:r>
                    <w:t>（%）</w:t>
                  </w:r>
                </w:p>
              </w:tc>
              <w:tc>
                <w:tcPr>
                  <w:tcW w:w="1137" w:type="dxa"/>
                  <w:vAlign w:val="center"/>
                </w:tcPr>
                <w:p>
                  <w:pPr>
                    <w:jc w:val="center"/>
                  </w:pPr>
                  <w: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vAlign w:val="center"/>
                </w:tcPr>
                <w:p>
                  <w:pPr>
                    <w:jc w:val="center"/>
                  </w:pPr>
                  <w:r>
                    <w:t>SO</w:t>
                  </w:r>
                  <w:r>
                    <w:rPr>
                      <w:vertAlign w:val="subscript"/>
                    </w:rPr>
                    <w:t>2</w:t>
                  </w:r>
                </w:p>
              </w:tc>
              <w:tc>
                <w:tcPr>
                  <w:tcW w:w="1986" w:type="dxa"/>
                  <w:vMerge w:val="restart"/>
                  <w:vAlign w:val="center"/>
                </w:tcPr>
                <w:p>
                  <w:pPr>
                    <w:jc w:val="center"/>
                  </w:pPr>
                  <w:r>
                    <w:t>年平均质量浓度值</w:t>
                  </w:r>
                </w:p>
              </w:tc>
              <w:tc>
                <w:tcPr>
                  <w:tcW w:w="1299" w:type="dxa"/>
                  <w:vAlign w:val="center"/>
                </w:tcPr>
                <w:p>
                  <w:pPr>
                    <w:jc w:val="center"/>
                  </w:pPr>
                </w:p>
              </w:tc>
              <w:tc>
                <w:tcPr>
                  <w:tcW w:w="1146" w:type="dxa"/>
                  <w:vAlign w:val="center"/>
                </w:tcPr>
                <w:p>
                  <w:pPr>
                    <w:jc w:val="center"/>
                  </w:pPr>
                  <w:r>
                    <w:t>60</w:t>
                  </w:r>
                </w:p>
              </w:tc>
              <w:tc>
                <w:tcPr>
                  <w:tcW w:w="1272" w:type="dxa"/>
                  <w:vAlign w:val="center"/>
                </w:tcPr>
                <w:p>
                  <w:pPr>
                    <w:jc w:val="center"/>
                  </w:pPr>
                </w:p>
              </w:tc>
              <w:tc>
                <w:tcPr>
                  <w:tcW w:w="1137" w:type="dxa"/>
                  <w:vAlign w:val="center"/>
                </w:tcPr>
                <w:p>
                  <w:pPr>
                    <w:jc w:val="center"/>
                  </w:pPr>
                  <w: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pPr>
                  <w:r>
                    <w:t>NO</w:t>
                  </w:r>
                  <w:r>
                    <w:rPr>
                      <w:vertAlign w:val="subscript"/>
                    </w:rPr>
                    <w:t>2</w:t>
                  </w:r>
                </w:p>
              </w:tc>
              <w:tc>
                <w:tcPr>
                  <w:tcW w:w="1986" w:type="dxa"/>
                  <w:vMerge w:val="continue"/>
                  <w:vAlign w:val="center"/>
                </w:tcPr>
                <w:p>
                  <w:pPr>
                    <w:widowControl/>
                    <w:jc w:val="left"/>
                    <w:rPr>
                      <w:szCs w:val="21"/>
                    </w:rPr>
                  </w:pPr>
                </w:p>
              </w:tc>
              <w:tc>
                <w:tcPr>
                  <w:tcW w:w="1299" w:type="dxa"/>
                  <w:vAlign w:val="center"/>
                </w:tcPr>
                <w:p>
                  <w:pPr>
                    <w:jc w:val="center"/>
                  </w:pPr>
                </w:p>
              </w:tc>
              <w:tc>
                <w:tcPr>
                  <w:tcW w:w="1146" w:type="dxa"/>
                  <w:vAlign w:val="center"/>
                </w:tcPr>
                <w:p>
                  <w:pPr>
                    <w:jc w:val="center"/>
                  </w:pPr>
                  <w:r>
                    <w:t>40</w:t>
                  </w:r>
                </w:p>
              </w:tc>
              <w:tc>
                <w:tcPr>
                  <w:tcW w:w="1272" w:type="dxa"/>
                  <w:vAlign w:val="center"/>
                </w:tcPr>
                <w:p>
                  <w:pPr>
                    <w:jc w:val="center"/>
                  </w:pPr>
                </w:p>
              </w:tc>
              <w:tc>
                <w:tcPr>
                  <w:tcW w:w="1137" w:type="dxa"/>
                  <w:vAlign w:val="center"/>
                </w:tcPr>
                <w:p>
                  <w:pPr>
                    <w:jc w:val="center"/>
                  </w:pPr>
                  <w: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pPr>
                  <w:r>
                    <w:t>PM</w:t>
                  </w:r>
                  <w:r>
                    <w:rPr>
                      <w:vertAlign w:val="subscript"/>
                    </w:rPr>
                    <w:t>10</w:t>
                  </w:r>
                </w:p>
              </w:tc>
              <w:tc>
                <w:tcPr>
                  <w:tcW w:w="1986" w:type="dxa"/>
                  <w:vMerge w:val="continue"/>
                  <w:vAlign w:val="center"/>
                </w:tcPr>
                <w:p>
                  <w:pPr>
                    <w:widowControl/>
                    <w:jc w:val="left"/>
                    <w:rPr>
                      <w:szCs w:val="21"/>
                    </w:rPr>
                  </w:pPr>
                </w:p>
              </w:tc>
              <w:tc>
                <w:tcPr>
                  <w:tcW w:w="1299" w:type="dxa"/>
                  <w:vAlign w:val="center"/>
                </w:tcPr>
                <w:p>
                  <w:pPr>
                    <w:jc w:val="center"/>
                  </w:pPr>
                </w:p>
              </w:tc>
              <w:tc>
                <w:tcPr>
                  <w:tcW w:w="1146" w:type="dxa"/>
                  <w:vAlign w:val="center"/>
                </w:tcPr>
                <w:p>
                  <w:pPr>
                    <w:jc w:val="center"/>
                  </w:pPr>
                  <w:r>
                    <w:t>70</w:t>
                  </w:r>
                </w:p>
              </w:tc>
              <w:tc>
                <w:tcPr>
                  <w:tcW w:w="1272" w:type="dxa"/>
                  <w:vAlign w:val="center"/>
                </w:tcPr>
                <w:p>
                  <w:pPr>
                    <w:jc w:val="center"/>
                  </w:pPr>
                </w:p>
              </w:tc>
              <w:tc>
                <w:tcPr>
                  <w:tcW w:w="1137" w:type="dxa"/>
                  <w:vAlign w:val="center"/>
                </w:tcPr>
                <w:p>
                  <w:pPr>
                    <w:jc w:val="center"/>
                  </w:pPr>
                  <w: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pPr>
                  <w:r>
                    <w:t>PM</w:t>
                  </w:r>
                  <w:r>
                    <w:rPr>
                      <w:vertAlign w:val="subscript"/>
                    </w:rPr>
                    <w:t>2.5</w:t>
                  </w:r>
                </w:p>
              </w:tc>
              <w:tc>
                <w:tcPr>
                  <w:tcW w:w="1986" w:type="dxa"/>
                  <w:vMerge w:val="continue"/>
                  <w:vAlign w:val="center"/>
                </w:tcPr>
                <w:p>
                  <w:pPr>
                    <w:widowControl/>
                    <w:jc w:val="left"/>
                    <w:rPr>
                      <w:szCs w:val="21"/>
                    </w:rPr>
                  </w:pPr>
                </w:p>
              </w:tc>
              <w:tc>
                <w:tcPr>
                  <w:tcW w:w="1299" w:type="dxa"/>
                  <w:vAlign w:val="center"/>
                </w:tcPr>
                <w:p>
                  <w:pPr>
                    <w:jc w:val="center"/>
                  </w:pPr>
                </w:p>
              </w:tc>
              <w:tc>
                <w:tcPr>
                  <w:tcW w:w="1146" w:type="dxa"/>
                  <w:vAlign w:val="center"/>
                </w:tcPr>
                <w:p>
                  <w:pPr>
                    <w:jc w:val="center"/>
                  </w:pPr>
                  <w:r>
                    <w:t>35</w:t>
                  </w:r>
                </w:p>
              </w:tc>
              <w:tc>
                <w:tcPr>
                  <w:tcW w:w="1272" w:type="dxa"/>
                  <w:vAlign w:val="center"/>
                </w:tcPr>
                <w:p>
                  <w:pPr>
                    <w:jc w:val="center"/>
                  </w:pPr>
                </w:p>
              </w:tc>
              <w:tc>
                <w:tcPr>
                  <w:tcW w:w="1137" w:type="dxa"/>
                  <w:vAlign w:val="center"/>
                </w:tcPr>
                <w:p>
                  <w:pPr>
                    <w:jc w:val="center"/>
                  </w:pPr>
                  <w: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pPr>
                  <w:r>
                    <w:t>O</w:t>
                  </w:r>
                  <w:r>
                    <w:rPr>
                      <w:vertAlign w:val="subscript"/>
                    </w:rPr>
                    <w:t>3</w:t>
                  </w:r>
                </w:p>
              </w:tc>
              <w:tc>
                <w:tcPr>
                  <w:tcW w:w="1986" w:type="dxa"/>
                  <w:vAlign w:val="center"/>
                </w:tcPr>
                <w:p>
                  <w:pPr>
                    <w:jc w:val="center"/>
                  </w:pPr>
                  <w:r>
                    <w:t>百分位数8h平均质量浓度</w:t>
                  </w:r>
                </w:p>
              </w:tc>
              <w:tc>
                <w:tcPr>
                  <w:tcW w:w="1299" w:type="dxa"/>
                  <w:vAlign w:val="center"/>
                </w:tcPr>
                <w:p>
                  <w:pPr>
                    <w:jc w:val="center"/>
                  </w:pPr>
                </w:p>
              </w:tc>
              <w:tc>
                <w:tcPr>
                  <w:tcW w:w="1146" w:type="dxa"/>
                  <w:vAlign w:val="center"/>
                </w:tcPr>
                <w:p>
                  <w:pPr>
                    <w:jc w:val="center"/>
                  </w:pPr>
                  <w:r>
                    <w:t>160</w:t>
                  </w:r>
                </w:p>
              </w:tc>
              <w:tc>
                <w:tcPr>
                  <w:tcW w:w="1272" w:type="dxa"/>
                  <w:vAlign w:val="center"/>
                </w:tcPr>
                <w:p>
                  <w:pPr>
                    <w:jc w:val="center"/>
                  </w:pPr>
                </w:p>
              </w:tc>
              <w:tc>
                <w:tcPr>
                  <w:tcW w:w="1137" w:type="dxa"/>
                  <w:vAlign w:val="center"/>
                </w:tcPr>
                <w:p>
                  <w:pPr>
                    <w:jc w:val="center"/>
                  </w:pPr>
                  <w: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00" w:type="dxa"/>
                  <w:vAlign w:val="center"/>
                </w:tcPr>
                <w:p>
                  <w:pPr>
                    <w:jc w:val="center"/>
                  </w:pPr>
                  <w:r>
                    <w:t>CO</w:t>
                  </w:r>
                </w:p>
              </w:tc>
              <w:tc>
                <w:tcPr>
                  <w:tcW w:w="1986" w:type="dxa"/>
                  <w:vAlign w:val="center"/>
                </w:tcPr>
                <w:p>
                  <w:pPr>
                    <w:jc w:val="center"/>
                  </w:pPr>
                  <w:r>
                    <w:t>百分位数日平均质量浓度</w:t>
                  </w:r>
                </w:p>
              </w:tc>
              <w:tc>
                <w:tcPr>
                  <w:tcW w:w="1299" w:type="dxa"/>
                  <w:vAlign w:val="center"/>
                </w:tcPr>
                <w:p>
                  <w:pPr>
                    <w:jc w:val="center"/>
                  </w:pPr>
                </w:p>
              </w:tc>
              <w:tc>
                <w:tcPr>
                  <w:tcW w:w="1146" w:type="dxa"/>
                  <w:vAlign w:val="center"/>
                </w:tcPr>
                <w:p>
                  <w:pPr>
                    <w:jc w:val="center"/>
                  </w:pPr>
                  <w:r>
                    <w:t>4mg/Nm</w:t>
                  </w:r>
                  <w:r>
                    <w:rPr>
                      <w:vertAlign w:val="superscript"/>
                    </w:rPr>
                    <w:t>3</w:t>
                  </w:r>
                </w:p>
              </w:tc>
              <w:tc>
                <w:tcPr>
                  <w:tcW w:w="1272" w:type="dxa"/>
                  <w:vAlign w:val="center"/>
                </w:tcPr>
                <w:p>
                  <w:pPr>
                    <w:jc w:val="center"/>
                  </w:pPr>
                </w:p>
              </w:tc>
              <w:tc>
                <w:tcPr>
                  <w:tcW w:w="1137" w:type="dxa"/>
                  <w:vAlign w:val="center"/>
                </w:tcPr>
                <w:p>
                  <w:pPr>
                    <w:jc w:val="center"/>
                  </w:pPr>
                  <w:r>
                    <w:t>达标</w:t>
                  </w:r>
                </w:p>
              </w:tc>
            </w:tr>
          </w:tbl>
          <w:p>
            <w:pPr>
              <w:spacing w:line="520" w:lineRule="exact"/>
              <w:ind w:firstLine="482"/>
              <w:rPr>
                <w:sz w:val="24"/>
              </w:rPr>
            </w:pPr>
            <w:r>
              <w:rPr>
                <w:bCs/>
                <w:sz w:val="24"/>
              </w:rPr>
              <w:t>根据翼城县2024年环境空气质量状况数据统计表可知，项目所在区域监测因子PM</w:t>
            </w:r>
            <w:r>
              <w:rPr>
                <w:bCs/>
                <w:sz w:val="24"/>
                <w:vertAlign w:val="subscript"/>
              </w:rPr>
              <w:t>10</w:t>
            </w:r>
            <w:r>
              <w:rPr>
                <w:bCs/>
                <w:sz w:val="24"/>
              </w:rPr>
              <w:t>、PM</w:t>
            </w:r>
            <w:r>
              <w:rPr>
                <w:bCs/>
                <w:sz w:val="24"/>
                <w:vertAlign w:val="subscript"/>
              </w:rPr>
              <w:t>2.5</w:t>
            </w:r>
            <w:r>
              <w:rPr>
                <w:bCs/>
                <w:sz w:val="24"/>
              </w:rPr>
              <w:t>、SO</w:t>
            </w:r>
            <w:r>
              <w:rPr>
                <w:bCs/>
                <w:sz w:val="24"/>
                <w:vertAlign w:val="subscript"/>
              </w:rPr>
              <w:t>2</w:t>
            </w:r>
            <w:r>
              <w:rPr>
                <w:bCs/>
                <w:sz w:val="24"/>
              </w:rPr>
              <w:t>、NO</w:t>
            </w:r>
            <w:r>
              <w:rPr>
                <w:bCs/>
                <w:sz w:val="24"/>
                <w:vertAlign w:val="subscript"/>
              </w:rPr>
              <w:t>2</w:t>
            </w:r>
            <w:r>
              <w:rPr>
                <w:bCs/>
                <w:sz w:val="24"/>
              </w:rPr>
              <w:t>年均浓度值达标，CO百分位数日平均质量浓度值达标；O</w:t>
            </w:r>
            <w:r>
              <w:rPr>
                <w:bCs/>
                <w:sz w:val="24"/>
                <w:vertAlign w:val="subscript"/>
              </w:rPr>
              <w:t>3</w:t>
            </w:r>
            <w:r>
              <w:rPr>
                <w:bCs/>
                <w:sz w:val="24"/>
              </w:rPr>
              <w:t>百分位数8h平均质量浓度值不达标。项目所在区域为不达标区域。</w:t>
            </w:r>
          </w:p>
          <w:p>
            <w:pPr>
              <w:spacing w:line="520" w:lineRule="exact"/>
              <w:ind w:firstLine="482" w:firstLineChars="200"/>
              <w:rPr>
                <w:b/>
                <w:bCs/>
                <w:kern w:val="0"/>
                <w:sz w:val="24"/>
              </w:rPr>
            </w:pPr>
            <w:r>
              <w:rPr>
                <w:b/>
                <w:bCs/>
                <w:kern w:val="0"/>
                <w:sz w:val="24"/>
              </w:rPr>
              <w:t>3.1.2特征污染物</w:t>
            </w:r>
          </w:p>
          <w:p>
            <w:pPr>
              <w:spacing w:line="520" w:lineRule="exact"/>
              <w:ind w:firstLine="480" w:firstLineChars="200"/>
              <w:rPr>
                <w:bCs/>
                <w:kern w:val="0"/>
                <w:sz w:val="24"/>
              </w:rPr>
            </w:pPr>
            <w:r>
              <w:rPr>
                <w:bCs/>
                <w:kern w:val="0"/>
                <w:sz w:val="24"/>
              </w:rPr>
              <w:t>本次评价选取TSP、非甲烷总烃作为补充监测因子，委托山西华涵净环境检测有限公司于2025年4月21日—2025年4月23日对郇壁村进行了环境空气质量现状监测，</w:t>
            </w:r>
            <w:r>
              <w:rPr>
                <w:kern w:val="0"/>
                <w:sz w:val="24"/>
              </w:rPr>
              <w:t>监测点位郇壁村位于本项目西南540米处，</w:t>
            </w:r>
            <w:r>
              <w:rPr>
                <w:bCs/>
                <w:kern w:val="0"/>
                <w:sz w:val="24"/>
              </w:rPr>
              <w:t>监测因子为TSP、非甲烷总烃，监测结果见下表。</w:t>
            </w:r>
          </w:p>
          <w:p>
            <w:pPr>
              <w:spacing w:line="520" w:lineRule="exact"/>
              <w:ind w:firstLine="480" w:firstLineChars="200"/>
              <w:rPr>
                <w:bCs/>
                <w:kern w:val="0"/>
                <w:sz w:val="24"/>
              </w:rPr>
            </w:pPr>
            <w:r>
              <w:rPr>
                <w:bCs/>
                <w:kern w:val="0"/>
                <w:sz w:val="24"/>
              </w:rPr>
              <w:t>监测报告见附件</w:t>
            </w:r>
          </w:p>
          <w:p>
            <w:pPr>
              <w:spacing w:line="360" w:lineRule="auto"/>
              <w:jc w:val="center"/>
              <w:rPr>
                <w:b/>
                <w:bCs/>
                <w:szCs w:val="21"/>
              </w:rPr>
            </w:pPr>
            <w:r>
              <w:rPr>
                <w:b/>
                <w:bCs/>
                <w:szCs w:val="21"/>
              </w:rPr>
              <w:t>表3-2</w:t>
            </w:r>
            <w:r>
              <w:rPr>
                <w:rFonts w:hint="eastAsia"/>
                <w:b/>
                <w:bCs/>
                <w:szCs w:val="21"/>
              </w:rPr>
              <w:t>.1</w:t>
            </w:r>
            <w:r>
              <w:rPr>
                <w:b/>
                <w:bCs/>
                <w:szCs w:val="21"/>
              </w:rPr>
              <w:t xml:space="preserve">  特征污染物监测结果</w:t>
            </w:r>
          </w:p>
          <w:tbl>
            <w:tblPr>
              <w:tblStyle w:val="22"/>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0"/>
              <w:gridCol w:w="1007"/>
              <w:gridCol w:w="1901"/>
              <w:gridCol w:w="1604"/>
              <w:gridCol w:w="1293"/>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6" w:type="pct"/>
                  <w:vAlign w:val="center"/>
                </w:tcPr>
                <w:p>
                  <w:pPr>
                    <w:autoSpaceDE w:val="0"/>
                    <w:adjustRightInd w:val="0"/>
                    <w:jc w:val="center"/>
                    <w:textAlignment w:val="baseline"/>
                    <w:rPr>
                      <w:kern w:val="44"/>
                      <w:szCs w:val="21"/>
                    </w:rPr>
                  </w:pPr>
                  <w:bookmarkStart w:id="7" w:name="5、质量保证措施完成情况"/>
                  <w:bookmarkEnd w:id="7"/>
                  <w:r>
                    <w:rPr>
                      <w:kern w:val="44"/>
                      <w:szCs w:val="21"/>
                    </w:rPr>
                    <w:t>监测点位</w:t>
                  </w:r>
                </w:p>
              </w:tc>
              <w:tc>
                <w:tcPr>
                  <w:tcW w:w="644" w:type="pct"/>
                  <w:vAlign w:val="center"/>
                </w:tcPr>
                <w:p>
                  <w:pPr>
                    <w:autoSpaceDE w:val="0"/>
                    <w:adjustRightInd w:val="0"/>
                    <w:jc w:val="center"/>
                    <w:textAlignment w:val="baseline"/>
                    <w:rPr>
                      <w:kern w:val="44"/>
                      <w:szCs w:val="21"/>
                    </w:rPr>
                  </w:pPr>
                  <w:r>
                    <w:rPr>
                      <w:kern w:val="44"/>
                      <w:szCs w:val="21"/>
                    </w:rPr>
                    <w:t>监测项目</w:t>
                  </w:r>
                </w:p>
              </w:tc>
              <w:tc>
                <w:tcPr>
                  <w:tcW w:w="1216" w:type="pct"/>
                  <w:vAlign w:val="center"/>
                </w:tcPr>
                <w:p>
                  <w:pPr>
                    <w:autoSpaceDE w:val="0"/>
                    <w:adjustRightInd w:val="0"/>
                    <w:jc w:val="center"/>
                    <w:textAlignment w:val="baseline"/>
                    <w:rPr>
                      <w:kern w:val="44"/>
                      <w:szCs w:val="21"/>
                    </w:rPr>
                  </w:pPr>
                  <w:r>
                    <w:rPr>
                      <w:kern w:val="44"/>
                      <w:szCs w:val="21"/>
                    </w:rPr>
                    <w:t>时间</w:t>
                  </w:r>
                </w:p>
              </w:tc>
              <w:tc>
                <w:tcPr>
                  <w:tcW w:w="1026" w:type="pct"/>
                  <w:vAlign w:val="center"/>
                </w:tcPr>
                <w:p>
                  <w:pPr>
                    <w:autoSpaceDE w:val="0"/>
                    <w:autoSpaceDN w:val="0"/>
                    <w:adjustRightInd w:val="0"/>
                    <w:jc w:val="center"/>
                    <w:rPr>
                      <w:kern w:val="44"/>
                      <w:szCs w:val="21"/>
                    </w:rPr>
                  </w:pPr>
                  <w:r>
                    <w:rPr>
                      <w:kern w:val="44"/>
                      <w:szCs w:val="21"/>
                    </w:rPr>
                    <w:t>监测浓度/</w:t>
                  </w:r>
                </w:p>
                <w:p>
                  <w:pPr>
                    <w:autoSpaceDE w:val="0"/>
                    <w:autoSpaceDN w:val="0"/>
                    <w:adjustRightInd w:val="0"/>
                    <w:jc w:val="center"/>
                    <w:rPr>
                      <w:snapToGrid w:val="0"/>
                      <w:kern w:val="0"/>
                      <w:szCs w:val="21"/>
                    </w:rPr>
                  </w:pPr>
                  <w:r>
                    <w:rPr>
                      <w:kern w:val="44"/>
                      <w:szCs w:val="21"/>
                    </w:rPr>
                    <w:t>（μg /m</w:t>
                  </w:r>
                  <w:r>
                    <w:rPr>
                      <w:kern w:val="44"/>
                      <w:szCs w:val="21"/>
                      <w:vertAlign w:val="superscript"/>
                    </w:rPr>
                    <w:t>3</w:t>
                  </w:r>
                  <w:r>
                    <w:rPr>
                      <w:kern w:val="44"/>
                      <w:szCs w:val="21"/>
                    </w:rPr>
                    <w:t>）</w:t>
                  </w:r>
                </w:p>
              </w:tc>
              <w:tc>
                <w:tcPr>
                  <w:tcW w:w="827" w:type="pct"/>
                  <w:vAlign w:val="center"/>
                </w:tcPr>
                <w:p>
                  <w:pPr>
                    <w:autoSpaceDE w:val="0"/>
                    <w:adjustRightInd w:val="0"/>
                    <w:jc w:val="center"/>
                    <w:textAlignment w:val="baseline"/>
                    <w:rPr>
                      <w:kern w:val="44"/>
                      <w:szCs w:val="21"/>
                    </w:rPr>
                  </w:pPr>
                  <w:r>
                    <w:rPr>
                      <w:kern w:val="44"/>
                      <w:szCs w:val="21"/>
                    </w:rPr>
                    <w:t>评价标准/</w:t>
                  </w:r>
                </w:p>
                <w:p>
                  <w:pPr>
                    <w:autoSpaceDE w:val="0"/>
                    <w:adjustRightInd w:val="0"/>
                    <w:jc w:val="center"/>
                    <w:textAlignment w:val="baseline"/>
                    <w:rPr>
                      <w:kern w:val="44"/>
                      <w:szCs w:val="21"/>
                    </w:rPr>
                  </w:pPr>
                  <w:r>
                    <w:rPr>
                      <w:kern w:val="44"/>
                      <w:szCs w:val="21"/>
                    </w:rPr>
                    <w:t>（μg /m</w:t>
                  </w:r>
                  <w:r>
                    <w:rPr>
                      <w:kern w:val="44"/>
                      <w:szCs w:val="21"/>
                      <w:vertAlign w:val="superscript"/>
                    </w:rPr>
                    <w:t>3</w:t>
                  </w:r>
                  <w:r>
                    <w:rPr>
                      <w:kern w:val="44"/>
                      <w:szCs w:val="21"/>
                    </w:rPr>
                    <w:t>）</w:t>
                  </w:r>
                </w:p>
              </w:tc>
              <w:tc>
                <w:tcPr>
                  <w:tcW w:w="641" w:type="pct"/>
                  <w:vAlign w:val="center"/>
                </w:tcPr>
                <w:p>
                  <w:pPr>
                    <w:autoSpaceDE w:val="0"/>
                    <w:adjustRightInd w:val="0"/>
                    <w:jc w:val="center"/>
                    <w:textAlignment w:val="baseline"/>
                    <w:rPr>
                      <w:kern w:val="44"/>
                      <w:szCs w:val="21"/>
                    </w:rPr>
                  </w:pPr>
                  <w:r>
                    <w:rPr>
                      <w:kern w:val="44"/>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restart"/>
                  <w:vAlign w:val="center"/>
                </w:tcPr>
                <w:p>
                  <w:pPr>
                    <w:autoSpaceDE w:val="0"/>
                    <w:adjustRightInd w:val="0"/>
                    <w:jc w:val="center"/>
                    <w:textAlignment w:val="baseline"/>
                    <w:rPr>
                      <w:kern w:val="44"/>
                      <w:szCs w:val="21"/>
                    </w:rPr>
                  </w:pPr>
                  <w:r>
                    <w:rPr>
                      <w:szCs w:val="21"/>
                    </w:rPr>
                    <w:t>郇壁村</w:t>
                  </w:r>
                </w:p>
              </w:tc>
              <w:tc>
                <w:tcPr>
                  <w:tcW w:w="644" w:type="pct"/>
                  <w:vMerge w:val="restart"/>
                  <w:vAlign w:val="center"/>
                </w:tcPr>
                <w:p>
                  <w:pPr>
                    <w:autoSpaceDE w:val="0"/>
                    <w:adjustRightInd w:val="0"/>
                    <w:jc w:val="center"/>
                    <w:textAlignment w:val="baseline"/>
                    <w:rPr>
                      <w:kern w:val="44"/>
                      <w:szCs w:val="21"/>
                    </w:rPr>
                  </w:pPr>
                  <w:r>
                    <w:rPr>
                      <w:kern w:val="44"/>
                      <w:szCs w:val="21"/>
                    </w:rPr>
                    <w:t>TSP</w:t>
                  </w:r>
                </w:p>
              </w:tc>
              <w:tc>
                <w:tcPr>
                  <w:tcW w:w="1216" w:type="pct"/>
                  <w:vAlign w:val="center"/>
                </w:tcPr>
                <w:p>
                  <w:pPr>
                    <w:widowControl/>
                    <w:adjustRightInd w:val="0"/>
                    <w:snapToGrid w:val="0"/>
                    <w:jc w:val="center"/>
                    <w:textAlignment w:val="center"/>
                    <w:rPr>
                      <w:szCs w:val="21"/>
                    </w:rPr>
                  </w:pPr>
                  <w:r>
                    <w:rPr>
                      <w:szCs w:val="21"/>
                    </w:rPr>
                    <w:t>2025.04.21</w:t>
                  </w:r>
                </w:p>
              </w:tc>
              <w:tc>
                <w:tcPr>
                  <w:tcW w:w="1026" w:type="pct"/>
                  <w:vAlign w:val="center"/>
                </w:tcPr>
                <w:p>
                  <w:pPr>
                    <w:autoSpaceDE w:val="0"/>
                    <w:adjustRightInd w:val="0"/>
                    <w:jc w:val="center"/>
                    <w:textAlignment w:val="baseline"/>
                    <w:rPr>
                      <w:kern w:val="44"/>
                      <w:szCs w:val="21"/>
                    </w:rPr>
                  </w:pPr>
                </w:p>
              </w:tc>
              <w:tc>
                <w:tcPr>
                  <w:tcW w:w="827" w:type="pct"/>
                  <w:vMerge w:val="restart"/>
                  <w:vAlign w:val="center"/>
                </w:tcPr>
                <w:p>
                  <w:pPr>
                    <w:autoSpaceDE w:val="0"/>
                    <w:adjustRightInd w:val="0"/>
                    <w:jc w:val="center"/>
                    <w:textAlignment w:val="baseline"/>
                    <w:rPr>
                      <w:kern w:val="44"/>
                      <w:szCs w:val="21"/>
                    </w:rPr>
                  </w:pPr>
                  <w:r>
                    <w:rPr>
                      <w:kern w:val="44"/>
                      <w:szCs w:val="21"/>
                    </w:rPr>
                    <w:t>300</w:t>
                  </w:r>
                </w:p>
              </w:tc>
              <w:tc>
                <w:tcPr>
                  <w:tcW w:w="641" w:type="pct"/>
                  <w:vAlign w:val="center"/>
                </w:tcPr>
                <w:p>
                  <w:pPr>
                    <w:autoSpaceDE w:val="0"/>
                    <w:adjustRightInd w:val="0"/>
                    <w:jc w:val="center"/>
                    <w:textAlignment w:val="baseline"/>
                    <w:rPr>
                      <w:kern w:val="44"/>
                      <w:szCs w:val="21"/>
                    </w:rPr>
                  </w:pPr>
                  <w:r>
                    <w:rPr>
                      <w:kern w:val="44"/>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6" w:type="pct"/>
                  <w:vMerge w:val="continue"/>
                  <w:vAlign w:val="center"/>
                </w:tcPr>
                <w:p>
                  <w:pPr>
                    <w:autoSpaceDE w:val="0"/>
                    <w:adjustRightInd w:val="0"/>
                    <w:jc w:val="center"/>
                    <w:textAlignment w:val="baseline"/>
                    <w:rPr>
                      <w:kern w:val="44"/>
                      <w:szCs w:val="21"/>
                    </w:rPr>
                  </w:pPr>
                </w:p>
              </w:tc>
              <w:tc>
                <w:tcPr>
                  <w:tcW w:w="644" w:type="pct"/>
                  <w:vMerge w:val="continue"/>
                  <w:vAlign w:val="center"/>
                </w:tcPr>
                <w:p>
                  <w:pPr>
                    <w:autoSpaceDE w:val="0"/>
                    <w:adjustRightInd w:val="0"/>
                    <w:jc w:val="center"/>
                    <w:textAlignment w:val="baseline"/>
                    <w:rPr>
                      <w:kern w:val="44"/>
                      <w:szCs w:val="21"/>
                    </w:rPr>
                  </w:pPr>
                </w:p>
              </w:tc>
              <w:tc>
                <w:tcPr>
                  <w:tcW w:w="1216" w:type="pct"/>
                  <w:vAlign w:val="center"/>
                </w:tcPr>
                <w:p>
                  <w:pPr>
                    <w:widowControl/>
                    <w:adjustRightInd w:val="0"/>
                    <w:snapToGrid w:val="0"/>
                    <w:jc w:val="center"/>
                    <w:textAlignment w:val="center"/>
                    <w:rPr>
                      <w:szCs w:val="21"/>
                    </w:rPr>
                  </w:pPr>
                  <w:r>
                    <w:rPr>
                      <w:szCs w:val="21"/>
                    </w:rPr>
                    <w:t>2025.04.22</w:t>
                  </w:r>
                </w:p>
              </w:tc>
              <w:tc>
                <w:tcPr>
                  <w:tcW w:w="1026" w:type="pct"/>
                  <w:vAlign w:val="center"/>
                </w:tcPr>
                <w:p>
                  <w:pPr>
                    <w:autoSpaceDE w:val="0"/>
                    <w:adjustRightInd w:val="0"/>
                    <w:jc w:val="center"/>
                    <w:textAlignment w:val="baseline"/>
                    <w:rPr>
                      <w:kern w:val="44"/>
                      <w:szCs w:val="21"/>
                    </w:rPr>
                  </w:pPr>
                </w:p>
              </w:tc>
              <w:tc>
                <w:tcPr>
                  <w:tcW w:w="827" w:type="pct"/>
                  <w:vMerge w:val="continue"/>
                  <w:vAlign w:val="center"/>
                </w:tcPr>
                <w:p>
                  <w:pPr>
                    <w:autoSpaceDE w:val="0"/>
                    <w:adjustRightInd w:val="0"/>
                    <w:jc w:val="center"/>
                    <w:textAlignment w:val="baseline"/>
                    <w:rPr>
                      <w:kern w:val="44"/>
                      <w:szCs w:val="21"/>
                    </w:rPr>
                  </w:pPr>
                </w:p>
              </w:tc>
              <w:tc>
                <w:tcPr>
                  <w:tcW w:w="641" w:type="pct"/>
                  <w:vAlign w:val="center"/>
                </w:tcPr>
                <w:p>
                  <w:pPr>
                    <w:autoSpaceDE w:val="0"/>
                    <w:adjustRightInd w:val="0"/>
                    <w:jc w:val="center"/>
                    <w:textAlignment w:val="baseline"/>
                    <w:rPr>
                      <w:kern w:val="44"/>
                      <w:szCs w:val="21"/>
                    </w:rPr>
                  </w:pPr>
                  <w:r>
                    <w:rPr>
                      <w:kern w:val="44"/>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6" w:type="pct"/>
                  <w:vMerge w:val="continue"/>
                  <w:vAlign w:val="center"/>
                </w:tcPr>
                <w:p>
                  <w:pPr>
                    <w:autoSpaceDE w:val="0"/>
                    <w:adjustRightInd w:val="0"/>
                    <w:jc w:val="center"/>
                    <w:textAlignment w:val="baseline"/>
                    <w:rPr>
                      <w:kern w:val="44"/>
                      <w:szCs w:val="21"/>
                    </w:rPr>
                  </w:pPr>
                </w:p>
              </w:tc>
              <w:tc>
                <w:tcPr>
                  <w:tcW w:w="644" w:type="pct"/>
                  <w:vMerge w:val="continue"/>
                  <w:vAlign w:val="center"/>
                </w:tcPr>
                <w:p>
                  <w:pPr>
                    <w:autoSpaceDE w:val="0"/>
                    <w:adjustRightInd w:val="0"/>
                    <w:jc w:val="center"/>
                    <w:textAlignment w:val="baseline"/>
                    <w:rPr>
                      <w:kern w:val="44"/>
                      <w:szCs w:val="21"/>
                    </w:rPr>
                  </w:pPr>
                </w:p>
              </w:tc>
              <w:tc>
                <w:tcPr>
                  <w:tcW w:w="1216" w:type="pct"/>
                  <w:vAlign w:val="center"/>
                </w:tcPr>
                <w:p>
                  <w:pPr>
                    <w:widowControl/>
                    <w:adjustRightInd w:val="0"/>
                    <w:snapToGrid w:val="0"/>
                    <w:jc w:val="center"/>
                    <w:textAlignment w:val="center"/>
                    <w:rPr>
                      <w:szCs w:val="21"/>
                    </w:rPr>
                  </w:pPr>
                  <w:r>
                    <w:rPr>
                      <w:szCs w:val="21"/>
                    </w:rPr>
                    <w:t>2025.04.23</w:t>
                  </w:r>
                </w:p>
              </w:tc>
              <w:tc>
                <w:tcPr>
                  <w:tcW w:w="1026" w:type="pct"/>
                  <w:vAlign w:val="center"/>
                </w:tcPr>
                <w:p>
                  <w:pPr>
                    <w:autoSpaceDE w:val="0"/>
                    <w:adjustRightInd w:val="0"/>
                    <w:jc w:val="center"/>
                    <w:textAlignment w:val="baseline"/>
                    <w:rPr>
                      <w:kern w:val="44"/>
                      <w:szCs w:val="21"/>
                    </w:rPr>
                  </w:pPr>
                </w:p>
              </w:tc>
              <w:tc>
                <w:tcPr>
                  <w:tcW w:w="827" w:type="pct"/>
                  <w:vMerge w:val="continue"/>
                  <w:vAlign w:val="center"/>
                </w:tcPr>
                <w:p>
                  <w:pPr>
                    <w:autoSpaceDE w:val="0"/>
                    <w:adjustRightInd w:val="0"/>
                    <w:jc w:val="center"/>
                    <w:textAlignment w:val="baseline"/>
                    <w:rPr>
                      <w:kern w:val="44"/>
                      <w:szCs w:val="21"/>
                    </w:rPr>
                  </w:pPr>
                </w:p>
              </w:tc>
              <w:tc>
                <w:tcPr>
                  <w:tcW w:w="641" w:type="pct"/>
                  <w:vAlign w:val="center"/>
                </w:tcPr>
                <w:p>
                  <w:pPr>
                    <w:autoSpaceDE w:val="0"/>
                    <w:adjustRightInd w:val="0"/>
                    <w:jc w:val="center"/>
                    <w:textAlignment w:val="baseline"/>
                    <w:rPr>
                      <w:kern w:val="44"/>
                      <w:szCs w:val="21"/>
                    </w:rPr>
                  </w:pPr>
                  <w:r>
                    <w:rPr>
                      <w:kern w:val="44"/>
                      <w:szCs w:val="21"/>
                    </w:rPr>
                    <w:t>达标</w:t>
                  </w:r>
                </w:p>
              </w:tc>
            </w:tr>
          </w:tbl>
          <w:p>
            <w:pPr>
              <w:spacing w:line="360" w:lineRule="auto"/>
              <w:jc w:val="center"/>
            </w:pPr>
            <w:r>
              <w:rPr>
                <w:b/>
                <w:bCs/>
                <w:szCs w:val="21"/>
              </w:rPr>
              <w:t>表3-2.2  特征污染物监测结果</w:t>
            </w:r>
          </w:p>
          <w:tbl>
            <w:tblPr>
              <w:tblStyle w:val="22"/>
              <w:tblW w:w="0" w:type="auto"/>
              <w:jc w:val="center"/>
              <w:tblLayout w:type="autofit"/>
              <w:tblCellMar>
                <w:top w:w="0" w:type="dxa"/>
                <w:left w:w="0" w:type="dxa"/>
                <w:bottom w:w="0" w:type="dxa"/>
                <w:right w:w="0" w:type="dxa"/>
              </w:tblCellMar>
            </w:tblPr>
            <w:tblGrid>
              <w:gridCol w:w="1134"/>
              <w:gridCol w:w="1151"/>
              <w:gridCol w:w="955"/>
              <w:gridCol w:w="714"/>
              <w:gridCol w:w="721"/>
              <w:gridCol w:w="712"/>
              <w:gridCol w:w="745"/>
              <w:gridCol w:w="989"/>
              <w:gridCol w:w="694"/>
            </w:tblGrid>
            <w:tr>
              <w:trPr>
                <w:trHeight w:val="397" w:hRule="atLeast"/>
                <w:jc w:val="center"/>
              </w:trPr>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kern w:val="44"/>
                      <w:szCs w:val="21"/>
                    </w:rPr>
                    <w:t>监测点位</w:t>
                  </w:r>
                </w:p>
              </w:tc>
              <w:tc>
                <w:tcPr>
                  <w:tcW w:w="1151" w:type="dxa"/>
                  <w:vMerge w:val="restart"/>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kern w:val="44"/>
                      <w:szCs w:val="21"/>
                    </w:rPr>
                    <w:t>监测项目</w:t>
                  </w:r>
                </w:p>
              </w:tc>
              <w:tc>
                <w:tcPr>
                  <w:tcW w:w="955" w:type="dxa"/>
                  <w:vMerge w:val="restart"/>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kern w:val="44"/>
                      <w:szCs w:val="21"/>
                    </w:rPr>
                    <w:t>时间</w:t>
                  </w:r>
                </w:p>
              </w:tc>
              <w:tc>
                <w:tcPr>
                  <w:tcW w:w="2892" w:type="dxa"/>
                  <w:gridSpan w:val="4"/>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采样时间及检测结果（mg/m</w:t>
                  </w:r>
                  <w:r>
                    <w:rPr>
                      <w:rFonts w:ascii="Times New Roman" w:hAnsi="Times New Roman"/>
                      <w:b w:val="0"/>
                      <w:szCs w:val="21"/>
                      <w:vertAlign w:val="superscript"/>
                    </w:rPr>
                    <w:t>3</w:t>
                  </w:r>
                  <w:r>
                    <w:rPr>
                      <w:rFonts w:ascii="Times New Roman" w:hAnsi="Times New Roman"/>
                      <w:b w:val="0"/>
                      <w:szCs w:val="21"/>
                    </w:rPr>
                    <w:t>）</w:t>
                  </w:r>
                </w:p>
              </w:tc>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标准</w:t>
                  </w:r>
                </w:p>
                <w:p>
                  <w:pPr>
                    <w:jc w:val="center"/>
                  </w:pPr>
                  <w:r>
                    <w:rPr>
                      <w:szCs w:val="21"/>
                    </w:rPr>
                    <w:t>（mg/m</w:t>
                  </w:r>
                  <w:r>
                    <w:rPr>
                      <w:szCs w:val="21"/>
                      <w:vertAlign w:val="superscript"/>
                    </w:rPr>
                    <w:t>3</w:t>
                  </w:r>
                  <w:r>
                    <w:rPr>
                      <w:szCs w:val="21"/>
                    </w:rPr>
                    <w:t>）</w:t>
                  </w:r>
                </w:p>
              </w:tc>
              <w:tc>
                <w:tcPr>
                  <w:tcW w:w="694" w:type="dxa"/>
                  <w:vMerge w:val="restart"/>
                  <w:tcBorders>
                    <w:top w:val="single" w:color="000000" w:sz="4" w:space="0"/>
                    <w:left w:val="single" w:color="000000" w:sz="4" w:space="0"/>
                    <w:right w:val="single" w:color="000000" w:sz="4" w:space="0"/>
                  </w:tcBorders>
                  <w:vAlign w:val="center"/>
                </w:tcPr>
                <w:p>
                  <w:pPr>
                    <w:pStyle w:val="31"/>
                    <w:tabs>
                      <w:tab w:val="left" w:pos="7380"/>
                    </w:tabs>
                    <w:spacing w:line="240" w:lineRule="auto"/>
                    <w:rPr>
                      <w:rFonts w:ascii="Times New Roman" w:hAnsi="Times New Roman"/>
                      <w:b w:val="0"/>
                      <w:kern w:val="44"/>
                      <w:szCs w:val="21"/>
                    </w:rPr>
                  </w:pPr>
                  <w:r>
                    <w:rPr>
                      <w:rFonts w:ascii="Times New Roman" w:hAnsi="Times New Roman"/>
                      <w:b w:val="0"/>
                      <w:kern w:val="44"/>
                      <w:szCs w:val="21"/>
                    </w:rPr>
                    <w:t>达标</w:t>
                  </w:r>
                </w:p>
                <w:p>
                  <w:pPr>
                    <w:pStyle w:val="31"/>
                    <w:tabs>
                      <w:tab w:val="left" w:pos="7380"/>
                    </w:tabs>
                    <w:spacing w:line="240" w:lineRule="auto"/>
                    <w:rPr>
                      <w:rFonts w:ascii="Times New Roman" w:hAnsi="Times New Roman"/>
                      <w:b w:val="0"/>
                      <w:szCs w:val="21"/>
                    </w:rPr>
                  </w:pPr>
                  <w:r>
                    <w:rPr>
                      <w:rFonts w:ascii="Times New Roman" w:hAnsi="Times New Roman"/>
                      <w:b w:val="0"/>
                      <w:kern w:val="44"/>
                      <w:szCs w:val="21"/>
                    </w:rPr>
                    <w:t>情况</w:t>
                  </w:r>
                </w:p>
              </w:tc>
            </w:tr>
            <w:tr>
              <w:tblPrEx>
                <w:tblCellMar>
                  <w:top w:w="0" w:type="dxa"/>
                  <w:left w:w="0" w:type="dxa"/>
                  <w:bottom w:w="0" w:type="dxa"/>
                  <w:right w:w="0" w:type="dxa"/>
                </w:tblCellMar>
              </w:tblPrEx>
              <w:trPr>
                <w:trHeight w:val="397" w:hRule="atLeast"/>
                <w:jc w:val="center"/>
              </w:trPr>
              <w:tc>
                <w:tcPr>
                  <w:tcW w:w="1134" w:type="dxa"/>
                  <w:vMerge w:val="continue"/>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1151" w:type="dxa"/>
                  <w:vMerge w:val="continue"/>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955" w:type="dxa"/>
                  <w:vMerge w:val="continue"/>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1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02:00</w:t>
                  </w: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08:00</w:t>
                  </w: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14:00</w:t>
                  </w:r>
                </w:p>
              </w:tc>
              <w:tc>
                <w:tcPr>
                  <w:tcW w:w="74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20:00</w:t>
                  </w:r>
                </w:p>
              </w:tc>
              <w:tc>
                <w:tcPr>
                  <w:tcW w:w="694" w:type="dxa"/>
                  <w:vMerge w:val="continue"/>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694" w:type="dxa"/>
                  <w:vMerge w:val="continue"/>
                  <w:tcBorders>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r>
            <w:tr>
              <w:tblPrEx>
                <w:tblCellMar>
                  <w:top w:w="0" w:type="dxa"/>
                  <w:left w:w="0" w:type="dxa"/>
                  <w:bottom w:w="0" w:type="dxa"/>
                  <w:right w:w="0" w:type="dxa"/>
                </w:tblCellMar>
              </w:tblPrEx>
              <w:trPr>
                <w:trHeight w:val="397"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郇壁村</w:t>
                  </w:r>
                </w:p>
              </w:tc>
              <w:tc>
                <w:tcPr>
                  <w:tcW w:w="115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非甲烷总烃</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2025.04.21</w:t>
                  </w:r>
                </w:p>
              </w:tc>
              <w:tc>
                <w:tcPr>
                  <w:tcW w:w="71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3.0</w:t>
                  </w:r>
                </w:p>
              </w:tc>
              <w:tc>
                <w:tcPr>
                  <w:tcW w:w="69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kern w:val="44"/>
                      <w:szCs w:val="21"/>
                    </w:rPr>
                  </w:pPr>
                  <w:r>
                    <w:rPr>
                      <w:rFonts w:ascii="Times New Roman" w:hAnsi="Times New Roman"/>
                      <w:b w:val="0"/>
                      <w:kern w:val="44"/>
                      <w:szCs w:val="21"/>
                    </w:rPr>
                    <w:t>达标</w:t>
                  </w:r>
                </w:p>
              </w:tc>
            </w:tr>
            <w:tr>
              <w:tblPrEx>
                <w:tblCellMar>
                  <w:top w:w="0" w:type="dxa"/>
                  <w:left w:w="0" w:type="dxa"/>
                  <w:bottom w:w="0" w:type="dxa"/>
                  <w:right w:w="0" w:type="dxa"/>
                </w:tblCellMar>
              </w:tblPrEx>
              <w:trPr>
                <w:trHeight w:val="397"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郇壁村</w:t>
                  </w:r>
                </w:p>
              </w:tc>
              <w:tc>
                <w:tcPr>
                  <w:tcW w:w="115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非甲烷总烃</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2025.04.22</w:t>
                  </w:r>
                </w:p>
              </w:tc>
              <w:tc>
                <w:tcPr>
                  <w:tcW w:w="71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694" w:type="dxa"/>
                  <w:vMerge w:val="continue"/>
                  <w:tcBorders>
                    <w:top w:val="nil"/>
                    <w:left w:val="single" w:color="000000" w:sz="4" w:space="0"/>
                    <w:bottom w:val="single" w:color="000000" w:sz="4" w:space="0"/>
                    <w:right w:val="single" w:color="000000" w:sz="4" w:space="0"/>
                  </w:tcBorders>
                  <w:vAlign w:val="center"/>
                </w:tcPr>
                <w:p>
                  <w:pPr>
                    <w:pStyle w:val="2"/>
                    <w:ind w:firstLine="420"/>
                    <w:jc w:val="center"/>
                  </w:pPr>
                </w:p>
              </w:tc>
              <w:tc>
                <w:tcPr>
                  <w:tcW w:w="694" w:type="dxa"/>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kern w:val="44"/>
                      <w:szCs w:val="21"/>
                    </w:rPr>
                  </w:pPr>
                  <w:r>
                    <w:rPr>
                      <w:rFonts w:ascii="Times New Roman" w:hAnsi="Times New Roman"/>
                      <w:b w:val="0"/>
                      <w:kern w:val="44"/>
                      <w:szCs w:val="21"/>
                    </w:rPr>
                    <w:t>达标</w:t>
                  </w:r>
                </w:p>
              </w:tc>
            </w:tr>
            <w:tr>
              <w:tblPrEx>
                <w:tblCellMar>
                  <w:top w:w="0" w:type="dxa"/>
                  <w:left w:w="0" w:type="dxa"/>
                  <w:bottom w:w="0" w:type="dxa"/>
                  <w:right w:w="0" w:type="dxa"/>
                </w:tblCellMar>
              </w:tblPrEx>
              <w:trPr>
                <w:trHeight w:val="397"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郇壁村</w:t>
                  </w:r>
                </w:p>
              </w:tc>
              <w:tc>
                <w:tcPr>
                  <w:tcW w:w="115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非甲烷总烃</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r>
                    <w:rPr>
                      <w:rFonts w:ascii="Times New Roman" w:hAnsi="Times New Roman"/>
                      <w:b w:val="0"/>
                      <w:szCs w:val="21"/>
                    </w:rPr>
                    <w:t>2025.04.23</w:t>
                  </w:r>
                </w:p>
              </w:tc>
              <w:tc>
                <w:tcPr>
                  <w:tcW w:w="714"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szCs w:val="21"/>
                    </w:rPr>
                  </w:pPr>
                </w:p>
              </w:tc>
              <w:tc>
                <w:tcPr>
                  <w:tcW w:w="694" w:type="dxa"/>
                  <w:vMerge w:val="continue"/>
                  <w:tcBorders>
                    <w:top w:val="nil"/>
                    <w:left w:val="single" w:color="000000" w:sz="4" w:space="0"/>
                    <w:bottom w:val="single" w:color="000000" w:sz="4" w:space="0"/>
                    <w:right w:val="single" w:color="000000" w:sz="4" w:space="0"/>
                  </w:tcBorders>
                  <w:vAlign w:val="center"/>
                </w:tcPr>
                <w:p>
                  <w:pPr>
                    <w:pStyle w:val="2"/>
                    <w:ind w:firstLine="420"/>
                    <w:jc w:val="center"/>
                  </w:pPr>
                </w:p>
              </w:tc>
              <w:tc>
                <w:tcPr>
                  <w:tcW w:w="694" w:type="dxa"/>
                  <w:tcBorders>
                    <w:top w:val="nil"/>
                    <w:left w:val="single" w:color="000000" w:sz="4" w:space="0"/>
                    <w:bottom w:val="single" w:color="000000" w:sz="4" w:space="0"/>
                    <w:right w:val="single" w:color="000000" w:sz="4" w:space="0"/>
                  </w:tcBorders>
                  <w:vAlign w:val="center"/>
                </w:tcPr>
                <w:p>
                  <w:pPr>
                    <w:pStyle w:val="31"/>
                    <w:tabs>
                      <w:tab w:val="left" w:pos="7380"/>
                    </w:tabs>
                    <w:spacing w:line="240" w:lineRule="auto"/>
                    <w:rPr>
                      <w:rFonts w:ascii="Times New Roman" w:hAnsi="Times New Roman"/>
                      <w:b w:val="0"/>
                      <w:kern w:val="44"/>
                      <w:szCs w:val="21"/>
                    </w:rPr>
                  </w:pPr>
                  <w:r>
                    <w:rPr>
                      <w:rFonts w:ascii="Times New Roman" w:hAnsi="Times New Roman"/>
                      <w:b w:val="0"/>
                      <w:kern w:val="44"/>
                      <w:szCs w:val="21"/>
                    </w:rPr>
                    <w:t>达标</w:t>
                  </w:r>
                </w:p>
              </w:tc>
            </w:tr>
          </w:tbl>
          <w:p>
            <w:pPr>
              <w:spacing w:line="360" w:lineRule="auto"/>
              <w:ind w:firstLine="480" w:firstLineChars="200"/>
              <w:rPr>
                <w:kern w:val="0"/>
                <w:sz w:val="24"/>
              </w:rPr>
            </w:pPr>
            <w:r>
              <w:rPr>
                <w:kern w:val="0"/>
                <w:sz w:val="24"/>
              </w:rPr>
              <w:t>由监测结果可知，监测点郇壁村TSP的24小时平均浓度、非甲烷总烃1小时平均浓度满足《环境空气质量标准》（GB3095-2012）表2中相关标准要求。</w:t>
            </w:r>
          </w:p>
          <w:p>
            <w:pPr>
              <w:spacing w:line="360" w:lineRule="auto"/>
              <w:ind w:firstLine="482" w:firstLineChars="200"/>
              <w:rPr>
                <w:b/>
                <w:sz w:val="24"/>
              </w:rPr>
            </w:pPr>
            <w:r>
              <w:rPr>
                <w:b/>
                <w:sz w:val="24"/>
              </w:rPr>
              <w:t>3.2地表水环境</w:t>
            </w:r>
          </w:p>
          <w:p>
            <w:pPr>
              <w:spacing w:line="360" w:lineRule="auto"/>
              <w:ind w:firstLine="480" w:firstLineChars="200"/>
              <w:rPr>
                <w:bCs/>
                <w:sz w:val="24"/>
              </w:rPr>
            </w:pPr>
            <w:r>
              <w:rPr>
                <w:bCs/>
                <w:kern w:val="0"/>
                <w:sz w:val="24"/>
                <w:szCs w:val="20"/>
              </w:rPr>
              <w:t>本项目距离最近的地表水体为东南侧2.</w:t>
            </w:r>
            <w:r>
              <w:rPr>
                <w:bCs/>
                <w:sz w:val="24"/>
              </w:rPr>
              <w:t>8</w:t>
            </w:r>
            <w:r>
              <w:rPr>
                <w:bCs/>
                <w:kern w:val="0"/>
                <w:sz w:val="24"/>
                <w:szCs w:val="20"/>
              </w:rPr>
              <w:t>km</w:t>
            </w:r>
            <w:r>
              <w:rPr>
                <w:bCs/>
                <w:sz w:val="24"/>
              </w:rPr>
              <w:t>处</w:t>
            </w:r>
            <w:r>
              <w:rPr>
                <w:bCs/>
                <w:kern w:val="0"/>
                <w:sz w:val="24"/>
                <w:szCs w:val="20"/>
              </w:rPr>
              <w:t>的滏河</w:t>
            </w:r>
            <w:r>
              <w:rPr>
                <w:bCs/>
                <w:sz w:val="24"/>
              </w:rPr>
              <w:t>，属于黄河流域汾河下游区浍河“冶南村南—入汾河干流”段，水环境功能为农业用水保护，水质要求为V类。</w:t>
            </w:r>
            <w:r>
              <w:rPr>
                <w:bCs/>
                <w:kern w:val="0"/>
                <w:sz w:val="24"/>
                <w:szCs w:val="20"/>
              </w:rPr>
              <w:t>本次收集了2024年1月－2024年12月的小韩村断面的水质数据</w:t>
            </w:r>
            <w:r>
              <w:rPr>
                <w:bCs/>
                <w:sz w:val="24"/>
              </w:rPr>
              <w:t>资料，见表3-3。</w:t>
            </w:r>
          </w:p>
          <w:p>
            <w:pPr>
              <w:spacing w:line="360" w:lineRule="auto"/>
              <w:jc w:val="center"/>
              <w:rPr>
                <w:b/>
                <w:bCs/>
                <w:szCs w:val="21"/>
              </w:rPr>
            </w:pPr>
            <w:r>
              <w:rPr>
                <w:b/>
                <w:bCs/>
                <w:szCs w:val="21"/>
              </w:rPr>
              <w:t>表3-3  浍河小韩村地表水例行监测断面2024年度水质月报数据统计表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143"/>
              <w:gridCol w:w="1145"/>
              <w:gridCol w:w="1145"/>
              <w:gridCol w:w="1145"/>
              <w:gridCol w:w="114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8" w:type="pct"/>
                  <w:vAlign w:val="center"/>
                </w:tcPr>
                <w:p>
                  <w:pPr>
                    <w:spacing w:line="260" w:lineRule="exact"/>
                    <w:jc w:val="center"/>
                    <w:rPr>
                      <w:szCs w:val="21"/>
                    </w:rPr>
                  </w:pPr>
                  <w:r>
                    <w:rPr>
                      <w:szCs w:val="21"/>
                    </w:rPr>
                    <w:t>月份</w:t>
                  </w:r>
                </w:p>
              </w:tc>
              <w:tc>
                <w:tcPr>
                  <w:tcW w:w="720" w:type="pct"/>
                  <w:vAlign w:val="center"/>
                </w:tcPr>
                <w:p>
                  <w:pPr>
                    <w:spacing w:line="260" w:lineRule="exact"/>
                    <w:jc w:val="center"/>
                    <w:rPr>
                      <w:szCs w:val="21"/>
                    </w:rPr>
                  </w:pPr>
                  <w:r>
                    <w:rPr>
                      <w:szCs w:val="21"/>
                    </w:rPr>
                    <w:t>1月</w:t>
                  </w:r>
                </w:p>
              </w:tc>
              <w:tc>
                <w:tcPr>
                  <w:tcW w:w="721" w:type="pct"/>
                  <w:vAlign w:val="center"/>
                </w:tcPr>
                <w:p>
                  <w:pPr>
                    <w:spacing w:line="260" w:lineRule="exact"/>
                    <w:jc w:val="center"/>
                    <w:rPr>
                      <w:szCs w:val="21"/>
                    </w:rPr>
                  </w:pPr>
                  <w:r>
                    <w:rPr>
                      <w:szCs w:val="21"/>
                    </w:rPr>
                    <w:t>2月</w:t>
                  </w:r>
                </w:p>
              </w:tc>
              <w:tc>
                <w:tcPr>
                  <w:tcW w:w="721" w:type="pct"/>
                  <w:vAlign w:val="center"/>
                </w:tcPr>
                <w:p>
                  <w:pPr>
                    <w:spacing w:line="260" w:lineRule="exact"/>
                    <w:jc w:val="center"/>
                    <w:rPr>
                      <w:szCs w:val="21"/>
                    </w:rPr>
                  </w:pPr>
                  <w:r>
                    <w:rPr>
                      <w:szCs w:val="21"/>
                    </w:rPr>
                    <w:t>3月</w:t>
                  </w:r>
                </w:p>
              </w:tc>
              <w:tc>
                <w:tcPr>
                  <w:tcW w:w="721" w:type="pct"/>
                  <w:vAlign w:val="center"/>
                </w:tcPr>
                <w:p>
                  <w:pPr>
                    <w:spacing w:line="260" w:lineRule="exact"/>
                    <w:jc w:val="center"/>
                    <w:rPr>
                      <w:szCs w:val="21"/>
                    </w:rPr>
                  </w:pPr>
                  <w:r>
                    <w:rPr>
                      <w:szCs w:val="21"/>
                    </w:rPr>
                    <w:t>4月</w:t>
                  </w:r>
                </w:p>
              </w:tc>
              <w:tc>
                <w:tcPr>
                  <w:tcW w:w="721" w:type="pct"/>
                  <w:vAlign w:val="center"/>
                </w:tcPr>
                <w:p>
                  <w:pPr>
                    <w:spacing w:line="260" w:lineRule="exact"/>
                    <w:jc w:val="center"/>
                    <w:rPr>
                      <w:szCs w:val="21"/>
                    </w:rPr>
                  </w:pPr>
                  <w:r>
                    <w:rPr>
                      <w:szCs w:val="21"/>
                    </w:rPr>
                    <w:t>5月</w:t>
                  </w:r>
                </w:p>
              </w:tc>
              <w:tc>
                <w:tcPr>
                  <w:tcW w:w="721" w:type="pct"/>
                  <w:vAlign w:val="center"/>
                </w:tcPr>
                <w:p>
                  <w:pPr>
                    <w:spacing w:line="260" w:lineRule="exact"/>
                    <w:jc w:val="center"/>
                    <w:rPr>
                      <w:szCs w:val="21"/>
                    </w:rPr>
                  </w:pPr>
                  <w:r>
                    <w:rPr>
                      <w:szCs w:val="21"/>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8" w:type="pct"/>
                  <w:vAlign w:val="center"/>
                </w:tcPr>
                <w:p>
                  <w:pPr>
                    <w:spacing w:line="260" w:lineRule="exact"/>
                    <w:jc w:val="center"/>
                    <w:rPr>
                      <w:szCs w:val="21"/>
                    </w:rPr>
                  </w:pPr>
                  <w:r>
                    <w:rPr>
                      <w:szCs w:val="21"/>
                    </w:rPr>
                    <w:t>水质类别</w:t>
                  </w:r>
                </w:p>
              </w:tc>
              <w:tc>
                <w:tcPr>
                  <w:tcW w:w="720" w:type="pct"/>
                  <w:vAlign w:val="center"/>
                </w:tcPr>
                <w:p>
                  <w:pPr>
                    <w:spacing w:line="260" w:lineRule="exact"/>
                    <w:jc w:val="center"/>
                    <w:rPr>
                      <w:szCs w:val="21"/>
                    </w:rPr>
                  </w:pPr>
                  <w:r>
                    <w:rPr>
                      <w:szCs w:val="21"/>
                    </w:rPr>
                    <w:t>IV类</w:t>
                  </w:r>
                </w:p>
              </w:tc>
              <w:tc>
                <w:tcPr>
                  <w:tcW w:w="721" w:type="pct"/>
                  <w:vAlign w:val="center"/>
                </w:tcPr>
                <w:p>
                  <w:pPr>
                    <w:spacing w:line="260" w:lineRule="exact"/>
                    <w:jc w:val="center"/>
                    <w:rPr>
                      <w:szCs w:val="21"/>
                    </w:rPr>
                  </w:pPr>
                  <w:r>
                    <w:rPr>
                      <w:szCs w:val="21"/>
                    </w:rPr>
                    <w:t>III类</w:t>
                  </w:r>
                </w:p>
              </w:tc>
              <w:tc>
                <w:tcPr>
                  <w:tcW w:w="721" w:type="pct"/>
                  <w:vAlign w:val="center"/>
                </w:tcPr>
                <w:p>
                  <w:pPr>
                    <w:spacing w:line="260" w:lineRule="exact"/>
                    <w:jc w:val="center"/>
                    <w:rPr>
                      <w:szCs w:val="21"/>
                    </w:rPr>
                  </w:pPr>
                  <w:r>
                    <w:rPr>
                      <w:szCs w:val="21"/>
                    </w:rPr>
                    <w:t>III类</w:t>
                  </w:r>
                </w:p>
              </w:tc>
              <w:tc>
                <w:tcPr>
                  <w:tcW w:w="721" w:type="pct"/>
                  <w:vAlign w:val="center"/>
                </w:tcPr>
                <w:p>
                  <w:pPr>
                    <w:spacing w:line="260" w:lineRule="exact"/>
                    <w:jc w:val="center"/>
                    <w:rPr>
                      <w:szCs w:val="21"/>
                    </w:rPr>
                  </w:pPr>
                  <w:r>
                    <w:rPr>
                      <w:szCs w:val="21"/>
                    </w:rPr>
                    <w:t>IV类</w:t>
                  </w:r>
                </w:p>
              </w:tc>
              <w:tc>
                <w:tcPr>
                  <w:tcW w:w="721" w:type="pct"/>
                  <w:vAlign w:val="center"/>
                </w:tcPr>
                <w:p>
                  <w:pPr>
                    <w:spacing w:line="260" w:lineRule="exact"/>
                    <w:jc w:val="center"/>
                    <w:rPr>
                      <w:szCs w:val="21"/>
                    </w:rPr>
                  </w:pPr>
                  <w:r>
                    <w:rPr>
                      <w:szCs w:val="21"/>
                    </w:rPr>
                    <w:t>IV类</w:t>
                  </w:r>
                </w:p>
              </w:tc>
              <w:tc>
                <w:tcPr>
                  <w:tcW w:w="721" w:type="pct"/>
                  <w:vAlign w:val="center"/>
                </w:tcPr>
                <w:p>
                  <w:pPr>
                    <w:spacing w:line="260" w:lineRule="exact"/>
                    <w:jc w:val="center"/>
                    <w:rPr>
                      <w:szCs w:val="21"/>
                    </w:rPr>
                  </w:pPr>
                  <w:r>
                    <w:rPr>
                      <w:szCs w:val="21"/>
                    </w:rPr>
                    <w:t>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678" w:type="pct"/>
                  <w:vAlign w:val="center"/>
                </w:tcPr>
                <w:p>
                  <w:pPr>
                    <w:spacing w:line="260" w:lineRule="exact"/>
                    <w:jc w:val="center"/>
                    <w:rPr>
                      <w:szCs w:val="21"/>
                    </w:rPr>
                  </w:pPr>
                  <w:r>
                    <w:rPr>
                      <w:szCs w:val="21"/>
                    </w:rPr>
                    <w:t>月份</w:t>
                  </w:r>
                </w:p>
              </w:tc>
              <w:tc>
                <w:tcPr>
                  <w:tcW w:w="720" w:type="pct"/>
                  <w:vAlign w:val="center"/>
                </w:tcPr>
                <w:p>
                  <w:pPr>
                    <w:spacing w:line="260" w:lineRule="exact"/>
                    <w:jc w:val="center"/>
                    <w:rPr>
                      <w:szCs w:val="21"/>
                    </w:rPr>
                  </w:pPr>
                  <w:r>
                    <w:rPr>
                      <w:szCs w:val="21"/>
                    </w:rPr>
                    <w:t>7月</w:t>
                  </w:r>
                </w:p>
              </w:tc>
              <w:tc>
                <w:tcPr>
                  <w:tcW w:w="721" w:type="pct"/>
                  <w:vAlign w:val="center"/>
                </w:tcPr>
                <w:p>
                  <w:pPr>
                    <w:spacing w:line="260" w:lineRule="exact"/>
                    <w:jc w:val="center"/>
                    <w:rPr>
                      <w:szCs w:val="21"/>
                    </w:rPr>
                  </w:pPr>
                  <w:r>
                    <w:rPr>
                      <w:szCs w:val="21"/>
                    </w:rPr>
                    <w:t>8月</w:t>
                  </w:r>
                </w:p>
              </w:tc>
              <w:tc>
                <w:tcPr>
                  <w:tcW w:w="721" w:type="pct"/>
                  <w:vAlign w:val="center"/>
                </w:tcPr>
                <w:p>
                  <w:pPr>
                    <w:spacing w:line="260" w:lineRule="exact"/>
                    <w:jc w:val="center"/>
                    <w:rPr>
                      <w:szCs w:val="21"/>
                    </w:rPr>
                  </w:pPr>
                  <w:r>
                    <w:rPr>
                      <w:szCs w:val="21"/>
                    </w:rPr>
                    <w:t>9月</w:t>
                  </w:r>
                </w:p>
              </w:tc>
              <w:tc>
                <w:tcPr>
                  <w:tcW w:w="721" w:type="pct"/>
                  <w:vAlign w:val="center"/>
                </w:tcPr>
                <w:p>
                  <w:pPr>
                    <w:spacing w:line="260" w:lineRule="exact"/>
                    <w:jc w:val="center"/>
                    <w:rPr>
                      <w:szCs w:val="21"/>
                    </w:rPr>
                  </w:pPr>
                  <w:r>
                    <w:rPr>
                      <w:szCs w:val="21"/>
                    </w:rPr>
                    <w:t>10月</w:t>
                  </w:r>
                </w:p>
              </w:tc>
              <w:tc>
                <w:tcPr>
                  <w:tcW w:w="721" w:type="pct"/>
                  <w:vAlign w:val="center"/>
                </w:tcPr>
                <w:p>
                  <w:pPr>
                    <w:spacing w:line="260" w:lineRule="exact"/>
                    <w:jc w:val="center"/>
                    <w:rPr>
                      <w:szCs w:val="21"/>
                    </w:rPr>
                  </w:pPr>
                  <w:r>
                    <w:rPr>
                      <w:szCs w:val="21"/>
                    </w:rPr>
                    <w:t>11月</w:t>
                  </w:r>
                </w:p>
              </w:tc>
              <w:tc>
                <w:tcPr>
                  <w:tcW w:w="721" w:type="pct"/>
                  <w:vAlign w:val="center"/>
                </w:tcPr>
                <w:p>
                  <w:pPr>
                    <w:spacing w:line="260" w:lineRule="exact"/>
                    <w:jc w:val="center"/>
                    <w:rPr>
                      <w:szCs w:val="21"/>
                    </w:rPr>
                  </w:pPr>
                  <w:r>
                    <w:rPr>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678" w:type="pct"/>
                  <w:vAlign w:val="center"/>
                </w:tcPr>
                <w:p>
                  <w:pPr>
                    <w:spacing w:line="260" w:lineRule="exact"/>
                    <w:jc w:val="center"/>
                    <w:rPr>
                      <w:szCs w:val="21"/>
                    </w:rPr>
                  </w:pPr>
                  <w:r>
                    <w:rPr>
                      <w:szCs w:val="21"/>
                    </w:rPr>
                    <w:t>水质类别</w:t>
                  </w:r>
                </w:p>
              </w:tc>
              <w:tc>
                <w:tcPr>
                  <w:tcW w:w="720" w:type="pct"/>
                  <w:vAlign w:val="center"/>
                </w:tcPr>
                <w:p>
                  <w:pPr>
                    <w:spacing w:line="260" w:lineRule="exact"/>
                    <w:jc w:val="center"/>
                    <w:rPr>
                      <w:szCs w:val="21"/>
                    </w:rPr>
                  </w:pPr>
                  <w:r>
                    <w:rPr>
                      <w:szCs w:val="21"/>
                    </w:rPr>
                    <w:t>IV类</w:t>
                  </w:r>
                </w:p>
              </w:tc>
              <w:tc>
                <w:tcPr>
                  <w:tcW w:w="721" w:type="pct"/>
                  <w:vAlign w:val="center"/>
                </w:tcPr>
                <w:p>
                  <w:pPr>
                    <w:spacing w:line="260" w:lineRule="exact"/>
                    <w:jc w:val="center"/>
                    <w:rPr>
                      <w:szCs w:val="21"/>
                    </w:rPr>
                  </w:pPr>
                  <w:r>
                    <w:rPr>
                      <w:szCs w:val="21"/>
                    </w:rPr>
                    <w:t>III类</w:t>
                  </w:r>
                </w:p>
              </w:tc>
              <w:tc>
                <w:tcPr>
                  <w:tcW w:w="721" w:type="pct"/>
                  <w:vAlign w:val="center"/>
                </w:tcPr>
                <w:p>
                  <w:pPr>
                    <w:spacing w:line="260" w:lineRule="exact"/>
                    <w:jc w:val="center"/>
                    <w:rPr>
                      <w:szCs w:val="21"/>
                    </w:rPr>
                  </w:pPr>
                  <w:r>
                    <w:rPr>
                      <w:szCs w:val="21"/>
                    </w:rPr>
                    <w:t>IV类</w:t>
                  </w:r>
                </w:p>
              </w:tc>
              <w:tc>
                <w:tcPr>
                  <w:tcW w:w="721" w:type="pct"/>
                  <w:vAlign w:val="center"/>
                </w:tcPr>
                <w:p>
                  <w:pPr>
                    <w:spacing w:line="260" w:lineRule="exact"/>
                    <w:jc w:val="center"/>
                    <w:rPr>
                      <w:szCs w:val="21"/>
                    </w:rPr>
                  </w:pPr>
                  <w:r>
                    <w:rPr>
                      <w:szCs w:val="21"/>
                    </w:rPr>
                    <w:t>III类</w:t>
                  </w:r>
                </w:p>
              </w:tc>
              <w:tc>
                <w:tcPr>
                  <w:tcW w:w="721" w:type="pct"/>
                  <w:vAlign w:val="center"/>
                </w:tcPr>
                <w:p>
                  <w:pPr>
                    <w:spacing w:line="260" w:lineRule="exact"/>
                    <w:jc w:val="center"/>
                    <w:rPr>
                      <w:szCs w:val="21"/>
                    </w:rPr>
                  </w:pPr>
                  <w:r>
                    <w:rPr>
                      <w:szCs w:val="21"/>
                    </w:rPr>
                    <w:t>III类</w:t>
                  </w:r>
                </w:p>
              </w:tc>
              <w:tc>
                <w:tcPr>
                  <w:tcW w:w="721" w:type="pct"/>
                  <w:vAlign w:val="center"/>
                </w:tcPr>
                <w:p>
                  <w:pPr>
                    <w:spacing w:line="260" w:lineRule="exact"/>
                    <w:jc w:val="center"/>
                    <w:rPr>
                      <w:szCs w:val="21"/>
                    </w:rPr>
                  </w:pPr>
                  <w:r>
                    <w:rPr>
                      <w:szCs w:val="21"/>
                    </w:rPr>
                    <w:t>III类</w:t>
                  </w:r>
                </w:p>
              </w:tc>
            </w:tr>
          </w:tbl>
          <w:p>
            <w:pPr>
              <w:pStyle w:val="7"/>
              <w:snapToGrid/>
              <w:spacing w:before="0" w:after="0" w:line="360" w:lineRule="auto"/>
              <w:ind w:right="0" w:firstLine="588" w:firstLineChars="245"/>
              <w:rPr>
                <w:sz w:val="24"/>
                <w:szCs w:val="24"/>
              </w:rPr>
            </w:pPr>
            <w:r>
              <w:rPr>
                <w:sz w:val="24"/>
                <w:szCs w:val="24"/>
              </w:rPr>
              <w:t>根据引用的浍河小韩村地表水例行监测断面2024年度水质月报数据可知，水质类别为III类、IV类，满足《地表水环境质量标准》（GB3838-2002）V类水质标准。</w:t>
            </w:r>
          </w:p>
          <w:p>
            <w:pPr>
              <w:spacing w:line="360" w:lineRule="auto"/>
              <w:ind w:firstLine="472"/>
              <w:rPr>
                <w:b/>
                <w:sz w:val="24"/>
              </w:rPr>
            </w:pPr>
            <w:r>
              <w:rPr>
                <w:b/>
                <w:sz w:val="24"/>
              </w:rPr>
              <w:t>3.3声环境</w:t>
            </w:r>
          </w:p>
          <w:p>
            <w:pPr>
              <w:spacing w:line="360" w:lineRule="auto"/>
              <w:ind w:firstLine="480" w:firstLineChars="200"/>
              <w:rPr>
                <w:sz w:val="24"/>
              </w:rPr>
            </w:pPr>
            <w:r>
              <w:rPr>
                <w:sz w:val="24"/>
              </w:rPr>
              <w:t>项目周边50m范围内不存在声环境保护目标，故不进行声环境质量现状监测。</w:t>
            </w:r>
          </w:p>
          <w:p>
            <w:pPr>
              <w:spacing w:line="360" w:lineRule="auto"/>
              <w:ind w:firstLine="472"/>
              <w:rPr>
                <w:b/>
                <w:sz w:val="24"/>
              </w:rPr>
            </w:pPr>
            <w:r>
              <w:rPr>
                <w:b/>
                <w:sz w:val="24"/>
              </w:rPr>
              <w:t>3.4地下水、土壤</w:t>
            </w:r>
          </w:p>
          <w:p>
            <w:pPr>
              <w:spacing w:line="360" w:lineRule="auto"/>
              <w:ind w:firstLine="472"/>
              <w:rPr>
                <w:sz w:val="24"/>
              </w:rPr>
            </w:pPr>
            <w:r>
              <w:rPr>
                <w:sz w:val="24"/>
              </w:rPr>
              <w:t xml:space="preserve">根据《建设项目环境影响报告表编制技术指南》（污染影响类），原则上不开展环境质量现状调查。建设项目存在土壤、地下水环境污染途径的，应结合污染源、保护目标分布情况开展现状调查以留作背景值。 </w:t>
            </w:r>
          </w:p>
          <w:p>
            <w:pPr>
              <w:spacing w:line="360" w:lineRule="auto"/>
              <w:ind w:firstLine="472"/>
              <w:rPr>
                <w:b/>
                <w:sz w:val="24"/>
              </w:rPr>
            </w:pPr>
            <w:r>
              <w:rPr>
                <w:sz w:val="24"/>
              </w:rPr>
              <w:t>本项目地面全部采用混凝土硬化处理</w:t>
            </w:r>
            <w:r>
              <w:rPr>
                <w:rFonts w:hint="eastAsia"/>
                <w:sz w:val="24"/>
              </w:rPr>
              <w:t>，</w:t>
            </w:r>
            <w:r>
              <w:rPr>
                <w:sz w:val="24"/>
              </w:rPr>
              <w:t>不存在土壤、地下水环境污染途径。因此，可不开展地下水、土壤监测。</w:t>
            </w:r>
          </w:p>
          <w:p>
            <w:pPr>
              <w:spacing w:line="360" w:lineRule="auto"/>
              <w:ind w:firstLine="472"/>
              <w:rPr>
                <w:b/>
                <w:sz w:val="24"/>
              </w:rPr>
            </w:pPr>
            <w:r>
              <w:rPr>
                <w:b/>
                <w:sz w:val="24"/>
              </w:rPr>
              <w:t>3.5生态环境</w:t>
            </w:r>
          </w:p>
          <w:p>
            <w:pPr>
              <w:spacing w:line="360" w:lineRule="auto"/>
              <w:ind w:firstLine="472"/>
              <w:rPr>
                <w:sz w:val="24"/>
              </w:rPr>
            </w:pPr>
            <w:r>
              <w:rPr>
                <w:sz w:val="24"/>
              </w:rPr>
              <w:t>本项目在原有厂区内进行扩建，所在区域不属于特殊生态敏感区、重要生态敏感区，根据《建设项目环境影响报告表编制技术指南（污染影响类）（试行）》相关要求，可不进行生态现状调查。</w:t>
            </w:r>
          </w:p>
          <w:p>
            <w:pPr>
              <w:spacing w:line="360" w:lineRule="auto"/>
              <w:ind w:firstLine="472"/>
              <w:rPr>
                <w:b/>
                <w:sz w:val="24"/>
              </w:rPr>
            </w:pPr>
            <w:r>
              <w:rPr>
                <w:b/>
                <w:sz w:val="24"/>
              </w:rPr>
              <w:t>3.6电磁辐射</w:t>
            </w:r>
          </w:p>
          <w:p>
            <w:pPr>
              <w:spacing w:line="360" w:lineRule="auto"/>
              <w:ind w:firstLine="472"/>
              <w:rPr>
                <w:sz w:val="24"/>
              </w:rPr>
            </w:pPr>
            <w:r>
              <w:rPr>
                <w:sz w:val="24"/>
              </w:rPr>
              <w:t>本项目不涉及电磁辐射，不开展电磁辐射现状监测与评价。</w:t>
            </w:r>
          </w:p>
          <w:p>
            <w:pPr>
              <w:spacing w:line="360" w:lineRule="auto"/>
              <w:ind w:firstLine="4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kern w:val="0"/>
                <w:szCs w:val="21"/>
              </w:rPr>
            </w:pPr>
            <w:r>
              <w:rPr>
                <w:kern w:val="0"/>
                <w:sz w:val="24"/>
              </w:rPr>
              <w:t>目标</w:t>
            </w:r>
          </w:p>
        </w:tc>
        <w:tc>
          <w:tcPr>
            <w:tcW w:w="8166" w:type="dxa"/>
            <w:vAlign w:val="center"/>
          </w:tcPr>
          <w:p>
            <w:pPr>
              <w:pStyle w:val="10"/>
              <w:spacing w:line="360" w:lineRule="auto"/>
              <w:ind w:firstLine="480" w:firstLineChars="200"/>
              <w:rPr>
                <w:rFonts w:ascii="Times New Roman" w:hAnsi="Times New Roman"/>
                <w:sz w:val="24"/>
              </w:rPr>
            </w:pPr>
            <w:r>
              <w:rPr>
                <w:rFonts w:ascii="Times New Roman" w:hAnsi="Times New Roman"/>
                <w:sz w:val="24"/>
              </w:rPr>
              <w:t>1、大气环境：厂界附近大气环境敏感目标主要为上韩村和郇壁村，保护级别为《环境空气质量标准》（GB3095-2012）中的二级。</w:t>
            </w:r>
          </w:p>
          <w:p>
            <w:pPr>
              <w:pStyle w:val="37"/>
              <w:adjustRightInd/>
              <w:snapToGrid/>
              <w:spacing w:before="0" w:after="0" w:line="360" w:lineRule="auto"/>
              <w:ind w:firstLine="0" w:firstLineChars="0"/>
              <w:rPr>
                <w:rFonts w:ascii="Times New Roman"/>
                <w:b/>
                <w:bCs/>
                <w:snapToGrid w:val="0"/>
                <w:spacing w:val="0"/>
                <w:sz w:val="21"/>
                <w:szCs w:val="21"/>
              </w:rPr>
            </w:pPr>
            <w:r>
              <w:rPr>
                <w:rFonts w:ascii="Times New Roman"/>
                <w:b/>
                <w:bCs/>
                <w:snapToGrid w:val="0"/>
                <w:spacing w:val="0"/>
                <w:sz w:val="21"/>
                <w:szCs w:val="21"/>
              </w:rPr>
              <w:t>表3-4  大气环境保护目标</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892"/>
              <w:gridCol w:w="952"/>
              <w:gridCol w:w="952"/>
              <w:gridCol w:w="1107"/>
              <w:gridCol w:w="989"/>
              <w:gridCol w:w="11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49" w:hRule="atLeast"/>
                <w:jc w:val="center"/>
              </w:trPr>
              <w:tc>
                <w:tcPr>
                  <w:tcW w:w="599" w:type="pct"/>
                  <w:vAlign w:val="center"/>
                </w:tcPr>
                <w:p>
                  <w:pPr>
                    <w:pStyle w:val="10"/>
                    <w:jc w:val="center"/>
                    <w:rPr>
                      <w:rFonts w:ascii="Times New Roman" w:hAnsi="Times New Roman"/>
                      <w:szCs w:val="21"/>
                    </w:rPr>
                  </w:pPr>
                  <w:r>
                    <w:rPr>
                      <w:rFonts w:ascii="Times New Roman" w:hAnsi="Times New Roman"/>
                      <w:szCs w:val="21"/>
                    </w:rPr>
                    <w:t>保护目标名称</w:t>
                  </w:r>
                </w:p>
              </w:tc>
              <w:tc>
                <w:tcPr>
                  <w:tcW w:w="1190" w:type="pct"/>
                  <w:vAlign w:val="center"/>
                </w:tcPr>
                <w:p>
                  <w:pPr>
                    <w:pStyle w:val="10"/>
                    <w:jc w:val="center"/>
                    <w:rPr>
                      <w:rFonts w:ascii="Times New Roman" w:hAnsi="Times New Roman"/>
                      <w:szCs w:val="21"/>
                    </w:rPr>
                  </w:pPr>
                  <w:r>
                    <w:rPr>
                      <w:rFonts w:ascii="Times New Roman" w:hAnsi="Times New Roman"/>
                      <w:szCs w:val="21"/>
                    </w:rPr>
                    <w:t>坐标</w:t>
                  </w:r>
                </w:p>
              </w:tc>
              <w:tc>
                <w:tcPr>
                  <w:tcW w:w="599" w:type="pct"/>
                  <w:vAlign w:val="center"/>
                </w:tcPr>
                <w:p>
                  <w:pPr>
                    <w:pStyle w:val="10"/>
                    <w:jc w:val="center"/>
                    <w:rPr>
                      <w:rFonts w:ascii="Times New Roman" w:hAnsi="Times New Roman"/>
                      <w:szCs w:val="21"/>
                    </w:rPr>
                  </w:pPr>
                  <w:r>
                    <w:rPr>
                      <w:rFonts w:ascii="Times New Roman" w:hAnsi="Times New Roman"/>
                      <w:szCs w:val="21"/>
                    </w:rPr>
                    <w:t>保护对象</w:t>
                  </w:r>
                </w:p>
              </w:tc>
              <w:tc>
                <w:tcPr>
                  <w:tcW w:w="599" w:type="pct"/>
                  <w:vAlign w:val="center"/>
                </w:tcPr>
                <w:p>
                  <w:pPr>
                    <w:jc w:val="center"/>
                    <w:rPr>
                      <w:szCs w:val="21"/>
                    </w:rPr>
                  </w:pPr>
                  <w:r>
                    <w:rPr>
                      <w:szCs w:val="21"/>
                    </w:rPr>
                    <w:t>保护内容</w:t>
                  </w:r>
                </w:p>
              </w:tc>
              <w:tc>
                <w:tcPr>
                  <w:tcW w:w="696" w:type="pct"/>
                  <w:vAlign w:val="center"/>
                </w:tcPr>
                <w:p>
                  <w:pPr>
                    <w:jc w:val="center"/>
                    <w:rPr>
                      <w:szCs w:val="21"/>
                    </w:rPr>
                  </w:pPr>
                  <w:r>
                    <w:rPr>
                      <w:szCs w:val="21"/>
                    </w:rPr>
                    <w:t>环境功能区</w:t>
                  </w:r>
                </w:p>
              </w:tc>
              <w:tc>
                <w:tcPr>
                  <w:tcW w:w="622" w:type="pct"/>
                  <w:vAlign w:val="center"/>
                </w:tcPr>
                <w:p>
                  <w:pPr>
                    <w:pStyle w:val="10"/>
                    <w:jc w:val="center"/>
                    <w:rPr>
                      <w:rFonts w:ascii="Times New Roman" w:hAnsi="Times New Roman"/>
                      <w:szCs w:val="21"/>
                    </w:rPr>
                  </w:pPr>
                  <w:r>
                    <w:rPr>
                      <w:rFonts w:ascii="Times New Roman" w:hAnsi="Times New Roman"/>
                      <w:szCs w:val="21"/>
                    </w:rPr>
                    <w:t>相对厂址方位</w:t>
                  </w:r>
                </w:p>
              </w:tc>
              <w:tc>
                <w:tcPr>
                  <w:tcW w:w="695" w:type="pct"/>
                  <w:vAlign w:val="center"/>
                </w:tcPr>
                <w:p>
                  <w:pPr>
                    <w:pStyle w:val="10"/>
                    <w:jc w:val="center"/>
                    <w:rPr>
                      <w:rFonts w:ascii="Times New Roman" w:hAnsi="Times New Roman"/>
                      <w:szCs w:val="21"/>
                    </w:rPr>
                  </w:pPr>
                  <w:r>
                    <w:rPr>
                      <w:rFonts w:ascii="Times New Roman" w:hAnsi="Times New Roman"/>
                      <w:szCs w:val="21"/>
                    </w:rPr>
                    <w:t>相对厂界距离（m）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Align w:val="center"/>
                </w:tcPr>
                <w:p>
                  <w:pPr>
                    <w:jc w:val="center"/>
                    <w:rPr>
                      <w:bCs/>
                      <w:szCs w:val="21"/>
                    </w:rPr>
                  </w:pPr>
                  <w:r>
                    <w:rPr>
                      <w:bCs/>
                      <w:szCs w:val="21"/>
                    </w:rPr>
                    <w:t>上韩村</w:t>
                  </w:r>
                </w:p>
              </w:tc>
              <w:tc>
                <w:tcPr>
                  <w:tcW w:w="1190" w:type="pct"/>
                  <w:vAlign w:val="center"/>
                </w:tcPr>
                <w:p>
                  <w:pPr>
                    <w:pStyle w:val="31"/>
                    <w:rPr>
                      <w:rFonts w:ascii="Times New Roman" w:hAnsi="Times New Roman"/>
                      <w:b w:val="0"/>
                    </w:rPr>
                  </w:pPr>
                  <w:r>
                    <w:rPr>
                      <w:rFonts w:ascii="Times New Roman" w:hAnsi="Times New Roman"/>
                      <w:b w:val="0"/>
                    </w:rPr>
                    <w:t>E111°37'56.5229"</w:t>
                  </w:r>
                </w:p>
                <w:p>
                  <w:pPr>
                    <w:pStyle w:val="31"/>
                    <w:spacing w:line="240" w:lineRule="auto"/>
                    <w:rPr>
                      <w:rFonts w:ascii="Times New Roman" w:hAnsi="Times New Roman"/>
                      <w:b w:val="0"/>
                    </w:rPr>
                  </w:pPr>
                  <w:r>
                    <w:rPr>
                      <w:rFonts w:ascii="Times New Roman" w:hAnsi="Times New Roman"/>
                      <w:b w:val="0"/>
                    </w:rPr>
                    <w:t>N35°46'59.0707"</w:t>
                  </w:r>
                </w:p>
              </w:tc>
              <w:tc>
                <w:tcPr>
                  <w:tcW w:w="599" w:type="pct"/>
                  <w:vAlign w:val="center"/>
                </w:tcPr>
                <w:p>
                  <w:pPr>
                    <w:pStyle w:val="31"/>
                    <w:spacing w:line="240" w:lineRule="auto"/>
                    <w:rPr>
                      <w:rFonts w:ascii="Times New Roman" w:hAnsi="Times New Roman"/>
                      <w:b w:val="0"/>
                    </w:rPr>
                  </w:pPr>
                  <w:r>
                    <w:rPr>
                      <w:rFonts w:ascii="Times New Roman" w:hAnsi="Times New Roman"/>
                      <w:b w:val="0"/>
                    </w:rPr>
                    <w:t>居民区</w:t>
                  </w:r>
                </w:p>
              </w:tc>
              <w:tc>
                <w:tcPr>
                  <w:tcW w:w="599" w:type="pct"/>
                  <w:vAlign w:val="center"/>
                </w:tcPr>
                <w:p>
                  <w:pPr>
                    <w:jc w:val="center"/>
                    <w:rPr>
                      <w:szCs w:val="28"/>
                    </w:rPr>
                  </w:pPr>
                  <w:r>
                    <w:rPr>
                      <w:szCs w:val="28"/>
                    </w:rPr>
                    <w:t>569人</w:t>
                  </w:r>
                </w:p>
              </w:tc>
              <w:tc>
                <w:tcPr>
                  <w:tcW w:w="696" w:type="pct"/>
                  <w:vAlign w:val="center"/>
                </w:tcPr>
                <w:p>
                  <w:pPr>
                    <w:pStyle w:val="31"/>
                    <w:spacing w:line="240" w:lineRule="auto"/>
                    <w:rPr>
                      <w:rFonts w:ascii="Times New Roman" w:hAnsi="Times New Roman"/>
                      <w:b w:val="0"/>
                    </w:rPr>
                  </w:pPr>
                  <w:r>
                    <w:rPr>
                      <w:rFonts w:ascii="Times New Roman" w:hAnsi="Times New Roman"/>
                      <w:b w:val="0"/>
                    </w:rPr>
                    <w:t>二类区</w:t>
                  </w:r>
                </w:p>
              </w:tc>
              <w:tc>
                <w:tcPr>
                  <w:tcW w:w="622" w:type="pct"/>
                  <w:vAlign w:val="center"/>
                </w:tcPr>
                <w:p>
                  <w:pPr>
                    <w:pStyle w:val="31"/>
                    <w:spacing w:line="240" w:lineRule="auto"/>
                    <w:rPr>
                      <w:rFonts w:ascii="Times New Roman" w:hAnsi="Times New Roman"/>
                      <w:b w:val="0"/>
                    </w:rPr>
                  </w:pPr>
                  <w:r>
                    <w:rPr>
                      <w:rFonts w:ascii="Times New Roman" w:hAnsi="Times New Roman"/>
                      <w:b w:val="0"/>
                    </w:rPr>
                    <w:t>SE</w:t>
                  </w:r>
                </w:p>
              </w:tc>
              <w:tc>
                <w:tcPr>
                  <w:tcW w:w="695" w:type="pct"/>
                  <w:vAlign w:val="center"/>
                </w:tcPr>
                <w:p>
                  <w:pPr>
                    <w:pStyle w:val="31"/>
                    <w:spacing w:line="240" w:lineRule="auto"/>
                    <w:rPr>
                      <w:rFonts w:ascii="Times New Roman" w:hAnsi="Times New Roman"/>
                      <w:b w:val="0"/>
                    </w:rPr>
                  </w:pPr>
                  <w:r>
                    <w:rPr>
                      <w:rFonts w:ascii="Times New Roman" w:hAnsi="Times New Roman"/>
                      <w:b w:val="0"/>
                    </w:rPr>
                    <w:t>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99" w:type="pct"/>
                  <w:vAlign w:val="center"/>
                </w:tcPr>
                <w:p>
                  <w:pPr>
                    <w:jc w:val="center"/>
                  </w:pPr>
                  <w:r>
                    <w:t>郇壁村</w:t>
                  </w:r>
                </w:p>
              </w:tc>
              <w:tc>
                <w:tcPr>
                  <w:tcW w:w="1190" w:type="pct"/>
                  <w:vAlign w:val="center"/>
                </w:tcPr>
                <w:p>
                  <w:pPr>
                    <w:pStyle w:val="31"/>
                    <w:spacing w:line="240" w:lineRule="auto"/>
                    <w:rPr>
                      <w:rFonts w:ascii="Times New Roman" w:hAnsi="Times New Roman"/>
                      <w:b w:val="0"/>
                    </w:rPr>
                  </w:pPr>
                  <w:r>
                    <w:rPr>
                      <w:rFonts w:ascii="Times New Roman" w:hAnsi="Times New Roman"/>
                      <w:b w:val="0"/>
                    </w:rPr>
                    <w:t>E111°37'01.3382"</w:t>
                  </w:r>
                </w:p>
                <w:p>
                  <w:pPr>
                    <w:jc w:val="center"/>
                  </w:pPr>
                  <w:r>
                    <w:t>N35°47'10.3071"</w:t>
                  </w:r>
                </w:p>
              </w:tc>
              <w:tc>
                <w:tcPr>
                  <w:tcW w:w="599" w:type="pct"/>
                  <w:vAlign w:val="center"/>
                </w:tcPr>
                <w:p>
                  <w:pPr>
                    <w:pStyle w:val="31"/>
                    <w:spacing w:line="240" w:lineRule="auto"/>
                    <w:rPr>
                      <w:rFonts w:ascii="Times New Roman" w:hAnsi="Times New Roman"/>
                      <w:b w:val="0"/>
                    </w:rPr>
                  </w:pPr>
                  <w:r>
                    <w:rPr>
                      <w:rFonts w:ascii="Times New Roman" w:hAnsi="Times New Roman"/>
                      <w:b w:val="0"/>
                    </w:rPr>
                    <w:t>居民区</w:t>
                  </w:r>
                </w:p>
              </w:tc>
              <w:tc>
                <w:tcPr>
                  <w:tcW w:w="599" w:type="pct"/>
                  <w:vAlign w:val="center"/>
                </w:tcPr>
                <w:p>
                  <w:pPr>
                    <w:jc w:val="center"/>
                    <w:rPr>
                      <w:szCs w:val="28"/>
                    </w:rPr>
                  </w:pPr>
                  <w:r>
                    <w:rPr>
                      <w:szCs w:val="28"/>
                    </w:rPr>
                    <w:t>235人</w:t>
                  </w:r>
                </w:p>
              </w:tc>
              <w:tc>
                <w:tcPr>
                  <w:tcW w:w="696" w:type="pct"/>
                  <w:vAlign w:val="center"/>
                </w:tcPr>
                <w:p>
                  <w:pPr>
                    <w:pStyle w:val="31"/>
                    <w:spacing w:line="240" w:lineRule="auto"/>
                    <w:rPr>
                      <w:rFonts w:ascii="Times New Roman" w:hAnsi="Times New Roman"/>
                      <w:b w:val="0"/>
                    </w:rPr>
                  </w:pPr>
                  <w:r>
                    <w:rPr>
                      <w:rFonts w:ascii="Times New Roman" w:hAnsi="Times New Roman"/>
                      <w:b w:val="0"/>
                    </w:rPr>
                    <w:t>二类区</w:t>
                  </w:r>
                </w:p>
              </w:tc>
              <w:tc>
                <w:tcPr>
                  <w:tcW w:w="622" w:type="pct"/>
                  <w:vAlign w:val="center"/>
                </w:tcPr>
                <w:p>
                  <w:pPr>
                    <w:pStyle w:val="31"/>
                    <w:spacing w:line="240" w:lineRule="auto"/>
                    <w:rPr>
                      <w:rFonts w:ascii="Times New Roman" w:hAnsi="Times New Roman"/>
                      <w:b w:val="0"/>
                    </w:rPr>
                  </w:pPr>
                  <w:r>
                    <w:rPr>
                      <w:rFonts w:ascii="Times New Roman" w:hAnsi="Times New Roman"/>
                      <w:b w:val="0"/>
                    </w:rPr>
                    <w:t>SW</w:t>
                  </w:r>
                </w:p>
              </w:tc>
              <w:tc>
                <w:tcPr>
                  <w:tcW w:w="695" w:type="pct"/>
                  <w:vAlign w:val="center"/>
                </w:tcPr>
                <w:p>
                  <w:pPr>
                    <w:pStyle w:val="31"/>
                    <w:spacing w:line="240" w:lineRule="auto"/>
                    <w:rPr>
                      <w:rFonts w:ascii="Times New Roman" w:hAnsi="Times New Roman"/>
                      <w:b w:val="0"/>
                    </w:rPr>
                  </w:pPr>
                  <w:r>
                    <w:rPr>
                      <w:rFonts w:ascii="Times New Roman" w:hAnsi="Times New Roman"/>
                      <w:b w:val="0"/>
                    </w:rPr>
                    <w:t>540</w:t>
                  </w:r>
                </w:p>
              </w:tc>
            </w:tr>
          </w:tbl>
          <w:p>
            <w:pPr>
              <w:pStyle w:val="10"/>
              <w:spacing w:line="360" w:lineRule="auto"/>
              <w:ind w:firstLine="480" w:firstLineChars="200"/>
              <w:rPr>
                <w:rFonts w:ascii="Times New Roman" w:hAnsi="Times New Roman"/>
                <w:sz w:val="24"/>
              </w:rPr>
            </w:pPr>
            <w:r>
              <w:rPr>
                <w:rFonts w:ascii="Times New Roman" w:hAnsi="Times New Roman"/>
                <w:sz w:val="24"/>
              </w:rPr>
              <w:t>2、声环境：项目厂界外50米范围无声环境保护目标。</w:t>
            </w:r>
          </w:p>
          <w:p>
            <w:pPr>
              <w:spacing w:line="360" w:lineRule="auto"/>
              <w:ind w:firstLine="480" w:firstLineChars="200"/>
              <w:textAlignment w:val="baseline"/>
              <w:rPr>
                <w:sz w:val="24"/>
              </w:rPr>
            </w:pPr>
            <w:r>
              <w:rPr>
                <w:sz w:val="24"/>
              </w:rPr>
              <w:t>3、地下水环境：项目厂界外500米范围内集中饮用水水源、热水、矿泉水、温泉等特殊地下水资源。</w:t>
            </w:r>
          </w:p>
          <w:p>
            <w:pPr>
              <w:spacing w:line="360" w:lineRule="auto"/>
              <w:ind w:firstLine="480" w:firstLineChars="200"/>
              <w:textAlignment w:val="baseline"/>
            </w:pPr>
            <w:r>
              <w:rPr>
                <w:sz w:val="24"/>
              </w:rPr>
              <w:t>4、生态环境：本项目不新增占地，不涉及生态敏感目标。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589" w:type="dxa"/>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Cs w:val="21"/>
              </w:rPr>
            </w:pPr>
            <w:r>
              <w:rPr>
                <w:kern w:val="0"/>
                <w:sz w:val="24"/>
              </w:rPr>
              <w:t>准</w:t>
            </w:r>
          </w:p>
        </w:tc>
        <w:tc>
          <w:tcPr>
            <w:tcW w:w="8166" w:type="dxa"/>
          </w:tcPr>
          <w:p>
            <w:pPr>
              <w:spacing w:line="360" w:lineRule="auto"/>
              <w:ind w:firstLine="482" w:firstLineChars="200"/>
              <w:rPr>
                <w:b/>
                <w:sz w:val="24"/>
              </w:rPr>
            </w:pPr>
            <w:r>
              <w:rPr>
                <w:b/>
                <w:sz w:val="24"/>
              </w:rPr>
              <w:t>1、废气</w:t>
            </w:r>
          </w:p>
          <w:p>
            <w:pPr>
              <w:spacing w:line="360" w:lineRule="auto"/>
              <w:ind w:firstLine="480" w:firstLineChars="200"/>
              <w:rPr>
                <w:sz w:val="24"/>
              </w:rPr>
            </w:pPr>
            <w:r>
              <w:rPr>
                <w:sz w:val="24"/>
              </w:rPr>
              <w:t>本项目生产过程产生的非甲烷总烃执行《合成树脂工业污染物排放标准（2024 年修改单）》中规定的限值。企业边界无组织非甲烷总烃执行《合成树脂工业污染物排放标准》(GB31572-2015）表9 规定的限值。厂区内非甲烷总烃执行《挥发性有机物无组织排放控制标准》（GB37822-2019）中排放限值。臭气浓度执行《恶臭污染物排放标准》（GB14554-93）中排放限值要求。</w:t>
            </w:r>
          </w:p>
          <w:p>
            <w:pPr>
              <w:spacing w:line="360" w:lineRule="auto"/>
              <w:jc w:val="center"/>
              <w:rPr>
                <w:sz w:val="24"/>
              </w:rPr>
            </w:pPr>
            <w:r>
              <w:rPr>
                <w:b/>
              </w:rPr>
              <w:t>表</w:t>
            </w:r>
            <w:r>
              <w:rPr>
                <w:rFonts w:eastAsia="Times New Roman"/>
                <w:b/>
              </w:rPr>
              <w:t>3</w:t>
            </w:r>
            <w:r>
              <w:rPr>
                <w:rFonts w:eastAsiaTheme="minorEastAsia"/>
                <w:b/>
              </w:rPr>
              <w:t xml:space="preserve">-5  </w:t>
            </w:r>
            <w:r>
              <w:rPr>
                <w:b/>
              </w:rPr>
              <w:t>污染物排放标准一览表</w:t>
            </w:r>
          </w:p>
          <w:tbl>
            <w:tblPr>
              <w:tblStyle w:val="7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5"/>
              <w:gridCol w:w="1196"/>
              <w:gridCol w:w="1112"/>
              <w:gridCol w:w="1096"/>
              <w:gridCol w:w="963"/>
              <w:gridCol w:w="887"/>
              <w:gridCol w:w="2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85" w:type="dxa"/>
                  <w:vMerge w:val="restart"/>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污染</w:t>
                  </w:r>
                </w:p>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物</w:t>
                  </w:r>
                </w:p>
              </w:tc>
              <w:tc>
                <w:tcPr>
                  <w:tcW w:w="1196" w:type="dxa"/>
                  <w:vMerge w:val="restart"/>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排放浓度</w:t>
                  </w:r>
                </w:p>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（mg/m</w:t>
                  </w:r>
                  <w:r>
                    <w:rPr>
                      <w:rFonts w:ascii="Times New Roman" w:hAnsi="Times New Roman" w:cs="Times New Roman" w:eastAsiaTheme="minorEastAsia"/>
                      <w:vertAlign w:val="superscript"/>
                      <w:lang w:eastAsia="en-US"/>
                    </w:rPr>
                    <w:t>3</w:t>
                  </w:r>
                  <w:r>
                    <w:rPr>
                      <w:rFonts w:ascii="Times New Roman" w:hAnsi="Times New Roman" w:cs="Times New Roman" w:eastAsiaTheme="minorEastAsia"/>
                      <w:lang w:eastAsia="en-US"/>
                    </w:rPr>
                    <w:t>）</w:t>
                  </w:r>
                </w:p>
              </w:tc>
              <w:tc>
                <w:tcPr>
                  <w:tcW w:w="1112" w:type="dxa"/>
                  <w:vMerge w:val="restart"/>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污染物监控位置</w:t>
                  </w:r>
                </w:p>
              </w:tc>
              <w:tc>
                <w:tcPr>
                  <w:tcW w:w="5011" w:type="dxa"/>
                  <w:gridSpan w:val="4"/>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无组织排放浓度限值 mg/m3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5" w:type="dxa"/>
                  <w:vMerge w:val="continue"/>
                  <w:vAlign w:val="center"/>
                </w:tcPr>
                <w:p>
                  <w:pPr>
                    <w:autoSpaceDE w:val="0"/>
                    <w:autoSpaceDN w:val="0"/>
                    <w:jc w:val="center"/>
                    <w:rPr>
                      <w:rFonts w:ascii="Times New Roman" w:hAnsi="Times New Roman" w:cs="Times New Roman" w:eastAsiaTheme="minorEastAsia"/>
                      <w:lang w:eastAsia="zh-CN"/>
                    </w:rPr>
                  </w:pPr>
                </w:p>
              </w:tc>
              <w:tc>
                <w:tcPr>
                  <w:tcW w:w="1196" w:type="dxa"/>
                  <w:vMerge w:val="continue"/>
                  <w:vAlign w:val="center"/>
                </w:tcPr>
                <w:p>
                  <w:pPr>
                    <w:autoSpaceDE w:val="0"/>
                    <w:autoSpaceDN w:val="0"/>
                    <w:jc w:val="center"/>
                    <w:rPr>
                      <w:rFonts w:ascii="Times New Roman" w:hAnsi="Times New Roman" w:cs="Times New Roman" w:eastAsiaTheme="minorEastAsia"/>
                      <w:lang w:eastAsia="zh-CN"/>
                    </w:rPr>
                  </w:pPr>
                </w:p>
              </w:tc>
              <w:tc>
                <w:tcPr>
                  <w:tcW w:w="1112" w:type="dxa"/>
                  <w:vMerge w:val="continue"/>
                  <w:vAlign w:val="center"/>
                </w:tcPr>
                <w:p>
                  <w:pPr>
                    <w:autoSpaceDE w:val="0"/>
                    <w:autoSpaceDN w:val="0"/>
                    <w:jc w:val="center"/>
                    <w:rPr>
                      <w:rFonts w:ascii="Times New Roman" w:hAnsi="Times New Roman" w:cs="Times New Roman" w:eastAsiaTheme="minorEastAsia"/>
                      <w:lang w:eastAsia="zh-CN"/>
                    </w:rPr>
                  </w:pPr>
                </w:p>
              </w:tc>
              <w:tc>
                <w:tcPr>
                  <w:tcW w:w="1096"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监控点</w:t>
                  </w:r>
                </w:p>
              </w:tc>
              <w:tc>
                <w:tcPr>
                  <w:tcW w:w="963"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浓度</w:t>
                  </w:r>
                </w:p>
              </w:tc>
              <w:tc>
                <w:tcPr>
                  <w:tcW w:w="887"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监控点</w:t>
                  </w:r>
                </w:p>
              </w:tc>
              <w:tc>
                <w:tcPr>
                  <w:tcW w:w="2065"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85"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非甲烷总烃</w:t>
                  </w:r>
                </w:p>
              </w:tc>
              <w:tc>
                <w:tcPr>
                  <w:tcW w:w="1196"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60</w:t>
                  </w:r>
                </w:p>
              </w:tc>
              <w:tc>
                <w:tcPr>
                  <w:tcW w:w="1112"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车间或生产设施排气筒</w:t>
                  </w:r>
                </w:p>
              </w:tc>
              <w:tc>
                <w:tcPr>
                  <w:tcW w:w="1096"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企业边界任何1小时大气污染物平均浓度</w:t>
                  </w:r>
                </w:p>
              </w:tc>
              <w:tc>
                <w:tcPr>
                  <w:tcW w:w="963"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4.0</w:t>
                  </w:r>
                </w:p>
              </w:tc>
              <w:tc>
                <w:tcPr>
                  <w:tcW w:w="887" w:type="dxa"/>
                  <w:vAlign w:val="center"/>
                </w:tcPr>
                <w:p>
                  <w:pPr>
                    <w:autoSpaceDE w:val="0"/>
                    <w:autoSpaceDN w:val="0"/>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厂区内</w:t>
                  </w:r>
                </w:p>
              </w:tc>
              <w:tc>
                <w:tcPr>
                  <w:tcW w:w="2065"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监控点处 1h 平均浓度值：6mg/m</w:t>
                  </w:r>
                  <w:r>
                    <w:rPr>
                      <w:rFonts w:ascii="Times New Roman" w:hAnsi="Times New Roman" w:cs="Times New Roman" w:eastAsiaTheme="minorEastAsia"/>
                      <w:vertAlign w:val="superscript"/>
                      <w:lang w:eastAsia="zh-CN"/>
                    </w:rPr>
                    <w:t>3</w:t>
                  </w:r>
                  <w:r>
                    <w:rPr>
                      <w:rFonts w:ascii="Times New Roman" w:hAnsi="Times New Roman" w:cs="Times New Roman" w:eastAsiaTheme="minorEastAsia"/>
                      <w:lang w:eastAsia="zh-CN"/>
                    </w:rPr>
                    <w:t>，监控点处任意一次浓度值：20mg/m</w:t>
                  </w:r>
                  <w:r>
                    <w:rPr>
                      <w:rFonts w:ascii="Times New Roman" w:hAnsi="Times New Roman" w:cs="Times New Roman" w:eastAsiaTheme="minorEastAsia"/>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85"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臭气浓度</w:t>
                  </w:r>
                </w:p>
              </w:tc>
              <w:tc>
                <w:tcPr>
                  <w:tcW w:w="1196"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2000（无量纲）</w:t>
                  </w:r>
                </w:p>
              </w:tc>
              <w:tc>
                <w:tcPr>
                  <w:tcW w:w="1112"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排气筒</w:t>
                  </w:r>
                </w:p>
              </w:tc>
              <w:tc>
                <w:tcPr>
                  <w:tcW w:w="1096"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厂界</w:t>
                  </w:r>
                </w:p>
              </w:tc>
              <w:tc>
                <w:tcPr>
                  <w:tcW w:w="963"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20（无量纲）</w:t>
                  </w:r>
                </w:p>
              </w:tc>
              <w:tc>
                <w:tcPr>
                  <w:tcW w:w="887"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w:t>
                  </w:r>
                </w:p>
              </w:tc>
              <w:tc>
                <w:tcPr>
                  <w:tcW w:w="2065" w:type="dxa"/>
                  <w:vAlign w:val="center"/>
                </w:tcPr>
                <w:p>
                  <w:pPr>
                    <w:autoSpaceDE w:val="0"/>
                    <w:autoSpaceDN w:val="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w:t>
                  </w:r>
                </w:p>
              </w:tc>
            </w:tr>
          </w:tbl>
          <w:p>
            <w:pPr>
              <w:spacing w:line="360" w:lineRule="auto"/>
              <w:ind w:firstLine="482" w:firstLineChars="200"/>
              <w:rPr>
                <w:b/>
                <w:sz w:val="24"/>
              </w:rPr>
            </w:pPr>
            <w:r>
              <w:rPr>
                <w:b/>
                <w:sz w:val="24"/>
              </w:rPr>
              <w:t>2、废水</w:t>
            </w:r>
          </w:p>
          <w:p>
            <w:pPr>
              <w:spacing w:line="360" w:lineRule="auto"/>
              <w:ind w:firstLine="480" w:firstLineChars="200"/>
              <w:rPr>
                <w:sz w:val="24"/>
              </w:rPr>
            </w:pPr>
            <w:r>
              <w:rPr>
                <w:sz w:val="24"/>
              </w:rPr>
              <w:t>本项目无生产废水外排，生活污水排入</w:t>
            </w:r>
            <w:r>
              <w:rPr>
                <w:rFonts w:hint="eastAsia"/>
                <w:sz w:val="24"/>
              </w:rPr>
              <w:t>用于厂区洒水抑尘，不外排。</w:t>
            </w:r>
          </w:p>
          <w:p>
            <w:pPr>
              <w:spacing w:line="360" w:lineRule="auto"/>
              <w:ind w:firstLine="482" w:firstLineChars="200"/>
              <w:rPr>
                <w:b/>
                <w:sz w:val="24"/>
              </w:rPr>
            </w:pPr>
            <w:r>
              <w:rPr>
                <w:b/>
                <w:sz w:val="24"/>
              </w:rPr>
              <w:t>3、噪声</w:t>
            </w:r>
          </w:p>
          <w:p>
            <w:pPr>
              <w:spacing w:line="360" w:lineRule="auto"/>
              <w:ind w:firstLine="480" w:firstLineChars="200"/>
              <w:rPr>
                <w:sz w:val="24"/>
              </w:rPr>
            </w:pPr>
            <w:r>
              <w:rPr>
                <w:sz w:val="24"/>
              </w:rPr>
              <w:t>施工期厂界噪声执行《建筑施工场界环境噪声排放标准》（GB12523-2011）中标准要求。</w:t>
            </w:r>
          </w:p>
          <w:p>
            <w:pPr>
              <w:jc w:val="center"/>
              <w:rPr>
                <w:b/>
                <w:bCs/>
              </w:rPr>
            </w:pPr>
            <w:r>
              <w:rPr>
                <w:b/>
                <w:bCs/>
              </w:rPr>
              <w:t>表3-</w:t>
            </w:r>
            <w:r>
              <w:rPr>
                <w:rFonts w:hint="eastAsia"/>
                <w:b/>
                <w:bCs/>
              </w:rPr>
              <w:t>6</w:t>
            </w:r>
            <w:r>
              <w:rPr>
                <w:b/>
                <w:bCs/>
              </w:rPr>
              <w:t xml:space="preserve">  建筑施工厂界噪声限值</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99"/>
              <w:gridCol w:w="37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pPr>
                    <w:adjustRightInd w:val="0"/>
                    <w:snapToGrid w:val="0"/>
                    <w:spacing w:line="240" w:lineRule="atLeast"/>
                    <w:jc w:val="center"/>
                    <w:rPr>
                      <w:szCs w:val="21"/>
                    </w:rPr>
                  </w:pPr>
                  <w:r>
                    <w:rPr>
                      <w:szCs w:val="21"/>
                    </w:rPr>
                    <w:t>噪声限值dB（A）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1" w:type="pct"/>
                  <w:vAlign w:val="center"/>
                </w:tcPr>
                <w:p>
                  <w:pPr>
                    <w:adjustRightInd w:val="0"/>
                    <w:snapToGrid w:val="0"/>
                    <w:spacing w:line="240" w:lineRule="atLeast"/>
                    <w:jc w:val="center"/>
                    <w:rPr>
                      <w:szCs w:val="21"/>
                    </w:rPr>
                  </w:pPr>
                  <w:r>
                    <w:rPr>
                      <w:szCs w:val="21"/>
                    </w:rPr>
                    <w:t>昼间</w:t>
                  </w:r>
                </w:p>
              </w:tc>
              <w:tc>
                <w:tcPr>
                  <w:tcW w:w="2359" w:type="pct"/>
                  <w:vAlign w:val="center"/>
                </w:tcPr>
                <w:p>
                  <w:pPr>
                    <w:adjustRightInd w:val="0"/>
                    <w:snapToGrid w:val="0"/>
                    <w:spacing w:line="240" w:lineRule="atLeast"/>
                    <w:jc w:val="center"/>
                    <w:rPr>
                      <w:szCs w:val="21"/>
                    </w:rPr>
                  </w:pPr>
                  <w:r>
                    <w:rPr>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1" w:type="pct"/>
                  <w:vAlign w:val="center"/>
                </w:tcPr>
                <w:p>
                  <w:pPr>
                    <w:adjustRightInd w:val="0"/>
                    <w:snapToGrid w:val="0"/>
                    <w:spacing w:line="240" w:lineRule="atLeast"/>
                    <w:jc w:val="center"/>
                    <w:rPr>
                      <w:szCs w:val="21"/>
                    </w:rPr>
                  </w:pPr>
                  <w:r>
                    <w:rPr>
                      <w:szCs w:val="21"/>
                    </w:rPr>
                    <w:t>70</w:t>
                  </w:r>
                </w:p>
              </w:tc>
              <w:tc>
                <w:tcPr>
                  <w:tcW w:w="2359" w:type="pct"/>
                  <w:vAlign w:val="center"/>
                </w:tcPr>
                <w:p>
                  <w:pPr>
                    <w:adjustRightInd w:val="0"/>
                    <w:snapToGrid w:val="0"/>
                    <w:spacing w:line="240" w:lineRule="atLeast"/>
                    <w:jc w:val="center"/>
                    <w:rPr>
                      <w:szCs w:val="21"/>
                    </w:rPr>
                  </w:pPr>
                  <w:r>
                    <w:rPr>
                      <w:szCs w:val="21"/>
                    </w:rPr>
                    <w:t>55</w:t>
                  </w:r>
                </w:p>
              </w:tc>
            </w:tr>
          </w:tbl>
          <w:p>
            <w:pPr>
              <w:keepNext/>
              <w:tabs>
                <w:tab w:val="left" w:pos="26"/>
              </w:tabs>
              <w:spacing w:line="360" w:lineRule="auto"/>
              <w:ind w:firstLine="454"/>
              <w:rPr>
                <w:sz w:val="24"/>
              </w:rPr>
            </w:pPr>
            <w:r>
              <w:rPr>
                <w:sz w:val="24"/>
              </w:rPr>
              <w:t>运营期厂界噪声执行《工业企业厂界环境噪声排放标准》（GB12348-2008）中2类标准。</w:t>
            </w:r>
          </w:p>
          <w:p>
            <w:pPr>
              <w:jc w:val="center"/>
              <w:rPr>
                <w:b/>
                <w:bCs/>
                <w:szCs w:val="21"/>
              </w:rPr>
            </w:pPr>
            <w:r>
              <w:rPr>
                <w:b/>
                <w:bCs/>
                <w:szCs w:val="21"/>
              </w:rPr>
              <w:t>表3-</w:t>
            </w:r>
            <w:r>
              <w:rPr>
                <w:rFonts w:hint="eastAsia"/>
                <w:b/>
                <w:bCs/>
                <w:szCs w:val="21"/>
              </w:rPr>
              <w:t>7</w:t>
            </w:r>
            <w:r>
              <w:rPr>
                <w:b/>
                <w:bCs/>
                <w:szCs w:val="21"/>
              </w:rPr>
              <w:t xml:space="preserve">  </w:t>
            </w:r>
            <w:r>
              <w:rPr>
                <w:b/>
                <w:bCs/>
              </w:rPr>
              <w:t>《工业企业厂界环境噪声排放标准》</w:t>
            </w:r>
            <w:r>
              <w:rPr>
                <w:b/>
                <w:bCs/>
                <w:szCs w:val="21"/>
              </w:rPr>
              <w:t>（GB12348-2008）</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2589"/>
              <w:gridCol w:w="33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adjustRightInd w:val="0"/>
                    <w:snapToGrid w:val="0"/>
                    <w:jc w:val="center"/>
                  </w:pPr>
                  <w:r>
                    <w:t>类别</w:t>
                  </w:r>
                </w:p>
              </w:tc>
              <w:tc>
                <w:tcPr>
                  <w:tcW w:w="1628" w:type="pct"/>
                  <w:vAlign w:val="center"/>
                </w:tcPr>
                <w:p>
                  <w:pPr>
                    <w:adjustRightInd w:val="0"/>
                    <w:snapToGrid w:val="0"/>
                    <w:jc w:val="center"/>
                  </w:pPr>
                  <w:r>
                    <w:t>昼间dB（A）</w:t>
                  </w:r>
                </w:p>
              </w:tc>
              <w:tc>
                <w:tcPr>
                  <w:tcW w:w="2122" w:type="pct"/>
                  <w:vAlign w:val="center"/>
                </w:tcPr>
                <w:p>
                  <w:pPr>
                    <w:adjustRightInd w:val="0"/>
                    <w:snapToGrid w:val="0"/>
                    <w:jc w:val="center"/>
                  </w:pPr>
                  <w: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adjustRightInd w:val="0"/>
                    <w:snapToGrid w:val="0"/>
                    <w:jc w:val="center"/>
                  </w:pPr>
                  <w:r>
                    <w:t>2类</w:t>
                  </w:r>
                </w:p>
              </w:tc>
              <w:tc>
                <w:tcPr>
                  <w:tcW w:w="1628" w:type="pct"/>
                  <w:vAlign w:val="center"/>
                </w:tcPr>
                <w:p>
                  <w:pPr>
                    <w:adjustRightInd w:val="0"/>
                    <w:snapToGrid w:val="0"/>
                    <w:jc w:val="center"/>
                  </w:pPr>
                  <w:r>
                    <w:t>60</w:t>
                  </w:r>
                </w:p>
              </w:tc>
              <w:tc>
                <w:tcPr>
                  <w:tcW w:w="2122" w:type="pct"/>
                  <w:vAlign w:val="center"/>
                </w:tcPr>
                <w:p>
                  <w:pPr>
                    <w:adjustRightInd w:val="0"/>
                    <w:snapToGrid w:val="0"/>
                    <w:jc w:val="center"/>
                  </w:pPr>
                  <w:r>
                    <w:t>50</w:t>
                  </w:r>
                </w:p>
              </w:tc>
            </w:tr>
          </w:tbl>
          <w:p>
            <w:pPr>
              <w:spacing w:line="360" w:lineRule="auto"/>
              <w:ind w:firstLine="482" w:firstLineChars="200"/>
              <w:rPr>
                <w:b/>
                <w:sz w:val="24"/>
              </w:rPr>
            </w:pPr>
            <w:r>
              <w:rPr>
                <w:b/>
                <w:sz w:val="24"/>
              </w:rPr>
              <w:t>3、固体废物</w:t>
            </w:r>
          </w:p>
          <w:p>
            <w:pPr>
              <w:spacing w:line="360" w:lineRule="auto"/>
              <w:ind w:firstLine="480" w:firstLineChars="200"/>
              <w:rPr>
                <w:bCs/>
                <w:sz w:val="24"/>
              </w:rPr>
            </w:pPr>
            <w:r>
              <w:rPr>
                <w:bCs/>
                <w:sz w:val="24"/>
              </w:rPr>
              <w:t>一般固体废物执行《一般工业固体废物贮存和填埋污染控制标准》（GB18599-2020）中的有关规定。危险废物执行《危险废物贮存污染控制标准》（GB18597-2023）中的有关规定。</w:t>
            </w:r>
          </w:p>
          <w:p>
            <w:pPr>
              <w:pStyle w:val="2"/>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589" w:type="dxa"/>
            <w:vAlign w:val="center"/>
          </w:tcPr>
          <w:p>
            <w:pPr>
              <w:adjustRightInd w:val="0"/>
              <w:snapToGrid w:val="0"/>
              <w:jc w:val="center"/>
              <w:rPr>
                <w:kern w:val="0"/>
                <w:sz w:val="24"/>
              </w:rPr>
            </w:pPr>
            <w:r>
              <w:rPr>
                <w:kern w:val="0"/>
                <w:sz w:val="24"/>
              </w:rPr>
              <w:t>总量控制指标</w:t>
            </w:r>
          </w:p>
        </w:tc>
        <w:tc>
          <w:tcPr>
            <w:tcW w:w="8166" w:type="dxa"/>
            <w:vAlign w:val="center"/>
          </w:tcPr>
          <w:p>
            <w:pPr>
              <w:tabs>
                <w:tab w:val="left" w:pos="5019"/>
              </w:tabs>
              <w:adjustRightInd w:val="0"/>
              <w:snapToGrid w:val="0"/>
              <w:spacing w:line="500" w:lineRule="exact"/>
              <w:ind w:firstLine="480" w:firstLineChars="200"/>
              <w:rPr>
                <w:sz w:val="24"/>
              </w:rPr>
            </w:pPr>
            <w:r>
              <w:rPr>
                <w:sz w:val="24"/>
              </w:rPr>
              <w:t>根据山西省生态环境厅关于印发《建设项目主要污染物排放总量指标核定办法》的通知（晋环规〔2023〕1号）的规定：“废气二氧化硫、氮氧化物、颗粒物排放量分别不大于3吨/年，挥发性有机物排放量不大于0.3吨/年；废水化学需氧量排放量不大于1吨/年和氨氮排放量不大于0.5吨/年的建设项目，主要污染物排放总量指标可直接予以核定，不需进行主要污染物总量置换”。</w:t>
            </w:r>
          </w:p>
          <w:p>
            <w:pPr>
              <w:tabs>
                <w:tab w:val="left" w:pos="5019"/>
              </w:tabs>
              <w:adjustRightInd w:val="0"/>
              <w:snapToGrid w:val="0"/>
              <w:spacing w:line="500" w:lineRule="exact"/>
              <w:ind w:firstLine="480" w:firstLineChars="200"/>
              <w:rPr>
                <w:sz w:val="24"/>
              </w:rPr>
            </w:pPr>
            <w:r>
              <w:rPr>
                <w:sz w:val="24"/>
              </w:rPr>
              <w:t>本项目排放的主要污染物为挥发性有机物（非甲烷总烃）</w:t>
            </w:r>
            <w:r>
              <w:rPr>
                <w:rFonts w:hint="eastAsia"/>
                <w:sz w:val="24"/>
              </w:rPr>
              <w:t>和颗粒物</w:t>
            </w:r>
            <w:r>
              <w:rPr>
                <w:sz w:val="24"/>
              </w:rPr>
              <w:t>，因此本项目需申请总量：挥发性有机物</w:t>
            </w:r>
            <w:r>
              <w:rPr>
                <w:rFonts w:hint="eastAsia"/>
                <w:sz w:val="24"/>
              </w:rPr>
              <w:t>0.016</w:t>
            </w:r>
            <w:r>
              <w:rPr>
                <w:sz w:val="24"/>
              </w:rPr>
              <w:t>t/a</w:t>
            </w:r>
            <w:r>
              <w:rPr>
                <w:rFonts w:hint="eastAsia"/>
                <w:sz w:val="24"/>
              </w:rPr>
              <w:t>，颗粒物为0.0001t/a。</w:t>
            </w:r>
          </w:p>
          <w:p>
            <w:pPr>
              <w:pStyle w:val="2"/>
              <w:ind w:firstLine="420"/>
            </w:pPr>
          </w:p>
        </w:tc>
      </w:tr>
    </w:tbl>
    <w:p>
      <w:pPr>
        <w:pStyle w:val="18"/>
        <w:spacing w:before="156" w:beforeLines="50" w:beforeAutospacing="0" w:after="156"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8" w:name="_Toc196816303"/>
      <w:r>
        <w:rPr>
          <w:rFonts w:ascii="Times New Roman" w:hAnsi="Times New Roman" w:eastAsia="黑体"/>
          <w:snapToGrid w:val="0"/>
          <w:sz w:val="30"/>
          <w:szCs w:val="30"/>
        </w:rPr>
        <w:t>四、主要环境影响和保护措施</w:t>
      </w:r>
      <w:bookmarkEnd w:id="8"/>
    </w:p>
    <w:tbl>
      <w:tblPr>
        <w:tblStyle w:val="2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704"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施工期环境保护措施</w:t>
            </w:r>
          </w:p>
        </w:tc>
        <w:tc>
          <w:tcPr>
            <w:tcW w:w="8222" w:type="dxa"/>
            <w:vAlign w:val="center"/>
          </w:tcPr>
          <w:p>
            <w:pPr>
              <w:spacing w:line="360" w:lineRule="auto"/>
              <w:ind w:firstLine="482" w:firstLineChars="200"/>
              <w:rPr>
                <w:b/>
                <w:bCs/>
                <w:snapToGrid w:val="0"/>
                <w:kern w:val="0"/>
                <w:sz w:val="24"/>
              </w:rPr>
            </w:pPr>
            <w:r>
              <w:rPr>
                <w:b/>
                <w:bCs/>
                <w:snapToGrid w:val="0"/>
                <w:kern w:val="0"/>
                <w:sz w:val="24"/>
              </w:rPr>
              <w:t>1、环境空气</w:t>
            </w:r>
          </w:p>
          <w:p>
            <w:pPr>
              <w:spacing w:line="360" w:lineRule="auto"/>
              <w:ind w:firstLine="480" w:firstLineChars="200"/>
              <w:rPr>
                <w:bCs/>
                <w:snapToGrid w:val="0"/>
                <w:kern w:val="0"/>
                <w:sz w:val="24"/>
              </w:rPr>
            </w:pPr>
            <w:r>
              <w:rPr>
                <w:bCs/>
                <w:snapToGrid w:val="0"/>
                <w:kern w:val="0"/>
                <w:sz w:val="24"/>
              </w:rPr>
              <w:t>1）施工工地周边100%围挡</w:t>
            </w:r>
          </w:p>
          <w:p>
            <w:pPr>
              <w:spacing w:line="360" w:lineRule="auto"/>
              <w:ind w:firstLine="480" w:firstLineChars="200"/>
              <w:rPr>
                <w:snapToGrid w:val="0"/>
                <w:kern w:val="0"/>
                <w:sz w:val="24"/>
              </w:rPr>
            </w:pPr>
            <w:r>
              <w:rPr>
                <w:snapToGrid w:val="0"/>
                <w:kern w:val="0"/>
                <w:sz w:val="24"/>
              </w:rPr>
              <w:t>施工现场应设置稳固、整齐、美观并符合安全标准要求的连续封闭式围挡；围挡底部应设置30厘米防溢座，防止泥浆外漏；房屋建筑工程施工期在30天以上的，必须设置不低于2.5米的围墙，工期在30天以内的可设置彩钢围挡。</w:t>
            </w:r>
          </w:p>
          <w:p>
            <w:pPr>
              <w:spacing w:line="360" w:lineRule="auto"/>
              <w:ind w:firstLine="480" w:firstLineChars="200"/>
              <w:rPr>
                <w:snapToGrid w:val="0"/>
                <w:kern w:val="0"/>
                <w:sz w:val="24"/>
              </w:rPr>
            </w:pPr>
            <w:r>
              <w:rPr>
                <w:snapToGrid w:val="0"/>
                <w:kern w:val="0"/>
                <w:sz w:val="24"/>
              </w:rPr>
              <w:t>2）物料堆放100%覆盖</w:t>
            </w:r>
          </w:p>
          <w:p>
            <w:pPr>
              <w:spacing w:line="360" w:lineRule="auto"/>
              <w:ind w:firstLine="480" w:firstLineChars="200"/>
              <w:rPr>
                <w:snapToGrid w:val="0"/>
                <w:kern w:val="0"/>
                <w:sz w:val="24"/>
              </w:rPr>
            </w:pPr>
            <w:r>
              <w:rPr>
                <w:snapToGrid w:val="0"/>
                <w:kern w:val="0"/>
                <w:sz w:val="24"/>
              </w:rPr>
              <w:t>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pPr>
              <w:spacing w:line="360" w:lineRule="auto"/>
              <w:ind w:firstLine="480" w:firstLineChars="200"/>
              <w:rPr>
                <w:snapToGrid w:val="0"/>
                <w:kern w:val="0"/>
                <w:sz w:val="24"/>
              </w:rPr>
            </w:pPr>
            <w:r>
              <w:rPr>
                <w:snapToGrid w:val="0"/>
                <w:kern w:val="0"/>
                <w:sz w:val="24"/>
              </w:rPr>
              <w:t xml:space="preserve">3）出入车辆100%冲洗 </w:t>
            </w:r>
          </w:p>
          <w:p>
            <w:pPr>
              <w:spacing w:line="360" w:lineRule="auto"/>
              <w:ind w:firstLine="480" w:firstLineChars="200"/>
              <w:rPr>
                <w:snapToGrid w:val="0"/>
                <w:kern w:val="0"/>
                <w:sz w:val="24"/>
              </w:rPr>
            </w:pPr>
            <w:r>
              <w:rPr>
                <w:snapToGrid w:val="0"/>
                <w:kern w:val="0"/>
                <w:sz w:val="24"/>
              </w:rPr>
              <w:t>施工现场的出入口均应设置车辆冲洗台，四周设置排水沟，上盖钢篦，设置沉淀池，排水沟与沉淀池相连，沉淀池大小应满足冲洗要求；配备高压冲洗设备或设置自动冲洗台；应配备保洁员负责车辆、进出道路的冲洗、清扫和保洁工作。</w:t>
            </w:r>
          </w:p>
          <w:p>
            <w:pPr>
              <w:spacing w:line="360" w:lineRule="auto"/>
              <w:ind w:firstLine="480" w:firstLineChars="200"/>
              <w:rPr>
                <w:snapToGrid w:val="0"/>
                <w:kern w:val="0"/>
                <w:sz w:val="24"/>
              </w:rPr>
            </w:pPr>
            <w:r>
              <w:rPr>
                <w:snapToGrid w:val="0"/>
                <w:kern w:val="0"/>
                <w:sz w:val="24"/>
              </w:rPr>
              <w:t>4）施工现场地面100%硬化</w:t>
            </w:r>
          </w:p>
          <w:p>
            <w:pPr>
              <w:spacing w:line="360" w:lineRule="auto"/>
              <w:ind w:firstLine="480" w:firstLineChars="200"/>
              <w:rPr>
                <w:snapToGrid w:val="0"/>
                <w:kern w:val="0"/>
                <w:sz w:val="24"/>
              </w:rPr>
            </w:pPr>
            <w:r>
              <w:rPr>
                <w:snapToGrid w:val="0"/>
                <w:kern w:val="0"/>
                <w:sz w:val="24"/>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pPr>
              <w:spacing w:line="360" w:lineRule="auto"/>
              <w:ind w:firstLine="480" w:firstLineChars="200"/>
              <w:rPr>
                <w:snapToGrid w:val="0"/>
                <w:kern w:val="0"/>
                <w:sz w:val="24"/>
              </w:rPr>
            </w:pPr>
            <w:r>
              <w:rPr>
                <w:snapToGrid w:val="0"/>
                <w:kern w:val="0"/>
                <w:sz w:val="24"/>
              </w:rPr>
              <w:t>5）拆迁工地100%湿法作业</w:t>
            </w:r>
          </w:p>
          <w:p>
            <w:pPr>
              <w:spacing w:line="360" w:lineRule="auto"/>
              <w:ind w:firstLine="480" w:firstLineChars="200"/>
              <w:rPr>
                <w:snapToGrid w:val="0"/>
                <w:kern w:val="0"/>
                <w:sz w:val="24"/>
              </w:rPr>
            </w:pPr>
            <w:r>
              <w:rPr>
                <w:snapToGrid w:val="0"/>
                <w:kern w:val="0"/>
                <w:sz w:val="24"/>
              </w:rPr>
              <w:t>旧建筑物拆除施工应严格落实文明施工和作业标准，配备洒水、喷雾等防尘设备和设施，施工时要采取湿法作业，进行洒水、喷雾抑尘,拆除的垃圾必须随拆随清运。</w:t>
            </w:r>
          </w:p>
          <w:p>
            <w:pPr>
              <w:spacing w:line="360" w:lineRule="auto"/>
              <w:ind w:firstLine="480" w:firstLineChars="200"/>
              <w:rPr>
                <w:snapToGrid w:val="0"/>
                <w:kern w:val="0"/>
                <w:sz w:val="24"/>
              </w:rPr>
            </w:pPr>
            <w:r>
              <w:rPr>
                <w:snapToGrid w:val="0"/>
                <w:kern w:val="0"/>
                <w:sz w:val="24"/>
              </w:rPr>
              <w:t>6）渣土车辆100%密闭运输</w:t>
            </w:r>
          </w:p>
          <w:p>
            <w:pPr>
              <w:spacing w:line="360" w:lineRule="auto"/>
              <w:ind w:firstLine="480" w:firstLineChars="200"/>
              <w:rPr>
                <w:snapToGrid w:val="0"/>
                <w:kern w:val="0"/>
                <w:sz w:val="24"/>
              </w:rPr>
            </w:pPr>
            <w:r>
              <w:rPr>
                <w:snapToGrid w:val="0"/>
                <w:kern w:val="0"/>
                <w:sz w:val="24"/>
              </w:rPr>
              <w:t>进出工地车辆应采取密闭车斗，并保证物料不遗撒外漏。若无密闭车斗，物料、垃圾、渣土的装载与车厢持平，不得超高；车斗应用苫布盖严、捆实，保证物料、垃圾、渣土等不露出、不遗撒。</w:t>
            </w:r>
          </w:p>
          <w:p>
            <w:pPr>
              <w:spacing w:line="360" w:lineRule="auto"/>
              <w:ind w:firstLine="480" w:firstLineChars="200"/>
              <w:rPr>
                <w:snapToGrid w:val="0"/>
                <w:kern w:val="0"/>
                <w:sz w:val="24"/>
              </w:rPr>
            </w:pPr>
            <w:r>
              <w:rPr>
                <w:snapToGrid w:val="0"/>
                <w:kern w:val="0"/>
                <w:sz w:val="24"/>
              </w:rPr>
              <w:t>项目利用原有围墙作为施工围挡；物料堆存采用防雨布和防尘网覆盖；对出入车辆进行冲洗；项目场地紧邻硬化道路；不涉及拆迁工程；渣土车辆密闭运输。</w:t>
            </w:r>
          </w:p>
          <w:p>
            <w:pPr>
              <w:spacing w:line="360" w:lineRule="auto"/>
              <w:ind w:firstLine="482" w:firstLineChars="200"/>
              <w:rPr>
                <w:b/>
                <w:bCs/>
                <w:snapToGrid w:val="0"/>
                <w:kern w:val="0"/>
                <w:sz w:val="24"/>
              </w:rPr>
            </w:pPr>
            <w:r>
              <w:rPr>
                <w:b/>
                <w:bCs/>
                <w:snapToGrid w:val="0"/>
                <w:kern w:val="0"/>
                <w:sz w:val="24"/>
              </w:rPr>
              <w:t>2、水环境</w:t>
            </w:r>
          </w:p>
          <w:p>
            <w:pPr>
              <w:spacing w:line="360" w:lineRule="auto"/>
              <w:ind w:firstLine="480" w:firstLineChars="200"/>
              <w:rPr>
                <w:bCs/>
                <w:snapToGrid w:val="0"/>
                <w:kern w:val="0"/>
                <w:sz w:val="24"/>
              </w:rPr>
            </w:pPr>
            <w:r>
              <w:rPr>
                <w:bCs/>
                <w:snapToGrid w:val="0"/>
                <w:kern w:val="0"/>
                <w:sz w:val="24"/>
              </w:rPr>
              <w:t>1）汽车冲洗废水</w:t>
            </w:r>
          </w:p>
          <w:p>
            <w:pPr>
              <w:spacing w:line="360" w:lineRule="auto"/>
              <w:ind w:firstLine="480" w:firstLineChars="200"/>
              <w:rPr>
                <w:bCs/>
                <w:snapToGrid w:val="0"/>
                <w:kern w:val="0"/>
                <w:sz w:val="24"/>
              </w:rPr>
            </w:pPr>
            <w:r>
              <w:rPr>
                <w:bCs/>
                <w:snapToGrid w:val="0"/>
                <w:kern w:val="0"/>
                <w:sz w:val="24"/>
              </w:rPr>
              <w:t>汽车冲洗废水沉淀后用于施工场地洒水抑尘，不外排。</w:t>
            </w:r>
          </w:p>
          <w:p>
            <w:pPr>
              <w:spacing w:line="360" w:lineRule="auto"/>
              <w:ind w:firstLine="480" w:firstLineChars="200"/>
              <w:rPr>
                <w:bCs/>
                <w:snapToGrid w:val="0"/>
                <w:kern w:val="0"/>
                <w:sz w:val="24"/>
              </w:rPr>
            </w:pPr>
            <w:r>
              <w:rPr>
                <w:bCs/>
                <w:snapToGrid w:val="0"/>
                <w:kern w:val="0"/>
                <w:sz w:val="24"/>
              </w:rPr>
              <w:t>2）生活污水</w:t>
            </w:r>
          </w:p>
          <w:p>
            <w:pPr>
              <w:spacing w:line="360" w:lineRule="auto"/>
              <w:ind w:firstLine="480" w:firstLineChars="200"/>
              <w:rPr>
                <w:bCs/>
                <w:snapToGrid w:val="0"/>
                <w:kern w:val="0"/>
                <w:sz w:val="24"/>
              </w:rPr>
            </w:pPr>
            <w:r>
              <w:rPr>
                <w:bCs/>
                <w:snapToGrid w:val="0"/>
                <w:kern w:val="0"/>
                <w:sz w:val="24"/>
              </w:rPr>
              <w:t>施工人员的生活污水收集后回用于洒水抑尘，不外排。</w:t>
            </w:r>
          </w:p>
          <w:p>
            <w:pPr>
              <w:spacing w:line="360" w:lineRule="auto"/>
              <w:ind w:firstLine="482" w:firstLineChars="200"/>
              <w:rPr>
                <w:b/>
                <w:bCs/>
                <w:snapToGrid w:val="0"/>
                <w:kern w:val="0"/>
                <w:sz w:val="24"/>
              </w:rPr>
            </w:pPr>
            <w:r>
              <w:rPr>
                <w:b/>
                <w:bCs/>
                <w:snapToGrid w:val="0"/>
                <w:kern w:val="0"/>
                <w:sz w:val="24"/>
              </w:rPr>
              <w:t>3、声环境</w:t>
            </w:r>
          </w:p>
          <w:p>
            <w:pPr>
              <w:spacing w:line="360" w:lineRule="auto"/>
              <w:ind w:firstLine="480" w:firstLineChars="200"/>
              <w:rPr>
                <w:sz w:val="24"/>
              </w:rPr>
            </w:pPr>
            <w:r>
              <w:rPr>
                <w:sz w:val="24"/>
              </w:rPr>
              <w:t>1）</w:t>
            </w:r>
            <w:r>
              <w:rPr>
                <w:bCs/>
                <w:sz w:val="24"/>
              </w:rPr>
              <w:t>施工期应制定严格合理的施工计划，集中安排高噪声施工阶段，并事先告知周边受影响单位施工状况，便于合理控制；</w:t>
            </w:r>
          </w:p>
          <w:p>
            <w:pPr>
              <w:spacing w:line="360" w:lineRule="auto"/>
              <w:ind w:firstLine="480" w:firstLineChars="200"/>
              <w:rPr>
                <w:sz w:val="24"/>
              </w:rPr>
            </w:pPr>
            <w:r>
              <w:rPr>
                <w:bCs/>
                <w:sz w:val="24"/>
              </w:rPr>
              <w:t>2）施工设备选型上应尽量采用低噪声设备，对动力机械设备进行定期的维修、养护</w:t>
            </w:r>
            <w:r>
              <w:rPr>
                <w:sz w:val="24"/>
              </w:rPr>
              <w:t>；</w:t>
            </w:r>
          </w:p>
          <w:p>
            <w:pPr>
              <w:spacing w:line="360" w:lineRule="auto"/>
              <w:ind w:firstLine="480" w:firstLineChars="200"/>
              <w:rPr>
                <w:sz w:val="24"/>
              </w:rPr>
            </w:pPr>
            <w:r>
              <w:rPr>
                <w:sz w:val="24"/>
              </w:rPr>
              <w:t>3）运输车辆在附近村庄行驶时，要减速缓行、减少鸣笛。</w:t>
            </w:r>
          </w:p>
          <w:p>
            <w:pPr>
              <w:spacing w:line="360" w:lineRule="auto"/>
              <w:ind w:firstLine="482" w:firstLineChars="200"/>
              <w:rPr>
                <w:b/>
                <w:bCs/>
                <w:snapToGrid w:val="0"/>
                <w:kern w:val="0"/>
                <w:sz w:val="24"/>
              </w:rPr>
            </w:pPr>
            <w:r>
              <w:rPr>
                <w:b/>
                <w:bCs/>
                <w:snapToGrid w:val="0"/>
                <w:kern w:val="0"/>
                <w:sz w:val="24"/>
              </w:rPr>
              <w:t>4、固体废物</w:t>
            </w:r>
          </w:p>
          <w:p>
            <w:pPr>
              <w:spacing w:line="360" w:lineRule="auto"/>
              <w:ind w:firstLine="480" w:firstLineChars="200"/>
              <w:rPr>
                <w:sz w:val="24"/>
              </w:rPr>
            </w:pPr>
            <w:r>
              <w:rPr>
                <w:sz w:val="24"/>
              </w:rPr>
              <w:t>1）建筑垃圾进行分类回收利用，不能回收利用的建筑垃圾送当地环卫部门指定地点处置。</w:t>
            </w:r>
          </w:p>
          <w:p>
            <w:pPr>
              <w:spacing w:line="360" w:lineRule="auto"/>
              <w:ind w:firstLine="480" w:firstLineChars="200"/>
              <w:rPr>
                <w:sz w:val="24"/>
              </w:rPr>
            </w:pPr>
            <w:r>
              <w:rPr>
                <w:sz w:val="24"/>
              </w:rPr>
              <w:t>2）施工期生活垃圾送当地环卫部门指定地点处置。</w:t>
            </w:r>
          </w:p>
          <w:p>
            <w:pPr>
              <w:spacing w:line="360" w:lineRule="auto"/>
              <w:ind w:firstLine="480" w:firstLineChars="200"/>
              <w:rPr>
                <w:sz w:val="24"/>
              </w:rPr>
            </w:pPr>
            <w:r>
              <w:rPr>
                <w:sz w:val="24"/>
              </w:rPr>
              <w:t>3）施工弃土送当地环卫部门指定地点处置。</w:t>
            </w:r>
          </w:p>
          <w:p>
            <w:pPr>
              <w:spacing w:line="360" w:lineRule="auto"/>
              <w:ind w:firstLine="482" w:firstLineChars="200"/>
              <w:rPr>
                <w:b/>
                <w:bCs/>
                <w:snapToGrid w:val="0"/>
                <w:kern w:val="0"/>
                <w:sz w:val="24"/>
              </w:rPr>
            </w:pPr>
            <w:r>
              <w:rPr>
                <w:b/>
                <w:bCs/>
                <w:snapToGrid w:val="0"/>
                <w:kern w:val="0"/>
                <w:sz w:val="24"/>
              </w:rPr>
              <w:t>5、生态环境</w:t>
            </w:r>
          </w:p>
          <w:p>
            <w:pPr>
              <w:spacing w:line="360" w:lineRule="auto"/>
              <w:ind w:firstLine="480" w:firstLineChars="200"/>
              <w:rPr>
                <w:snapToGrid w:val="0"/>
                <w:kern w:val="0"/>
                <w:sz w:val="24"/>
              </w:rPr>
            </w:pPr>
            <w:r>
              <w:rPr>
                <w:snapToGrid w:val="0"/>
                <w:kern w:val="0"/>
                <w:sz w:val="24"/>
              </w:rPr>
              <w:t>1）施工期划定施工区域，不得随意占用厂区以外的土地。</w:t>
            </w:r>
          </w:p>
          <w:p>
            <w:pPr>
              <w:spacing w:line="360" w:lineRule="auto"/>
              <w:ind w:firstLine="480" w:firstLineChars="200"/>
              <w:rPr>
                <w:bCs/>
                <w:snapToGrid w:val="0"/>
                <w:kern w:val="0"/>
                <w:sz w:val="24"/>
              </w:rPr>
            </w:pPr>
            <w:r>
              <w:rPr>
                <w:snapToGrid w:val="0"/>
                <w:kern w:val="0"/>
                <w:sz w:val="24"/>
              </w:rPr>
              <w:t>2）</w:t>
            </w:r>
            <w:r>
              <w:rPr>
                <w:bCs/>
                <w:snapToGrid w:val="0"/>
                <w:kern w:val="0"/>
                <w:sz w:val="24"/>
              </w:rPr>
              <w:t>施工期对土方进行苫盖、修建截水沟等，减少水土流失。</w:t>
            </w:r>
          </w:p>
          <w:p>
            <w:pPr>
              <w:spacing w:line="360" w:lineRule="auto"/>
              <w:ind w:firstLine="480" w:firstLineChars="200"/>
            </w:pPr>
            <w:r>
              <w:rPr>
                <w:snapToGrid w:val="0"/>
                <w:kern w:val="0"/>
                <w:sz w:val="24"/>
              </w:rPr>
              <w:t>3）根据施工进度，及时按规划对厂区进行绿化。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704" w:type="dxa"/>
            <w:tcMar>
              <w:left w:w="28" w:type="dxa"/>
              <w:right w:w="28" w:type="dxa"/>
            </w:tcMar>
            <w:vAlign w:val="center"/>
          </w:tcPr>
          <w:p>
            <w:pPr>
              <w:adjustRightInd w:val="0"/>
              <w:snapToGrid w:val="0"/>
              <w:jc w:val="center"/>
            </w:pPr>
            <w:r>
              <w:rPr>
                <w:bCs/>
                <w:sz w:val="24"/>
              </w:rPr>
              <w:t>运营期环境影响和保护措施</w:t>
            </w:r>
          </w:p>
        </w:tc>
        <w:tc>
          <w:tcPr>
            <w:tcW w:w="8222" w:type="dxa"/>
          </w:tcPr>
          <w:p>
            <w:pPr>
              <w:pStyle w:val="75"/>
              <w:spacing w:line="520" w:lineRule="exact"/>
              <w:ind w:firstLine="487"/>
              <w:jc w:val="both"/>
              <w:rPr>
                <w:rFonts w:ascii="Times New Roman" w:hAnsi="Times New Roman" w:cs="Times New Roman"/>
                <w:sz w:val="24"/>
                <w:lang w:eastAsia="zh-CN"/>
              </w:rPr>
            </w:pPr>
            <w:r>
              <w:rPr>
                <w:rFonts w:ascii="Times New Roman" w:hAnsi="Times New Roman" w:cs="Times New Roman"/>
                <w:sz w:val="24"/>
                <w:lang w:eastAsia="zh-CN"/>
              </w:rPr>
              <w:t>本项目废气主要为注塑过程产生的有机废气和不合格产品破碎时产生的粉尘。本项目原料采用抽吸方式密闭进料，进料管道直接伸入密闭的原料桶内将原料抽吸至注塑机进料口，且本项目所用塑料颗粒粒径3~5mm，因此，上料工序不会产生粉尘。经检验不合格的产品经破碎后作为原料回用于生产，破碎产生少量粉尘。</w:t>
            </w:r>
          </w:p>
          <w:p>
            <w:pPr>
              <w:pStyle w:val="75"/>
              <w:spacing w:line="520" w:lineRule="exact"/>
              <w:ind w:firstLine="487"/>
              <w:jc w:val="both"/>
              <w:rPr>
                <w:rFonts w:ascii="Times New Roman" w:hAnsi="Times New Roman" w:cs="Times New Roman"/>
                <w:sz w:val="24"/>
                <w:lang w:eastAsia="zh-CN"/>
              </w:rPr>
            </w:pPr>
            <w:r>
              <w:rPr>
                <w:rFonts w:ascii="Times New Roman" w:hAnsi="Times New Roman" w:cs="Times New Roman"/>
                <w:sz w:val="24"/>
                <w:lang w:eastAsia="zh-CN"/>
              </w:rPr>
              <w:t>本项目在进行评价时，对现有项目环评进行了查阅，结合现场调查实际情况可知，现有项目在环评阶段并未要求具体有机废气治理措施以及破碎粉尘治理措施。目前，企业针对有机废气治理安装有1台设计风量为10000m</w:t>
            </w:r>
            <w:r>
              <w:rPr>
                <w:rFonts w:ascii="Times New Roman" w:hAnsi="Times New Roman" w:cs="Times New Roman"/>
                <w:sz w:val="24"/>
                <w:vertAlign w:val="superscript"/>
                <w:lang w:eastAsia="zh-CN"/>
              </w:rPr>
              <w:t>3</w:t>
            </w:r>
            <w:r>
              <w:rPr>
                <w:rFonts w:ascii="Times New Roman" w:hAnsi="Times New Roman" w:cs="Times New Roman"/>
                <w:sz w:val="24"/>
                <w:lang w:eastAsia="zh-CN"/>
              </w:rPr>
              <w:t>/h的二级活性炭吸附装置，有机废气经处理后由1根15米高的排气筒排放，按照《排污许可证申请与核发技术规范橡胶和塑料制品工业》（HJ1122—2020），现有项目有机废气治理措施属于可行技术；破碎工序安装1台设计风量为3000m</w:t>
            </w:r>
            <w:r>
              <w:rPr>
                <w:rFonts w:ascii="Times New Roman" w:hAnsi="Times New Roman" w:cs="Times New Roman"/>
                <w:sz w:val="24"/>
                <w:vertAlign w:val="superscript"/>
                <w:lang w:eastAsia="zh-CN"/>
              </w:rPr>
              <w:t>3</w:t>
            </w:r>
            <w:r>
              <w:rPr>
                <w:rFonts w:ascii="Times New Roman" w:hAnsi="Times New Roman" w:cs="Times New Roman"/>
                <w:sz w:val="24"/>
                <w:lang w:eastAsia="zh-CN"/>
              </w:rPr>
              <w:t>/h的布袋除尘器，粉尘经处理后由1根15米高的排气筒排放。</w:t>
            </w:r>
          </w:p>
          <w:p>
            <w:pPr>
              <w:pStyle w:val="75"/>
              <w:spacing w:line="520" w:lineRule="exact"/>
              <w:ind w:firstLine="487"/>
              <w:jc w:val="both"/>
              <w:rPr>
                <w:rFonts w:ascii="Times New Roman" w:hAnsi="Times New Roman" w:cs="Times New Roman"/>
                <w:sz w:val="24"/>
                <w:lang w:eastAsia="zh-CN"/>
              </w:rPr>
            </w:pPr>
            <w:r>
              <w:rPr>
                <w:rFonts w:ascii="Times New Roman" w:hAnsi="Times New Roman" w:cs="Times New Roman"/>
                <w:sz w:val="24"/>
                <w:lang w:eastAsia="zh-CN"/>
              </w:rPr>
              <w:t>本项目新增1台注塑机，与现有项目注塑机共用1套有机废气治理设施和1根排气筒（DA001）；另外，本项目不再新增破碎机，利用现有项目的1台破碎机以及按要求安装的1套布袋除尘器和1根排气筒（DA002）。因此，</w:t>
            </w:r>
            <w:r>
              <w:rPr>
                <w:rFonts w:hint="eastAsia" w:ascii="Times New Roman" w:hAnsi="Times New Roman" w:cs="Times New Roman"/>
                <w:sz w:val="24"/>
                <w:lang w:eastAsia="zh-CN"/>
              </w:rPr>
              <w:t>本次</w:t>
            </w:r>
            <w:r>
              <w:rPr>
                <w:rFonts w:ascii="Times New Roman" w:hAnsi="Times New Roman" w:cs="Times New Roman"/>
                <w:sz w:val="24"/>
                <w:lang w:eastAsia="zh-CN"/>
              </w:rPr>
              <w:t>评价针对现有项目和本次扩建项目产生的有机废气和破碎粉尘合并计算。</w:t>
            </w:r>
          </w:p>
          <w:p>
            <w:pPr>
              <w:pStyle w:val="75"/>
              <w:spacing w:line="520" w:lineRule="exact"/>
              <w:ind w:firstLine="487"/>
              <w:jc w:val="both"/>
              <w:rPr>
                <w:rFonts w:ascii="Times New Roman" w:hAnsi="Times New Roman" w:cs="Times New Roman"/>
                <w:b/>
                <w:bCs/>
                <w:sz w:val="24"/>
                <w:lang w:eastAsia="zh-CN"/>
              </w:rPr>
            </w:pPr>
            <w:r>
              <w:rPr>
                <w:rFonts w:hint="eastAsia" w:ascii="Times New Roman" w:hAnsi="Times New Roman" w:cs="Times New Roman"/>
                <w:b/>
                <w:bCs/>
                <w:sz w:val="24"/>
                <w:lang w:eastAsia="zh-CN"/>
              </w:rPr>
              <w:t>1、</w:t>
            </w:r>
            <w:r>
              <w:rPr>
                <w:rFonts w:ascii="Times New Roman" w:hAnsi="Times New Roman" w:cs="Times New Roman"/>
                <w:b/>
                <w:bCs/>
                <w:sz w:val="24"/>
                <w:lang w:eastAsia="zh-CN"/>
              </w:rPr>
              <w:t>注塑有机废气</w:t>
            </w:r>
          </w:p>
          <w:p>
            <w:pPr>
              <w:pStyle w:val="75"/>
              <w:spacing w:line="520" w:lineRule="exact"/>
              <w:ind w:firstLine="487"/>
              <w:jc w:val="both"/>
              <w:rPr>
                <w:rFonts w:ascii="Times New Roman" w:hAnsi="Times New Roman" w:cs="Times New Roman"/>
                <w:b/>
                <w:bCs/>
                <w:sz w:val="24"/>
                <w:lang w:eastAsia="zh-CN"/>
              </w:rPr>
            </w:pPr>
            <w:r>
              <w:rPr>
                <w:rFonts w:hint="eastAsia" w:ascii="Times New Roman" w:hAnsi="Times New Roman" w:cs="Times New Roman"/>
                <w:b/>
                <w:bCs/>
                <w:sz w:val="24"/>
                <w:lang w:eastAsia="zh-CN"/>
              </w:rPr>
              <w:t>(1)有机废气源强计算</w:t>
            </w:r>
          </w:p>
          <w:p>
            <w:pPr>
              <w:pStyle w:val="75"/>
              <w:spacing w:line="520" w:lineRule="exact"/>
              <w:ind w:firstLine="487"/>
              <w:jc w:val="both"/>
              <w:rPr>
                <w:rFonts w:ascii="Times New Roman" w:hAnsi="Times New Roman" w:cs="Times New Roman"/>
                <w:sz w:val="24"/>
                <w:lang w:eastAsia="zh-CN"/>
              </w:rPr>
            </w:pPr>
            <w:r>
              <w:rPr>
                <w:rFonts w:ascii="Times New Roman" w:hAnsi="Times New Roman" w:cs="Times New Roman"/>
                <w:sz w:val="24"/>
                <w:lang w:eastAsia="zh-CN"/>
              </w:rPr>
              <w:t>根据《排放源统计调查产排污核算方法和系数手册</w:t>
            </w:r>
            <w:r>
              <w:rPr>
                <w:rFonts w:ascii="Times New Roman" w:hAnsi="Times New Roman" w:cs="Times New Roman" w:eastAsiaTheme="minorEastAsia"/>
                <w:sz w:val="24"/>
                <w:lang w:eastAsia="zh-CN"/>
              </w:rPr>
              <w:t>—</w:t>
            </w:r>
            <w:r>
              <w:rPr>
                <w:rFonts w:ascii="Times New Roman" w:hAnsi="Times New Roman" w:eastAsia="Times New Roman" w:cs="Times New Roman"/>
                <w:sz w:val="24"/>
                <w:lang w:eastAsia="zh-CN"/>
              </w:rPr>
              <w:t>292</w:t>
            </w:r>
            <w:r>
              <w:rPr>
                <w:rFonts w:ascii="Times New Roman" w:hAnsi="Times New Roman" w:cs="Times New Roman"/>
                <w:sz w:val="24"/>
                <w:lang w:eastAsia="zh-CN"/>
              </w:rPr>
              <w:t>塑料制品行业系数手册》中</w:t>
            </w:r>
            <w:r>
              <w:rPr>
                <w:rFonts w:ascii="Times New Roman" w:hAnsi="Times New Roman" w:eastAsia="Times New Roman" w:cs="Times New Roman"/>
                <w:sz w:val="24"/>
                <w:lang w:eastAsia="zh-CN"/>
              </w:rPr>
              <w:t>2926</w:t>
            </w:r>
            <w:r>
              <w:rPr>
                <w:rFonts w:ascii="Times New Roman" w:hAnsi="Times New Roman" w:cs="Times New Roman"/>
                <w:sz w:val="24"/>
                <w:lang w:eastAsia="zh-CN"/>
              </w:rPr>
              <w:t>塑料包装箱及容器制造行业系数表中的产污系数，挥发性有机物（以非甲烷总烃计）</w:t>
            </w:r>
            <w:r>
              <w:rPr>
                <w:rFonts w:ascii="Times New Roman" w:hAnsi="Times New Roman" w:eastAsia="Times New Roman" w:cs="Times New Roman"/>
                <w:sz w:val="24"/>
                <w:lang w:eastAsia="zh-CN"/>
              </w:rPr>
              <w:t>2.7</w:t>
            </w:r>
            <w:r>
              <w:rPr>
                <w:rFonts w:ascii="Times New Roman" w:hAnsi="Times New Roman" w:cs="Times New Roman"/>
                <w:sz w:val="24"/>
                <w:lang w:eastAsia="zh-CN"/>
              </w:rPr>
              <w:t>千克</w:t>
            </w:r>
            <w:r>
              <w:rPr>
                <w:rFonts w:ascii="Times New Roman" w:hAnsi="Times New Roman" w:eastAsia="Times New Roman" w:cs="Times New Roman"/>
                <w:sz w:val="24"/>
                <w:lang w:eastAsia="zh-CN"/>
              </w:rPr>
              <w:t>/</w:t>
            </w:r>
            <w:r>
              <w:rPr>
                <w:rFonts w:ascii="Times New Roman" w:hAnsi="Times New Roman" w:cs="Times New Roman"/>
                <w:sz w:val="24"/>
                <w:lang w:eastAsia="zh-CN"/>
              </w:rPr>
              <w:t>吨</w:t>
            </w:r>
            <w:r>
              <w:rPr>
                <w:rFonts w:ascii="Times New Roman" w:hAnsi="Times New Roman" w:cs="Times New Roman" w:eastAsiaTheme="minorEastAsia"/>
                <w:sz w:val="24"/>
                <w:lang w:eastAsia="zh-CN"/>
              </w:rPr>
              <w:t>—</w:t>
            </w:r>
            <w:r>
              <w:rPr>
                <w:rFonts w:ascii="Times New Roman" w:hAnsi="Times New Roman" w:cs="Times New Roman"/>
                <w:sz w:val="24"/>
                <w:lang w:eastAsia="zh-CN"/>
              </w:rPr>
              <w:t>产品，产品塑料果筐重量为</w:t>
            </w:r>
            <w:r>
              <w:rPr>
                <w:rFonts w:ascii="Times New Roman" w:hAnsi="Times New Roman" w:cs="Times New Roman" w:eastAsiaTheme="minorEastAsia"/>
                <w:sz w:val="24"/>
                <w:lang w:eastAsia="zh-CN"/>
              </w:rPr>
              <w:t>65</w:t>
            </w:r>
            <w:r>
              <w:rPr>
                <w:rFonts w:ascii="Times New Roman" w:hAnsi="Times New Roman" w:eastAsia="Times New Roman" w:cs="Times New Roman"/>
                <w:sz w:val="24"/>
                <w:lang w:eastAsia="zh-CN"/>
              </w:rPr>
              <w:t>/a</w:t>
            </w:r>
            <w:r>
              <w:rPr>
                <w:rFonts w:ascii="Times New Roman" w:hAnsi="Times New Roman" w:cs="Times New Roman"/>
                <w:sz w:val="24"/>
                <w:lang w:eastAsia="zh-CN"/>
              </w:rPr>
              <w:t>，则非甲烷总烃产生量为</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r>
              <w:rPr>
                <w:rFonts w:ascii="Times New Roman" w:hAnsi="Times New Roman" w:cs="Times New Roman" w:eastAsiaTheme="minorEastAsia"/>
                <w:sz w:val="24"/>
                <w:lang w:eastAsia="zh-CN"/>
              </w:rPr>
              <w:t>65</w:t>
            </w:r>
            <w:r>
              <w:rPr>
                <w:rFonts w:ascii="Times New Roman" w:hAnsi="Times New Roman" w:eastAsia="Times New Roman" w:cs="Times New Roman"/>
                <w:sz w:val="24"/>
                <w:lang w:eastAsia="zh-CN"/>
              </w:rPr>
              <w:t>t/a</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2.7kg/t-</w:t>
            </w:r>
            <w:r>
              <w:rPr>
                <w:rFonts w:ascii="Times New Roman" w:hAnsi="Times New Roman" w:cs="Times New Roman"/>
                <w:sz w:val="24"/>
                <w:lang w:eastAsia="zh-CN"/>
              </w:rPr>
              <w:t>产品</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cs="Times New Roman"/>
                <w:sz w:val="24"/>
                <w:lang w:eastAsia="zh-CN"/>
              </w:rPr>
              <w:t>），产生速率为</w:t>
            </w:r>
            <w:r>
              <w:rPr>
                <w:rFonts w:ascii="Times New Roman" w:hAnsi="Times New Roman" w:eastAsia="Times New Roman" w:cs="Times New Roman"/>
                <w:sz w:val="24"/>
                <w:lang w:eastAsia="zh-CN"/>
              </w:rPr>
              <w:t>1.4175kg/h</w:t>
            </w:r>
            <w:r>
              <w:rPr>
                <w:rFonts w:ascii="Times New Roman" w:hAnsi="Times New Roman" w:cs="Times New Roman"/>
                <w:sz w:val="24"/>
                <w:lang w:eastAsia="zh-CN"/>
              </w:rPr>
              <w:t>（</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r>
              <w:rPr>
                <w:rFonts w:ascii="Times New Roman" w:hAnsi="Times New Roman" w:cs="Times New Roman" w:eastAsiaTheme="minorEastAsia"/>
                <w:sz w:val="24"/>
                <w:lang w:eastAsia="zh-CN"/>
              </w:rPr>
              <w:t>1680</w:t>
            </w:r>
            <w:r>
              <w:rPr>
                <w:rFonts w:ascii="Times New Roman" w:hAnsi="Times New Roman" w:eastAsia="Times New Roman" w:cs="Times New Roman"/>
                <w:sz w:val="24"/>
                <w:lang w:eastAsia="zh-CN"/>
              </w:rPr>
              <w:t>h/a</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10</w:t>
            </w:r>
            <w:r>
              <w:rPr>
                <w:rFonts w:ascii="Times New Roman" w:hAnsi="Times New Roman" w:eastAsia="Times New Roman" w:cs="Times New Roman"/>
                <w:position w:val="8"/>
                <w:sz w:val="15"/>
                <w:lang w:eastAsia="zh-CN"/>
              </w:rPr>
              <w:t>3</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0.105</w:t>
            </w:r>
            <w:r>
              <w:rPr>
                <w:rFonts w:ascii="Times New Roman" w:hAnsi="Times New Roman" w:eastAsia="Times New Roman" w:cs="Times New Roman"/>
                <w:sz w:val="24"/>
                <w:lang w:eastAsia="zh-CN"/>
              </w:rPr>
              <w:t>kg/h</w:t>
            </w:r>
            <w:r>
              <w:rPr>
                <w:rFonts w:ascii="Times New Roman" w:hAnsi="Times New Roman" w:cs="Times New Roman"/>
                <w:sz w:val="24"/>
                <w:lang w:eastAsia="zh-CN"/>
              </w:rPr>
              <w:t>），产生浓度为</w:t>
            </w:r>
            <w:r>
              <w:rPr>
                <w:rFonts w:ascii="Times New Roman" w:hAnsi="Times New Roman" w:cs="Times New Roman" w:eastAsiaTheme="minorEastAsia"/>
                <w:sz w:val="24"/>
                <w:lang w:eastAsia="zh-CN"/>
              </w:rPr>
              <w:t>29.93</w:t>
            </w:r>
            <w:r>
              <w:rPr>
                <w:rFonts w:ascii="Times New Roman" w:hAnsi="Times New Roman" w:eastAsia="Times New Roman" w:cs="Times New Roman"/>
                <w:sz w:val="24"/>
                <w:lang w:eastAsia="zh-CN"/>
              </w:rPr>
              <w:t>mg/</w:t>
            </w:r>
            <w:r>
              <w:rPr>
                <w:rFonts w:ascii="Times New Roman" w:hAnsi="Times New Roman" w:cs="Times New Roman" w:eastAsiaTheme="minorEastAsia"/>
                <w:sz w:val="24"/>
                <w:lang w:eastAsia="zh-CN"/>
              </w:rPr>
              <w:t>m</w:t>
            </w:r>
            <w:r>
              <w:rPr>
                <w:rFonts w:ascii="Times New Roman" w:hAnsi="Times New Roman" w:cs="Times New Roman" w:eastAsiaTheme="minorEastAsia"/>
                <w:sz w:val="24"/>
                <w:vertAlign w:val="superscript"/>
                <w:lang w:eastAsia="zh-CN"/>
              </w:rPr>
              <w:t>3</w:t>
            </w:r>
            <w:r>
              <w:rPr>
                <w:rFonts w:ascii="Times New Roman" w:hAnsi="Times New Roman" w:cs="Times New Roman"/>
                <w:sz w:val="24"/>
                <w:lang w:eastAsia="zh-CN"/>
              </w:rPr>
              <w:t>（</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10</w:t>
            </w:r>
            <w:r>
              <w:rPr>
                <w:rFonts w:ascii="Times New Roman" w:hAnsi="Times New Roman" w:eastAsia="Times New Roman" w:cs="Times New Roman"/>
                <w:position w:val="8"/>
                <w:sz w:val="15"/>
                <w:lang w:eastAsia="zh-CN"/>
              </w:rPr>
              <w:t>9</w:t>
            </w:r>
            <w:r>
              <w:rPr>
                <w:rFonts w:ascii="Times New Roman" w:hAnsi="Times New Roman" w:cs="Times New Roman"/>
                <w:sz w:val="24"/>
                <w:lang w:eastAsia="zh-CN"/>
              </w:rPr>
              <w:t>÷</w:t>
            </w:r>
            <w:r>
              <w:rPr>
                <w:rFonts w:ascii="Times New Roman" w:hAnsi="Times New Roman" w:cs="Times New Roman" w:eastAsiaTheme="minorEastAsia"/>
                <w:sz w:val="24"/>
                <w:lang w:eastAsia="zh-CN"/>
              </w:rPr>
              <w:t>35</w:t>
            </w:r>
            <w:r>
              <w:rPr>
                <w:rFonts w:ascii="Times New Roman" w:hAnsi="Times New Roman" w:eastAsia="Times New Roman" w:cs="Times New Roman"/>
                <w:sz w:val="24"/>
                <w:lang w:eastAsia="zh-CN"/>
              </w:rPr>
              <w:t>00m</w:t>
            </w:r>
            <w:r>
              <w:rPr>
                <w:rFonts w:ascii="Times New Roman" w:hAnsi="Times New Roman" w:eastAsia="Times New Roman" w:cs="Times New Roman"/>
                <w:position w:val="8"/>
                <w:sz w:val="15"/>
                <w:lang w:eastAsia="zh-CN"/>
              </w:rPr>
              <w:t>3</w:t>
            </w:r>
            <w:r>
              <w:rPr>
                <w:rFonts w:ascii="Times New Roman" w:hAnsi="Times New Roman" w:eastAsia="Times New Roman" w:cs="Times New Roman"/>
                <w:sz w:val="24"/>
                <w:lang w:eastAsia="zh-CN"/>
              </w:rPr>
              <w:t>/h</w:t>
            </w:r>
            <w:r>
              <w:rPr>
                <w:rFonts w:ascii="Times New Roman" w:hAnsi="Times New Roman" w:cs="Times New Roman"/>
                <w:sz w:val="24"/>
                <w:lang w:eastAsia="zh-CN"/>
              </w:rPr>
              <w:t>÷</w:t>
            </w:r>
            <w:r>
              <w:rPr>
                <w:rFonts w:ascii="Times New Roman" w:hAnsi="Times New Roman" w:cs="Times New Roman" w:eastAsiaTheme="minorEastAsia"/>
                <w:sz w:val="24"/>
                <w:lang w:eastAsia="zh-CN"/>
              </w:rPr>
              <w:t>1680</w:t>
            </w:r>
            <w:r>
              <w:rPr>
                <w:rFonts w:ascii="Times New Roman" w:hAnsi="Times New Roman" w:eastAsia="Times New Roman" w:cs="Times New Roman"/>
                <w:sz w:val="24"/>
                <w:lang w:eastAsia="zh-CN"/>
              </w:rPr>
              <w:t>h/a=</w:t>
            </w:r>
            <w:r>
              <w:rPr>
                <w:rFonts w:ascii="Times New Roman" w:hAnsi="Times New Roman" w:cs="Times New Roman" w:eastAsiaTheme="minorEastAsia"/>
                <w:sz w:val="24"/>
                <w:lang w:eastAsia="zh-CN"/>
              </w:rPr>
              <w:t>29.93</w:t>
            </w:r>
            <w:r>
              <w:rPr>
                <w:rFonts w:ascii="Times New Roman" w:hAnsi="Times New Roman" w:eastAsia="Times New Roman" w:cs="Times New Roman"/>
                <w:sz w:val="24"/>
                <w:lang w:eastAsia="zh-CN"/>
              </w:rPr>
              <w:t>mg/m</w:t>
            </w:r>
            <w:r>
              <w:rPr>
                <w:rFonts w:ascii="Times New Roman" w:hAnsi="Times New Roman" w:eastAsia="Times New Roman" w:cs="Times New Roman"/>
                <w:position w:val="8"/>
                <w:sz w:val="15"/>
                <w:lang w:eastAsia="zh-CN"/>
              </w:rPr>
              <w:t>3</w:t>
            </w:r>
            <w:r>
              <w:rPr>
                <w:rFonts w:ascii="Times New Roman" w:hAnsi="Times New Roman" w:cs="Times New Roman"/>
                <w:sz w:val="24"/>
                <w:lang w:eastAsia="zh-CN"/>
              </w:rPr>
              <w:t>），年运行</w:t>
            </w:r>
            <w:r>
              <w:rPr>
                <w:rFonts w:ascii="Times New Roman" w:hAnsi="Times New Roman" w:cs="Times New Roman" w:eastAsiaTheme="minorEastAsia"/>
                <w:sz w:val="24"/>
                <w:lang w:eastAsia="zh-CN"/>
              </w:rPr>
              <w:t>210</w:t>
            </w:r>
            <w:r>
              <w:rPr>
                <w:rFonts w:ascii="Times New Roman" w:hAnsi="Times New Roman" w:cs="Times New Roman"/>
                <w:sz w:val="24"/>
                <w:lang w:eastAsia="zh-CN"/>
              </w:rPr>
              <w:t>天，每天运行</w:t>
            </w:r>
            <w:r>
              <w:rPr>
                <w:rFonts w:ascii="Times New Roman" w:hAnsi="Times New Roman" w:eastAsia="Times New Roman" w:cs="Times New Roman"/>
                <w:sz w:val="24"/>
                <w:lang w:eastAsia="zh-CN"/>
              </w:rPr>
              <w:t>8h</w:t>
            </w:r>
            <w:r>
              <w:rPr>
                <w:rFonts w:ascii="Times New Roman" w:hAnsi="Times New Roman" w:cs="Times New Roman"/>
                <w:sz w:val="24"/>
                <w:lang w:eastAsia="zh-CN"/>
              </w:rPr>
              <w:t>。</w:t>
            </w:r>
          </w:p>
          <w:p>
            <w:pPr>
              <w:pStyle w:val="75"/>
              <w:spacing w:line="520" w:lineRule="exact"/>
              <w:ind w:firstLine="489"/>
              <w:jc w:val="both"/>
              <w:rPr>
                <w:rFonts w:ascii="Times New Roman" w:hAnsi="Times New Roman" w:cs="Times New Roman"/>
                <w:sz w:val="24"/>
                <w:lang w:eastAsia="zh-CN"/>
              </w:rPr>
            </w:pPr>
            <w:r>
              <w:rPr>
                <w:rFonts w:ascii="Times New Roman" w:hAnsi="Times New Roman" w:cs="Times New Roman"/>
                <w:sz w:val="24"/>
                <w:lang w:eastAsia="zh-CN"/>
              </w:rPr>
              <w:t>根据《主要污染物总量减排核算技术指南（</w:t>
            </w:r>
            <w:r>
              <w:rPr>
                <w:rFonts w:ascii="Times New Roman" w:hAnsi="Times New Roman" w:eastAsia="Times New Roman" w:cs="Times New Roman"/>
                <w:sz w:val="24"/>
                <w:lang w:eastAsia="zh-CN"/>
              </w:rPr>
              <w:t>2022</w:t>
            </w:r>
            <w:r>
              <w:rPr>
                <w:rFonts w:ascii="Times New Roman" w:hAnsi="Times New Roman" w:cs="Times New Roman"/>
                <w:sz w:val="24"/>
                <w:lang w:eastAsia="zh-CN"/>
              </w:rPr>
              <w:t>年修订）》，密闭收集措施集气效率取</w:t>
            </w:r>
            <w:r>
              <w:rPr>
                <w:rFonts w:ascii="Times New Roman" w:hAnsi="Times New Roman" w:eastAsia="Times New Roman" w:cs="Times New Roman"/>
                <w:sz w:val="24"/>
                <w:lang w:eastAsia="zh-CN"/>
              </w:rPr>
              <w:t>90%</w:t>
            </w:r>
            <w:r>
              <w:rPr>
                <w:rFonts w:ascii="Times New Roman" w:hAnsi="Times New Roman" w:cs="Times New Roman"/>
                <w:sz w:val="24"/>
                <w:lang w:eastAsia="zh-CN"/>
              </w:rPr>
              <w:t>，非甲烷总烃去除效率取</w:t>
            </w:r>
            <w:r>
              <w:rPr>
                <w:rFonts w:ascii="Times New Roman" w:hAnsi="Times New Roman" w:eastAsia="Times New Roman" w:cs="Times New Roman"/>
                <w:sz w:val="24"/>
                <w:lang w:eastAsia="zh-CN"/>
              </w:rPr>
              <w:t>90%</w:t>
            </w:r>
            <w:r>
              <w:rPr>
                <w:rFonts w:ascii="Times New Roman" w:hAnsi="Times New Roman" w:cs="Times New Roman"/>
                <w:sz w:val="24"/>
                <w:lang w:eastAsia="zh-CN"/>
              </w:rPr>
              <w:t>；经</w:t>
            </w:r>
            <w:r>
              <w:rPr>
                <w:rFonts w:hint="eastAsia" w:ascii="Times New Roman" w:hAnsi="Times New Roman" w:cs="Times New Roman"/>
                <w:sz w:val="24"/>
                <w:lang w:eastAsia="zh-CN"/>
              </w:rPr>
              <w:t>二级活性炭吸附后</w:t>
            </w:r>
            <w:r>
              <w:rPr>
                <w:rFonts w:ascii="Times New Roman" w:hAnsi="Times New Roman" w:cs="Times New Roman"/>
                <w:sz w:val="24"/>
                <w:lang w:eastAsia="zh-CN"/>
              </w:rPr>
              <w:t>，项目非甲烷总烃排放量为</w:t>
            </w:r>
            <w:r>
              <w:rPr>
                <w:rFonts w:ascii="Times New Roman" w:hAnsi="Times New Roman" w:eastAsia="Times New Roman" w:cs="Times New Roman"/>
                <w:sz w:val="24"/>
                <w:lang w:eastAsia="zh-CN"/>
              </w:rPr>
              <w:t>0.</w:t>
            </w:r>
            <w:r>
              <w:rPr>
                <w:rFonts w:ascii="Times New Roman" w:hAnsi="Times New Roman" w:cs="Times New Roman" w:eastAsiaTheme="minorEastAsia"/>
                <w:sz w:val="24"/>
                <w:lang w:eastAsia="zh-CN"/>
              </w:rPr>
              <w:t>016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90%</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10%=</w:t>
            </w:r>
            <w:r>
              <w:rPr>
                <w:rFonts w:ascii="Times New Roman" w:hAnsi="Times New Roman" w:cs="Times New Roman" w:eastAsiaTheme="minorEastAsia"/>
                <w:sz w:val="24"/>
                <w:lang w:eastAsia="zh-CN"/>
              </w:rPr>
              <w:t>0.016</w:t>
            </w:r>
            <w:r>
              <w:rPr>
                <w:rFonts w:ascii="Times New Roman" w:hAnsi="Times New Roman" w:eastAsia="Times New Roman" w:cs="Times New Roman"/>
                <w:sz w:val="24"/>
                <w:lang w:eastAsia="zh-CN"/>
              </w:rPr>
              <w:t>t/a</w:t>
            </w:r>
            <w:r>
              <w:rPr>
                <w:rFonts w:ascii="Times New Roman" w:hAnsi="Times New Roman" w:cs="Times New Roman"/>
                <w:sz w:val="24"/>
                <w:lang w:eastAsia="zh-CN"/>
              </w:rPr>
              <w:t>），全年工作时间为1680</w:t>
            </w:r>
            <w:r>
              <w:rPr>
                <w:rFonts w:ascii="Times New Roman" w:hAnsi="Times New Roman" w:eastAsia="Times New Roman" w:cs="Times New Roman"/>
                <w:sz w:val="24"/>
                <w:lang w:eastAsia="zh-CN"/>
              </w:rPr>
              <w:t>h</w:t>
            </w:r>
            <w:r>
              <w:rPr>
                <w:rFonts w:ascii="Times New Roman" w:hAnsi="Times New Roman" w:cs="Times New Roman"/>
                <w:sz w:val="24"/>
                <w:lang w:eastAsia="zh-CN"/>
              </w:rPr>
              <w:t>，则排放速率为</w:t>
            </w:r>
            <w:r>
              <w:rPr>
                <w:rFonts w:ascii="Times New Roman" w:hAnsi="Times New Roman" w:eastAsia="Times New Roman" w:cs="Times New Roman"/>
                <w:sz w:val="24"/>
                <w:lang w:eastAsia="zh-CN"/>
              </w:rPr>
              <w:t>0.</w:t>
            </w:r>
            <w:r>
              <w:rPr>
                <w:rFonts w:ascii="Times New Roman" w:hAnsi="Times New Roman" w:cs="Times New Roman" w:eastAsiaTheme="minorEastAsia"/>
                <w:sz w:val="24"/>
                <w:lang w:eastAsia="zh-CN"/>
              </w:rPr>
              <w:t>0095</w:t>
            </w:r>
            <w:r>
              <w:rPr>
                <w:rFonts w:ascii="Times New Roman" w:hAnsi="Times New Roman" w:eastAsia="Times New Roman" w:cs="Times New Roman"/>
                <w:sz w:val="24"/>
                <w:lang w:eastAsia="zh-CN"/>
              </w:rPr>
              <w:t>kg/h</w:t>
            </w:r>
            <w:r>
              <w:rPr>
                <w:rFonts w:ascii="Times New Roman" w:hAnsi="Times New Roman" w:cs="Times New Roman"/>
                <w:sz w:val="24"/>
                <w:lang w:eastAsia="zh-CN"/>
              </w:rPr>
              <w:t>（</w:t>
            </w:r>
            <w:r>
              <w:rPr>
                <w:rFonts w:ascii="Times New Roman" w:hAnsi="Times New Roman" w:eastAsia="Times New Roman" w:cs="Times New Roman"/>
                <w:sz w:val="24"/>
                <w:lang w:eastAsia="zh-CN"/>
              </w:rPr>
              <w:t>0.</w:t>
            </w:r>
            <w:r>
              <w:rPr>
                <w:rFonts w:ascii="Times New Roman" w:hAnsi="Times New Roman" w:cs="Times New Roman" w:eastAsiaTheme="minorEastAsia"/>
                <w:sz w:val="24"/>
                <w:lang w:eastAsia="zh-CN"/>
              </w:rPr>
              <w:t>016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r>
              <w:rPr>
                <w:rFonts w:ascii="Times New Roman" w:hAnsi="Times New Roman" w:cs="Times New Roman" w:eastAsiaTheme="minorEastAsia"/>
                <w:sz w:val="24"/>
                <w:lang w:eastAsia="zh-CN"/>
              </w:rPr>
              <w:t>1680</w:t>
            </w:r>
            <w:r>
              <w:rPr>
                <w:rFonts w:ascii="Times New Roman" w:hAnsi="Times New Roman" w:eastAsia="Times New Roman" w:cs="Times New Roman"/>
                <w:sz w:val="24"/>
                <w:lang w:eastAsia="zh-CN"/>
              </w:rPr>
              <w:t>h/a</w:t>
            </w:r>
            <w:r>
              <w:rPr>
                <w:rFonts w:ascii="Times New Roman" w:hAnsi="Times New Roman" w:eastAsia="Arial" w:cs="Times New Roman"/>
                <w:sz w:val="24"/>
                <w:lang w:eastAsia="zh-CN"/>
              </w:rPr>
              <w:t>×</w:t>
            </w:r>
            <w:r>
              <w:rPr>
                <w:rFonts w:ascii="Times New Roman" w:hAnsi="Times New Roman" w:eastAsia="Times New Roman" w:cs="Times New Roman"/>
                <w:sz w:val="24"/>
                <w:lang w:eastAsia="zh-CN"/>
              </w:rPr>
              <w:t>10</w:t>
            </w:r>
            <w:r>
              <w:rPr>
                <w:rFonts w:ascii="Times New Roman" w:hAnsi="Times New Roman" w:eastAsia="Times New Roman" w:cs="Times New Roman"/>
                <w:position w:val="8"/>
                <w:sz w:val="15"/>
                <w:lang w:eastAsia="zh-CN"/>
              </w:rPr>
              <w:t>3</w:t>
            </w:r>
            <w:r>
              <w:rPr>
                <w:rFonts w:ascii="Times New Roman" w:hAnsi="Times New Roman" w:eastAsia="Times New Roman" w:cs="Times New Roman"/>
                <w:sz w:val="24"/>
                <w:lang w:eastAsia="zh-CN"/>
              </w:rPr>
              <w:t>=0.</w:t>
            </w:r>
            <w:r>
              <w:rPr>
                <w:rFonts w:ascii="Times New Roman" w:hAnsi="Times New Roman" w:cs="Times New Roman" w:eastAsiaTheme="minorEastAsia"/>
                <w:sz w:val="24"/>
                <w:lang w:eastAsia="zh-CN"/>
              </w:rPr>
              <w:t>0095</w:t>
            </w:r>
            <w:r>
              <w:rPr>
                <w:rFonts w:ascii="Times New Roman" w:hAnsi="Times New Roman" w:eastAsia="Times New Roman" w:cs="Times New Roman"/>
                <w:sz w:val="24"/>
                <w:lang w:eastAsia="zh-CN"/>
              </w:rPr>
              <w:t>kg/h</w:t>
            </w:r>
            <w:r>
              <w:rPr>
                <w:rFonts w:ascii="Times New Roman" w:hAnsi="Times New Roman" w:cs="Times New Roman"/>
                <w:sz w:val="24"/>
                <w:lang w:eastAsia="zh-CN"/>
              </w:rPr>
              <w:t>），排放浓度</w:t>
            </w:r>
            <w:r>
              <w:rPr>
                <w:rFonts w:ascii="Times New Roman" w:hAnsi="Times New Roman" w:cs="Times New Roman" w:eastAsiaTheme="minorEastAsia"/>
                <w:sz w:val="24"/>
                <w:lang w:eastAsia="zh-CN"/>
              </w:rPr>
              <w:t>2.72</w:t>
            </w:r>
            <w:r>
              <w:rPr>
                <w:rFonts w:ascii="Times New Roman" w:hAnsi="Times New Roman" w:eastAsia="Times New Roman" w:cs="Times New Roman"/>
                <w:sz w:val="24"/>
                <w:lang w:eastAsia="zh-CN"/>
              </w:rPr>
              <w:t>mg/m</w:t>
            </w:r>
            <w:r>
              <w:rPr>
                <w:rFonts w:ascii="Times New Roman" w:hAnsi="Times New Roman" w:eastAsia="Times New Roman" w:cs="Times New Roman"/>
                <w:position w:val="8"/>
                <w:sz w:val="15"/>
                <w:lang w:eastAsia="zh-CN"/>
              </w:rPr>
              <w:t>3</w:t>
            </w:r>
            <w:r>
              <w:rPr>
                <w:rFonts w:ascii="Times New Roman" w:hAnsi="Times New Roman" w:cs="Times New Roman"/>
                <w:sz w:val="24"/>
              </w:rPr>
              <w:t>（</w:t>
            </w:r>
            <w:r>
              <w:rPr>
                <w:rFonts w:ascii="Times New Roman" w:hAnsi="Times New Roman" w:cs="Times New Roman" w:eastAsiaTheme="minorEastAsia"/>
                <w:sz w:val="24"/>
                <w:lang w:eastAsia="zh-CN"/>
              </w:rPr>
              <w:t>0.016</w:t>
            </w:r>
            <w:r>
              <w:rPr>
                <w:rFonts w:ascii="Times New Roman" w:hAnsi="Times New Roman" w:eastAsia="Times New Roman" w:cs="Times New Roman"/>
                <w:sz w:val="24"/>
              </w:rPr>
              <w:t>t/a</w:t>
            </w:r>
            <w:r>
              <w:rPr>
                <w:rFonts w:ascii="Times New Roman" w:hAnsi="Times New Roman" w:eastAsia="Arial" w:cs="Times New Roman"/>
                <w:sz w:val="24"/>
              </w:rPr>
              <w:t>×</w:t>
            </w:r>
            <w:r>
              <w:rPr>
                <w:rFonts w:ascii="Times New Roman" w:hAnsi="Times New Roman" w:eastAsia="Times New Roman" w:cs="Times New Roman"/>
                <w:sz w:val="24"/>
              </w:rPr>
              <w:t>10</w:t>
            </w:r>
            <w:r>
              <w:rPr>
                <w:rFonts w:ascii="Times New Roman" w:hAnsi="Times New Roman" w:eastAsia="Times New Roman" w:cs="Times New Roman"/>
                <w:position w:val="8"/>
                <w:sz w:val="15"/>
              </w:rPr>
              <w:t>9</w:t>
            </w:r>
            <w:r>
              <w:rPr>
                <w:rFonts w:ascii="Times New Roman" w:hAnsi="Times New Roman" w:cs="Times New Roman"/>
                <w:sz w:val="24"/>
              </w:rPr>
              <w:t>÷</w:t>
            </w:r>
            <w:r>
              <w:rPr>
                <w:rFonts w:ascii="Times New Roman" w:hAnsi="Times New Roman" w:cs="Times New Roman" w:eastAsiaTheme="minorEastAsia"/>
                <w:sz w:val="24"/>
                <w:lang w:eastAsia="zh-CN"/>
              </w:rPr>
              <w:t>35</w:t>
            </w:r>
            <w:r>
              <w:rPr>
                <w:rFonts w:ascii="Times New Roman" w:hAnsi="Times New Roman" w:eastAsia="Times New Roman" w:cs="Times New Roman"/>
                <w:sz w:val="24"/>
              </w:rPr>
              <w:t>00m</w:t>
            </w:r>
            <w:r>
              <w:rPr>
                <w:rFonts w:ascii="Times New Roman" w:hAnsi="Times New Roman" w:eastAsia="Times New Roman" w:cs="Times New Roman"/>
                <w:position w:val="8"/>
                <w:sz w:val="15"/>
              </w:rPr>
              <w:t>3</w:t>
            </w:r>
            <w:r>
              <w:rPr>
                <w:rFonts w:ascii="Times New Roman" w:hAnsi="Times New Roman" w:eastAsia="Times New Roman" w:cs="Times New Roman"/>
                <w:sz w:val="24"/>
              </w:rPr>
              <w:t>/h</w:t>
            </w:r>
            <w:r>
              <w:rPr>
                <w:rFonts w:ascii="Times New Roman" w:hAnsi="Times New Roman" w:cs="Times New Roman"/>
                <w:sz w:val="24"/>
              </w:rPr>
              <w:t>÷</w:t>
            </w:r>
            <w:r>
              <w:rPr>
                <w:rFonts w:ascii="Times New Roman" w:hAnsi="Times New Roman" w:cs="Times New Roman"/>
                <w:sz w:val="24"/>
                <w:lang w:eastAsia="zh-CN"/>
              </w:rPr>
              <w:t>168</w:t>
            </w:r>
            <w:r>
              <w:rPr>
                <w:rFonts w:ascii="Times New Roman" w:hAnsi="Times New Roman" w:eastAsia="Times New Roman" w:cs="Times New Roman"/>
                <w:sz w:val="24"/>
              </w:rPr>
              <w:t>0h/a=</w:t>
            </w:r>
            <w:r>
              <w:rPr>
                <w:rFonts w:ascii="Times New Roman" w:hAnsi="Times New Roman" w:cs="Times New Roman" w:eastAsiaTheme="minorEastAsia"/>
                <w:sz w:val="24"/>
                <w:lang w:eastAsia="zh-CN"/>
              </w:rPr>
              <w:t>2.72</w:t>
            </w:r>
            <w:r>
              <w:rPr>
                <w:rFonts w:ascii="Times New Roman" w:hAnsi="Times New Roman" w:eastAsia="Times New Roman" w:cs="Times New Roman"/>
                <w:sz w:val="24"/>
              </w:rPr>
              <w:t>mg/m</w:t>
            </w:r>
            <w:r>
              <w:rPr>
                <w:rFonts w:ascii="Times New Roman" w:hAnsi="Times New Roman" w:eastAsia="Times New Roman" w:cs="Times New Roman"/>
                <w:position w:val="8"/>
                <w:sz w:val="15"/>
              </w:rPr>
              <w:t>3</w:t>
            </w:r>
            <w:r>
              <w:rPr>
                <w:rFonts w:ascii="Times New Roman" w:hAnsi="Times New Roman" w:cs="Times New Roman"/>
                <w:sz w:val="24"/>
              </w:rPr>
              <w:t>）。</w:t>
            </w:r>
            <w:r>
              <w:rPr>
                <w:rFonts w:ascii="Times New Roman" w:hAnsi="Times New Roman" w:cs="Times New Roman"/>
                <w:sz w:val="24"/>
                <w:lang w:eastAsia="zh-CN"/>
              </w:rPr>
              <w:t>满足《合成树脂工业污染物排放标准》（</w:t>
            </w:r>
            <w:r>
              <w:rPr>
                <w:rFonts w:ascii="Times New Roman" w:hAnsi="Times New Roman" w:eastAsia="Times New Roman" w:cs="Times New Roman"/>
                <w:sz w:val="24"/>
                <w:lang w:eastAsia="zh-CN"/>
              </w:rPr>
              <w:t>GB31572-2015</w:t>
            </w:r>
            <w:r>
              <w:rPr>
                <w:rFonts w:ascii="Times New Roman" w:hAnsi="Times New Roman" w:cs="Times New Roman"/>
                <w:sz w:val="24"/>
                <w:lang w:eastAsia="zh-CN"/>
              </w:rPr>
              <w:t>）及修改单中标准限值。</w:t>
            </w:r>
          </w:p>
          <w:p>
            <w:pPr>
              <w:pStyle w:val="75"/>
              <w:spacing w:line="520" w:lineRule="exact"/>
              <w:ind w:firstLine="489"/>
              <w:jc w:val="both"/>
              <w:rPr>
                <w:rFonts w:ascii="Times New Roman" w:hAnsi="Times New Roman" w:cs="Times New Roman"/>
                <w:sz w:val="24"/>
                <w:lang w:eastAsia="zh-CN"/>
              </w:rPr>
            </w:pPr>
            <w:r>
              <w:rPr>
                <w:rFonts w:ascii="Times New Roman" w:hAnsi="Times New Roman" w:cs="Times New Roman"/>
                <w:sz w:val="24"/>
                <w:lang w:eastAsia="zh-CN"/>
              </w:rPr>
              <w:t>废气未收集部分为无组织排放，无组织排放量为</w:t>
            </w:r>
            <w:r>
              <w:rPr>
                <w:rFonts w:ascii="Times New Roman" w:hAnsi="Times New Roman" w:eastAsia="Times New Roman" w:cs="Times New Roman"/>
                <w:sz w:val="24"/>
                <w:lang w:eastAsia="zh-CN"/>
              </w:rPr>
              <w:t>0.284t/a</w:t>
            </w:r>
            <w:r>
              <w:rPr>
                <w:rFonts w:ascii="Times New Roman" w:hAnsi="Times New Roman" w:cs="Times New Roman"/>
                <w:sz w:val="24"/>
                <w:lang w:eastAsia="zh-CN"/>
              </w:rPr>
              <w:t>（</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r>
              <w:rPr>
                <w:rFonts w:ascii="Times New Roman" w:hAnsi="Times New Roman" w:eastAsia="Times New Roman" w:cs="Times New Roman"/>
                <w:sz w:val="24"/>
                <w:lang w:eastAsia="zh-CN"/>
              </w:rPr>
              <w:t>1-90%</w:t>
            </w:r>
            <w:r>
              <w:rPr>
                <w:rFonts w:ascii="Times New Roman" w:hAnsi="Times New Roman" w:cs="Times New Roman"/>
                <w:sz w:val="24"/>
                <w:lang w:eastAsia="zh-CN"/>
              </w:rPr>
              <w:t>）</w:t>
            </w:r>
            <w:r>
              <w:rPr>
                <w:rFonts w:ascii="Times New Roman" w:hAnsi="Times New Roman" w:eastAsia="Times New Roman" w:cs="Times New Roman"/>
                <w:sz w:val="24"/>
                <w:lang w:eastAsia="zh-CN"/>
              </w:rPr>
              <w:t>=0.</w:t>
            </w:r>
            <w:r>
              <w:rPr>
                <w:rFonts w:ascii="Times New Roman" w:hAnsi="Times New Roman" w:cs="Times New Roman" w:eastAsiaTheme="minorEastAsia"/>
                <w:sz w:val="24"/>
                <w:lang w:eastAsia="zh-CN"/>
              </w:rPr>
              <w:t>0176</w:t>
            </w:r>
            <w:r>
              <w:rPr>
                <w:rFonts w:ascii="Times New Roman" w:hAnsi="Times New Roman" w:eastAsia="Times New Roman" w:cs="Times New Roman"/>
                <w:sz w:val="24"/>
                <w:lang w:eastAsia="zh-CN"/>
              </w:rPr>
              <w:t>t/a</w:t>
            </w:r>
            <w:r>
              <w:rPr>
                <w:rFonts w:ascii="Times New Roman" w:hAnsi="Times New Roman" w:cs="Times New Roman"/>
                <w:sz w:val="24"/>
                <w:lang w:eastAsia="zh-CN"/>
              </w:rPr>
              <w:t>）。</w:t>
            </w:r>
          </w:p>
          <w:p>
            <w:pPr>
              <w:keepNext/>
              <w:spacing w:line="360" w:lineRule="auto"/>
              <w:jc w:val="center"/>
              <w:rPr>
                <w:b/>
                <w:bCs/>
                <w:szCs w:val="21"/>
              </w:rPr>
            </w:pPr>
            <w:r>
              <w:rPr>
                <w:b/>
                <w:bCs/>
                <w:szCs w:val="21"/>
              </w:rPr>
              <w:t>表 4-1  废气污染源产生排放情况表</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93"/>
              <w:gridCol w:w="97"/>
              <w:gridCol w:w="2143"/>
              <w:gridCol w:w="3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污染源种类</w:t>
                  </w:r>
                </w:p>
              </w:tc>
              <w:tc>
                <w:tcPr>
                  <w:tcW w:w="3232"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污染物种类</w:t>
                  </w:r>
                </w:p>
              </w:tc>
              <w:tc>
                <w:tcPr>
                  <w:tcW w:w="3232"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排放方式</w:t>
                  </w:r>
                </w:p>
              </w:tc>
              <w:tc>
                <w:tcPr>
                  <w:tcW w:w="3232" w:type="dxa"/>
                  <w:vAlign w:val="center"/>
                </w:tcPr>
                <w:p>
                  <w:pPr>
                    <w:pStyle w:val="75"/>
                    <w:jc w:val="center"/>
                    <w:rPr>
                      <w:rFonts w:ascii="Times New Roman" w:hAnsi="Times New Roman" w:eastAsia="Times New Roman" w:cs="Times New Roman"/>
                      <w:sz w:val="21"/>
                      <w:szCs w:val="21"/>
                    </w:rPr>
                  </w:pPr>
                  <w:r>
                    <w:rPr>
                      <w:rFonts w:ascii="Segoe UI Symbol" w:hAnsi="Segoe UI Symbol" w:eastAsia="Times New Roman" w:cs="Segoe UI Symbol"/>
                      <w:sz w:val="21"/>
                      <w:szCs w:val="21"/>
                    </w:rPr>
                    <w:t>☑</w:t>
                  </w:r>
                  <w:r>
                    <w:rPr>
                      <w:rFonts w:ascii="Times New Roman" w:hAnsi="Times New Roman" w:cs="Times New Roman" w:eastAsiaTheme="minorEastAsia"/>
                      <w:sz w:val="21"/>
                      <w:szCs w:val="21"/>
                    </w:rPr>
                    <w:t>有组织</w:t>
                  </w:r>
                  <w:r>
                    <w:rPr>
                      <w:rFonts w:ascii="Times New Roman" w:hAnsi="Times New Roman" w:eastAsia="Times New Roman" w:cs="Times New Roman"/>
                      <w:sz w:val="21"/>
                      <w:szCs w:val="21"/>
                    </w:rPr>
                    <w:t>□</w:t>
                  </w:r>
                  <w:r>
                    <w:rPr>
                      <w:rFonts w:ascii="Times New Roman" w:hAnsi="Times New Roman" w:cs="Times New Roman" w:eastAsiaTheme="minor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废气量（</w:t>
                  </w:r>
                  <w:r>
                    <w:rPr>
                      <w:rFonts w:ascii="Times New Roman" w:hAnsi="Times New Roman" w:eastAsia="Times New Roman" w:cs="Times New Roman"/>
                      <w:sz w:val="21"/>
                      <w:szCs w:val="21"/>
                    </w:rPr>
                    <w:t>Nm</w:t>
                  </w:r>
                  <w:r>
                    <w:rPr>
                      <w:rFonts w:ascii="Times New Roman" w:hAnsi="Times New Roman" w:eastAsia="Times New Roman" w:cs="Times New Roman"/>
                      <w:sz w:val="21"/>
                      <w:szCs w:val="21"/>
                      <w:vertAlign w:val="superscript"/>
                    </w:rPr>
                    <w:t>3</w:t>
                  </w:r>
                  <w:r>
                    <w:rPr>
                      <w:rFonts w:ascii="Times New Roman" w:hAnsi="Times New Roman" w:eastAsia="Times New Roman" w:cs="Times New Roman"/>
                      <w:sz w:val="21"/>
                      <w:szCs w:val="21"/>
                    </w:rPr>
                    <w:t>/h</w:t>
                  </w:r>
                  <w:r>
                    <w:rPr>
                      <w:rFonts w:ascii="Times New Roman" w:hAnsi="Times New Roman" w:cs="Times New Roman" w:eastAsiaTheme="minorEastAsia"/>
                      <w:sz w:val="21"/>
                      <w:szCs w:val="21"/>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Merge w:val="restart"/>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污染物产生情况</w:t>
                  </w:r>
                </w:p>
              </w:tc>
              <w:tc>
                <w:tcPr>
                  <w:tcW w:w="2240" w:type="dxa"/>
                  <w:gridSpan w:val="2"/>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浓度（</w:t>
                  </w:r>
                  <w:r>
                    <w:rPr>
                      <w:rFonts w:ascii="Times New Roman" w:hAnsi="Times New Roman" w:eastAsia="Times New Roman" w:cs="Times New Roman"/>
                      <w:sz w:val="21"/>
                      <w:szCs w:val="21"/>
                    </w:rPr>
                    <w:t>mg/m3</w:t>
                  </w:r>
                  <w:r>
                    <w:rPr>
                      <w:rFonts w:ascii="Times New Roman" w:hAnsi="Times New Roman" w:cs="Times New Roman" w:eastAsiaTheme="minorEastAsia"/>
                      <w:sz w:val="21"/>
                      <w:szCs w:val="21"/>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29.93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Merge w:val="continue"/>
                  <w:vAlign w:val="center"/>
                </w:tcPr>
                <w:p>
                  <w:pPr>
                    <w:pStyle w:val="75"/>
                    <w:jc w:val="center"/>
                    <w:rPr>
                      <w:rFonts w:ascii="Times New Roman" w:hAnsi="Times New Roman" w:eastAsia="Times New Roman" w:cs="Times New Roman"/>
                      <w:sz w:val="21"/>
                      <w:szCs w:val="21"/>
                    </w:rPr>
                  </w:pPr>
                </w:p>
              </w:tc>
              <w:tc>
                <w:tcPr>
                  <w:tcW w:w="2240" w:type="dxa"/>
                  <w:gridSpan w:val="2"/>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产生量（</w:t>
                  </w:r>
                  <w:r>
                    <w:rPr>
                      <w:rFonts w:ascii="Times New Roman" w:hAnsi="Times New Roman" w:eastAsia="Times New Roman" w:cs="Times New Roman"/>
                      <w:sz w:val="21"/>
                      <w:szCs w:val="21"/>
                    </w:rPr>
                    <w:t>kg/h</w:t>
                  </w:r>
                  <w:r>
                    <w:rPr>
                      <w:rFonts w:ascii="Times New Roman" w:hAnsi="Times New Roman" w:cs="Times New Roman" w:eastAsiaTheme="minorEastAsia"/>
                      <w:sz w:val="21"/>
                      <w:szCs w:val="21"/>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Merge w:val="continue"/>
                  <w:vAlign w:val="center"/>
                </w:tcPr>
                <w:p>
                  <w:pPr>
                    <w:pStyle w:val="75"/>
                    <w:jc w:val="center"/>
                    <w:rPr>
                      <w:rFonts w:ascii="Times New Roman" w:hAnsi="Times New Roman" w:eastAsia="Times New Roman" w:cs="Times New Roman"/>
                      <w:sz w:val="21"/>
                      <w:szCs w:val="21"/>
                    </w:rPr>
                  </w:pPr>
                </w:p>
              </w:tc>
              <w:tc>
                <w:tcPr>
                  <w:tcW w:w="2240" w:type="dxa"/>
                  <w:gridSpan w:val="2"/>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核算方法</w:t>
                  </w:r>
                </w:p>
              </w:tc>
              <w:tc>
                <w:tcPr>
                  <w:tcW w:w="3232"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产污系数法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rPr>
                    <w:t>污染治理措施</w:t>
                  </w:r>
                </w:p>
              </w:tc>
              <w:tc>
                <w:tcPr>
                  <w:tcW w:w="5472" w:type="dxa"/>
                  <w:gridSpan w:val="3"/>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密闭收集</w:t>
                  </w:r>
                  <w:r>
                    <w:rPr>
                      <w:rFonts w:ascii="Times New Roman" w:hAnsi="Times New Roman" w:eastAsia="Times New Roman" w:cs="Times New Roman"/>
                      <w:sz w:val="21"/>
                      <w:szCs w:val="21"/>
                      <w:lang w:eastAsia="zh-CN"/>
                    </w:rPr>
                    <w:t>+</w:t>
                  </w:r>
                  <w:r>
                    <w:rPr>
                      <w:rFonts w:hint="eastAsia" w:ascii="Times New Roman" w:hAnsi="Times New Roman" w:cs="Times New Roman" w:eastAsiaTheme="minorEastAsia"/>
                      <w:sz w:val="21"/>
                      <w:szCs w:val="21"/>
                      <w:lang w:eastAsia="zh-CN"/>
                    </w:rPr>
                    <w:t>二级活性炭吸附</w:t>
                  </w:r>
                  <w:r>
                    <w:rPr>
                      <w:rFonts w:ascii="Times New Roman" w:hAnsi="Times New Roman" w:eastAsia="Times New Roman" w:cs="Times New Roman"/>
                      <w:sz w:val="21"/>
                      <w:szCs w:val="21"/>
                      <w:lang w:eastAsia="zh-CN"/>
                    </w:rPr>
                    <w:t>+15m</w:t>
                  </w:r>
                  <w:r>
                    <w:rPr>
                      <w:rFonts w:ascii="Times New Roman" w:hAnsi="Times New Roman" w:cs="Times New Roman" w:eastAsiaTheme="minorEastAsia"/>
                      <w:sz w:val="21"/>
                      <w:szCs w:val="21"/>
                      <w:lang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Merge w:val="restart"/>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污染物排放情况</w:t>
                  </w:r>
                </w:p>
              </w:tc>
              <w:tc>
                <w:tcPr>
                  <w:tcW w:w="2240" w:type="dxa"/>
                  <w:gridSpan w:val="2"/>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浓度（</w:t>
                  </w:r>
                  <w:r>
                    <w:rPr>
                      <w:rFonts w:ascii="Times New Roman" w:hAnsi="Times New Roman" w:eastAsia="Times New Roman" w:cs="Times New Roman"/>
                      <w:sz w:val="21"/>
                      <w:szCs w:val="21"/>
                      <w:lang w:eastAsia="zh-CN"/>
                    </w:rPr>
                    <w:t>mg/m</w:t>
                  </w:r>
                  <w:r>
                    <w:rPr>
                      <w:rFonts w:ascii="Times New Roman" w:hAnsi="Times New Roman" w:eastAsia="Times New Roman" w:cs="Times New Roman"/>
                      <w:sz w:val="21"/>
                      <w:szCs w:val="21"/>
                      <w:vertAlign w:val="superscript"/>
                      <w:lang w:eastAsia="zh-CN"/>
                    </w:rPr>
                    <w:t>3</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3" w:type="dxa"/>
                  <w:vMerge w:val="continue"/>
                  <w:vAlign w:val="center"/>
                </w:tcPr>
                <w:p>
                  <w:pPr>
                    <w:pStyle w:val="75"/>
                    <w:jc w:val="center"/>
                    <w:rPr>
                      <w:rFonts w:ascii="Times New Roman" w:hAnsi="Times New Roman" w:eastAsia="Times New Roman" w:cs="Times New Roman"/>
                      <w:sz w:val="21"/>
                      <w:szCs w:val="21"/>
                      <w:lang w:eastAsia="zh-CN"/>
                    </w:rPr>
                  </w:pPr>
                </w:p>
              </w:tc>
              <w:tc>
                <w:tcPr>
                  <w:tcW w:w="2240" w:type="dxa"/>
                  <w:gridSpan w:val="2"/>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排放量</w:t>
                  </w:r>
                  <w:r>
                    <w:rPr>
                      <w:rFonts w:ascii="Times New Roman" w:hAnsi="Times New Roman" w:eastAsia="Times New Roman" w:cs="Times New Roman"/>
                      <w:sz w:val="21"/>
                      <w:szCs w:val="21"/>
                      <w:lang w:eastAsia="zh-CN"/>
                    </w:rPr>
                    <w:t>(kg/h)</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93" w:type="dxa"/>
                  <w:vMerge w:val="continue"/>
                  <w:vAlign w:val="center"/>
                </w:tcPr>
                <w:p>
                  <w:pPr>
                    <w:pStyle w:val="75"/>
                    <w:jc w:val="center"/>
                    <w:rPr>
                      <w:rFonts w:ascii="Times New Roman" w:hAnsi="Times New Roman" w:eastAsia="Times New Roman" w:cs="Times New Roman"/>
                      <w:sz w:val="21"/>
                      <w:szCs w:val="21"/>
                      <w:lang w:eastAsia="zh-CN"/>
                    </w:rPr>
                  </w:pPr>
                </w:p>
              </w:tc>
              <w:tc>
                <w:tcPr>
                  <w:tcW w:w="2240" w:type="dxa"/>
                  <w:gridSpan w:val="2"/>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核算方法</w:t>
                  </w:r>
                </w:p>
              </w:tc>
              <w:tc>
                <w:tcPr>
                  <w:tcW w:w="3232"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产污系数法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年运行时间（</w:t>
                  </w:r>
                  <w:r>
                    <w:rPr>
                      <w:rFonts w:ascii="Times New Roman" w:hAnsi="Times New Roman" w:eastAsia="Times New Roman" w:cs="Times New Roman"/>
                      <w:sz w:val="21"/>
                      <w:szCs w:val="21"/>
                      <w:lang w:eastAsia="zh-CN"/>
                    </w:rPr>
                    <w:t>h/a</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3" w:type="dxa"/>
                  <w:gridSpan w:val="3"/>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年排放量（</w:t>
                  </w:r>
                  <w:r>
                    <w:rPr>
                      <w:rFonts w:ascii="Times New Roman" w:hAnsi="Times New Roman" w:eastAsia="Times New Roman" w:cs="Times New Roman"/>
                      <w:sz w:val="21"/>
                      <w:szCs w:val="21"/>
                      <w:lang w:eastAsia="zh-CN"/>
                    </w:rPr>
                    <w:t>t/a</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0" w:type="dxa"/>
                  <w:gridSpan w:val="2"/>
                  <w:vMerge w:val="restart"/>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排放参数（有组织）</w:t>
                  </w:r>
                </w:p>
              </w:tc>
              <w:tc>
                <w:tcPr>
                  <w:tcW w:w="2143"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排气筒高度（</w:t>
                  </w:r>
                  <w:r>
                    <w:rPr>
                      <w:rFonts w:ascii="Times New Roman" w:hAnsi="Times New Roman" w:eastAsia="Times New Roman" w:cs="Times New Roman"/>
                      <w:sz w:val="21"/>
                      <w:szCs w:val="21"/>
                      <w:lang w:eastAsia="zh-CN"/>
                    </w:rPr>
                    <w:t>m</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eastAsia="Times New Roman" w:cs="Times New Roman"/>
                      <w:sz w:val="21"/>
                      <w:szCs w:val="21"/>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0" w:type="dxa"/>
                  <w:gridSpan w:val="2"/>
                  <w:vMerge w:val="continue"/>
                  <w:vAlign w:val="center"/>
                </w:tcPr>
                <w:p>
                  <w:pPr>
                    <w:pStyle w:val="75"/>
                    <w:jc w:val="center"/>
                    <w:rPr>
                      <w:rFonts w:ascii="Times New Roman" w:hAnsi="Times New Roman" w:eastAsia="Times New Roman" w:cs="Times New Roman"/>
                      <w:sz w:val="21"/>
                      <w:szCs w:val="21"/>
                      <w:lang w:eastAsia="zh-CN"/>
                    </w:rPr>
                  </w:pPr>
                </w:p>
              </w:tc>
              <w:tc>
                <w:tcPr>
                  <w:tcW w:w="2143"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出口</w:t>
                  </w:r>
                  <w:r>
                    <w:rPr>
                      <w:rFonts w:hint="eastAsia" w:ascii="Times New Roman" w:hAnsi="Times New Roman" w:cs="Times New Roman" w:eastAsiaTheme="minorEastAsia"/>
                      <w:sz w:val="21"/>
                      <w:szCs w:val="21"/>
                      <w:lang w:eastAsia="zh-CN"/>
                    </w:rPr>
                    <w:t>内径</w:t>
                  </w:r>
                  <w:r>
                    <w:rPr>
                      <w:rFonts w:ascii="Times New Roman" w:hAnsi="Times New Roman" w:cs="Times New Roman" w:eastAsiaTheme="minorEastAsia"/>
                      <w:sz w:val="21"/>
                      <w:szCs w:val="21"/>
                      <w:lang w:eastAsia="zh-CN"/>
                    </w:rPr>
                    <w:t>（</w:t>
                  </w:r>
                  <w:r>
                    <w:rPr>
                      <w:rFonts w:ascii="Times New Roman" w:hAnsi="Times New Roman" w:eastAsia="Times New Roman" w:cs="Times New Roman"/>
                      <w:sz w:val="21"/>
                      <w:szCs w:val="21"/>
                      <w:lang w:eastAsia="zh-CN"/>
                    </w:rPr>
                    <w:t>m</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eastAsia="Times New Roman" w:cs="Times New Roman"/>
                      <w:sz w:val="21"/>
                      <w:szCs w:val="21"/>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90" w:type="dxa"/>
                  <w:gridSpan w:val="2"/>
                  <w:vMerge w:val="continue"/>
                  <w:vAlign w:val="center"/>
                </w:tcPr>
                <w:p>
                  <w:pPr>
                    <w:pStyle w:val="75"/>
                    <w:jc w:val="center"/>
                    <w:rPr>
                      <w:rFonts w:ascii="Times New Roman" w:hAnsi="Times New Roman" w:eastAsia="Times New Roman" w:cs="Times New Roman"/>
                      <w:sz w:val="21"/>
                      <w:szCs w:val="21"/>
                      <w:lang w:eastAsia="zh-CN"/>
                    </w:rPr>
                  </w:pPr>
                </w:p>
              </w:tc>
              <w:tc>
                <w:tcPr>
                  <w:tcW w:w="2143"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排放温度（</w:t>
                  </w:r>
                  <w:r>
                    <w:rPr>
                      <w:rFonts w:ascii="Times New Roman" w:hAnsi="Times New Roman" w:eastAsia="Times New Roman" w:cs="Times New Roman"/>
                      <w:sz w:val="21"/>
                      <w:szCs w:val="21"/>
                      <w:lang w:eastAsia="zh-CN"/>
                    </w:rPr>
                    <w:t>℃</w:t>
                  </w:r>
                  <w:r>
                    <w:rPr>
                      <w:rFonts w:ascii="Times New Roman" w:hAnsi="Times New Roman" w:cs="Times New Roman" w:eastAsiaTheme="minorEastAsia"/>
                      <w:sz w:val="21"/>
                      <w:szCs w:val="21"/>
                      <w:lang w:eastAsia="zh-CN"/>
                    </w:rPr>
                    <w:t>）</w:t>
                  </w:r>
                </w:p>
              </w:tc>
              <w:tc>
                <w:tcPr>
                  <w:tcW w:w="3232"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eastAsia="Times New Roman" w:cs="Times New Roman"/>
                      <w:sz w:val="21"/>
                      <w:szCs w:val="21"/>
                      <w:lang w:eastAsia="zh-CN"/>
                    </w:rPr>
                    <w:t>40</w:t>
                  </w:r>
                </w:p>
              </w:tc>
            </w:tr>
          </w:tbl>
          <w:p>
            <w:pPr>
              <w:pStyle w:val="75"/>
              <w:spacing w:line="520" w:lineRule="exact"/>
              <w:ind w:firstLine="489"/>
              <w:jc w:val="both"/>
              <w:rPr>
                <w:rFonts w:ascii="Times New Roman" w:hAnsi="Times New Roman" w:cs="Times New Roman"/>
                <w:b/>
                <w:sz w:val="24"/>
                <w:lang w:eastAsia="zh-CN"/>
              </w:rPr>
            </w:pPr>
            <w:r>
              <w:rPr>
                <w:rFonts w:hint="eastAsia" w:ascii="Times New Roman" w:hAnsi="Times New Roman" w:cs="Times New Roman"/>
                <w:b/>
                <w:sz w:val="24"/>
                <w:lang w:eastAsia="zh-CN"/>
              </w:rPr>
              <w:t>(2)有机废气治理</w:t>
            </w:r>
            <w:r>
              <w:rPr>
                <w:rFonts w:ascii="Times New Roman" w:hAnsi="Times New Roman" w:cs="Times New Roman"/>
                <w:b/>
                <w:sz w:val="24"/>
                <w:lang w:eastAsia="zh-CN"/>
              </w:rPr>
              <w:t>措施</w:t>
            </w:r>
          </w:p>
          <w:p>
            <w:pPr>
              <w:pStyle w:val="75"/>
              <w:spacing w:line="520" w:lineRule="exact"/>
              <w:ind w:firstLine="489"/>
              <w:jc w:val="both"/>
              <w:rPr>
                <w:rFonts w:ascii="Times New Roman" w:hAnsi="Times New Roman" w:cs="Times New Roman"/>
                <w:bCs/>
                <w:sz w:val="24"/>
                <w:lang w:eastAsia="zh-CN"/>
              </w:rPr>
            </w:pPr>
            <w:r>
              <w:rPr>
                <w:rFonts w:hint="eastAsia" w:ascii="Times New Roman" w:hAnsi="Times New Roman" w:cs="Times New Roman"/>
                <w:bCs/>
                <w:sz w:val="24"/>
                <w:lang w:eastAsia="zh-CN"/>
              </w:rPr>
              <w:t>环评</w:t>
            </w:r>
            <w:r>
              <w:rPr>
                <w:rFonts w:ascii="Times New Roman" w:hAnsi="Times New Roman" w:cs="Times New Roman"/>
                <w:bCs/>
                <w:sz w:val="24"/>
                <w:lang w:eastAsia="zh-CN"/>
              </w:rPr>
              <w:t>要求注塑机置于全封闭车间内，为了不影响产品出料，注塑机产生的废气进行密闭收集，设计风量为</w:t>
            </w:r>
            <w:r>
              <w:rPr>
                <w:rFonts w:ascii="Times New Roman" w:hAnsi="Times New Roman" w:cs="Times New Roman" w:eastAsiaTheme="minorEastAsia"/>
                <w:bCs/>
                <w:sz w:val="24"/>
                <w:lang w:eastAsia="zh-CN"/>
              </w:rPr>
              <w:t>35</w:t>
            </w:r>
            <w:r>
              <w:rPr>
                <w:rFonts w:ascii="Times New Roman" w:hAnsi="Times New Roman" w:eastAsia="Times New Roman" w:cs="Times New Roman"/>
                <w:bCs/>
                <w:sz w:val="24"/>
                <w:lang w:eastAsia="zh-CN"/>
              </w:rPr>
              <w:t>00m</w:t>
            </w:r>
            <w:r>
              <w:rPr>
                <w:rFonts w:ascii="Times New Roman" w:hAnsi="Times New Roman" w:eastAsia="Times New Roman" w:cs="Times New Roman"/>
                <w:bCs/>
                <w:position w:val="8"/>
                <w:sz w:val="15"/>
                <w:lang w:eastAsia="zh-CN"/>
              </w:rPr>
              <w:t>3</w:t>
            </w:r>
            <w:r>
              <w:rPr>
                <w:rFonts w:ascii="Times New Roman" w:hAnsi="Times New Roman" w:eastAsia="Times New Roman" w:cs="Times New Roman"/>
                <w:bCs/>
                <w:sz w:val="24"/>
                <w:lang w:eastAsia="zh-CN"/>
              </w:rPr>
              <w:t>/h</w:t>
            </w:r>
            <w:r>
              <w:rPr>
                <w:rFonts w:ascii="Times New Roman" w:hAnsi="Times New Roman" w:cs="Times New Roman"/>
                <w:bCs/>
                <w:sz w:val="24"/>
                <w:lang w:eastAsia="zh-CN"/>
              </w:rPr>
              <w:t>，将收集的废气引至</w:t>
            </w:r>
            <w:r>
              <w:rPr>
                <w:rFonts w:hint="eastAsia" w:ascii="Times New Roman" w:hAnsi="Times New Roman" w:cs="Times New Roman"/>
                <w:bCs/>
                <w:sz w:val="24"/>
                <w:lang w:eastAsia="zh-CN"/>
              </w:rPr>
              <w:t>1套二级活性炭吸附装置处理</w:t>
            </w:r>
            <w:r>
              <w:rPr>
                <w:rFonts w:ascii="Times New Roman" w:hAnsi="Times New Roman" w:cs="Times New Roman"/>
                <w:bCs/>
                <w:sz w:val="24"/>
                <w:lang w:eastAsia="zh-CN"/>
              </w:rPr>
              <w:t>后通过</w:t>
            </w:r>
            <w:r>
              <w:rPr>
                <w:rFonts w:hint="eastAsia" w:ascii="Times New Roman" w:hAnsi="Times New Roman" w:cs="Times New Roman"/>
                <w:bCs/>
                <w:sz w:val="24"/>
                <w:lang w:eastAsia="zh-CN"/>
              </w:rPr>
              <w:t>1根</w:t>
            </w:r>
            <w:r>
              <w:rPr>
                <w:rFonts w:ascii="Times New Roman" w:hAnsi="Times New Roman" w:eastAsia="Times New Roman" w:cs="Times New Roman"/>
                <w:bCs/>
                <w:sz w:val="24"/>
                <w:lang w:eastAsia="zh-CN"/>
              </w:rPr>
              <w:t>15m</w:t>
            </w:r>
            <w:r>
              <w:rPr>
                <w:rFonts w:ascii="Times New Roman" w:hAnsi="Times New Roman" w:cs="Times New Roman"/>
                <w:bCs/>
                <w:sz w:val="24"/>
                <w:lang w:eastAsia="zh-CN"/>
              </w:rPr>
              <w:t>高排气筒（</w:t>
            </w:r>
            <w:r>
              <w:rPr>
                <w:rFonts w:ascii="Times New Roman" w:hAnsi="Times New Roman" w:eastAsia="Times New Roman" w:cs="Times New Roman"/>
                <w:bCs/>
                <w:sz w:val="24"/>
                <w:lang w:eastAsia="zh-CN"/>
              </w:rPr>
              <w:t>DA001</w:t>
            </w:r>
            <w:r>
              <w:rPr>
                <w:rFonts w:ascii="Times New Roman" w:hAnsi="Times New Roman" w:cs="Times New Roman"/>
                <w:bCs/>
                <w:sz w:val="24"/>
                <w:lang w:eastAsia="zh-CN"/>
              </w:rPr>
              <w:t>）排放。</w:t>
            </w:r>
          </w:p>
          <w:p>
            <w:pPr>
              <w:spacing w:line="520" w:lineRule="exact"/>
              <w:ind w:firstLine="482" w:firstLineChars="200"/>
              <w:rPr>
                <w:b/>
                <w:bCs/>
                <w:snapToGrid w:val="0"/>
                <w:kern w:val="0"/>
                <w:sz w:val="24"/>
              </w:rPr>
            </w:pPr>
            <w:r>
              <w:rPr>
                <w:rFonts w:hint="eastAsia"/>
                <w:b/>
                <w:bCs/>
                <w:snapToGrid w:val="0"/>
                <w:kern w:val="0"/>
                <w:sz w:val="24"/>
              </w:rPr>
              <w:t>(3)</w:t>
            </w:r>
            <w:r>
              <w:rPr>
                <w:b/>
                <w:bCs/>
                <w:snapToGrid w:val="0"/>
                <w:kern w:val="0"/>
                <w:sz w:val="24"/>
              </w:rPr>
              <w:t>无组织管控措施</w:t>
            </w:r>
          </w:p>
          <w:p>
            <w:pPr>
              <w:spacing w:line="520" w:lineRule="exact"/>
              <w:ind w:firstLine="480" w:firstLineChars="200"/>
              <w:rPr>
                <w:snapToGrid w:val="0"/>
                <w:kern w:val="0"/>
                <w:sz w:val="24"/>
              </w:rPr>
            </w:pPr>
            <w:r>
              <w:rPr>
                <w:snapToGrid w:val="0"/>
                <w:kern w:val="0"/>
                <w:sz w:val="24"/>
              </w:rPr>
              <w:t>根据《挥发性有机物无组织排放控制标准》（GB37822-2019），VOCs废气收集处理系统应与生产工艺设备同步运行。</w:t>
            </w:r>
          </w:p>
          <w:p>
            <w:pPr>
              <w:spacing w:line="520" w:lineRule="exact"/>
              <w:ind w:firstLine="480" w:firstLineChars="200"/>
              <w:rPr>
                <w:snapToGrid w:val="0"/>
                <w:kern w:val="0"/>
                <w:sz w:val="24"/>
              </w:rPr>
            </w:pPr>
            <w:r>
              <w:rPr>
                <w:snapToGrid w:val="0"/>
                <w:kern w:val="0"/>
                <w:sz w:val="24"/>
              </w:rPr>
              <w:t>VOCs废气收集处理系统发生故障或检修时，对应的生产工艺设备应停止运行，待检修完毕后同步投入使用；生产工艺设备不能停止运行或不能及时停止运行的，应设置废气应急处理设施或采取其他替代措施。</w:t>
            </w:r>
          </w:p>
          <w:p>
            <w:pPr>
              <w:spacing w:line="520" w:lineRule="exact"/>
              <w:ind w:firstLine="482" w:firstLineChars="200"/>
              <w:rPr>
                <w:b/>
                <w:bCs/>
                <w:snapToGrid w:val="0"/>
                <w:kern w:val="0"/>
                <w:sz w:val="24"/>
              </w:rPr>
            </w:pPr>
            <w:r>
              <w:rPr>
                <w:rFonts w:hint="eastAsia"/>
                <w:b/>
                <w:bCs/>
                <w:snapToGrid w:val="0"/>
                <w:kern w:val="0"/>
                <w:sz w:val="24"/>
              </w:rPr>
              <w:t>2、破碎粉尘</w:t>
            </w:r>
          </w:p>
          <w:p>
            <w:pPr>
              <w:spacing w:line="520" w:lineRule="exact"/>
              <w:ind w:firstLine="480" w:firstLineChars="200"/>
              <w:rPr>
                <w:b/>
                <w:bCs/>
                <w:snapToGrid w:val="0"/>
                <w:kern w:val="0"/>
                <w:sz w:val="24"/>
              </w:rPr>
            </w:pPr>
            <w:r>
              <w:rPr>
                <w:rFonts w:hint="eastAsia"/>
                <w:snapToGrid w:val="0"/>
                <w:kern w:val="0"/>
                <w:sz w:val="24"/>
              </w:rPr>
              <w:t>(1)</w:t>
            </w:r>
            <w:r>
              <w:rPr>
                <w:rFonts w:hint="eastAsia"/>
                <w:b/>
                <w:bCs/>
                <w:snapToGrid w:val="0"/>
                <w:kern w:val="0"/>
                <w:sz w:val="24"/>
              </w:rPr>
              <w:t>破碎粉尘源强计算</w:t>
            </w:r>
          </w:p>
          <w:p>
            <w:pPr>
              <w:spacing w:line="520" w:lineRule="exact"/>
              <w:ind w:firstLine="480" w:firstLineChars="200"/>
              <w:rPr>
                <w:snapToGrid w:val="0"/>
                <w:kern w:val="0"/>
                <w:sz w:val="24"/>
              </w:rPr>
            </w:pPr>
            <w:r>
              <w:rPr>
                <w:rFonts w:hint="eastAsia"/>
                <w:snapToGrid w:val="0"/>
                <w:kern w:val="0"/>
                <w:sz w:val="24"/>
              </w:rPr>
              <w:t>项目产生的边角料和不合格产品收集经粉碎机粉碎后重新用于生产，边角料及不合格产品均为块状或片状结构，投料过程无粉尘产生，仅在破碎过程中有少量粉尘溢出。参考《排放源统计调查产排污核算方法和系数手册》（公告2021年第24号）“2926塑料包装箱及容器制造行业”中“配料-混合-挤出/注（吹）塑工序”一般工业固废产污系数为2.5kg/t（产品），本项目年产塑框约808t，因此项目不合格品产生量约为2.02t/a。注塑工艺不合格品利用破碎机进行破碎，破碎粉尘产生量参照《排污许可证申请与核发技术规范 废弃资源加工工业》表61废弃资源加工工业排污单位废气污染物产污系数—分选、破碎、无水清洗颗粒物产污系数为1kg/t原料，项目注塑工序不合格品产生量约2.02t/a，则破碎粉尘产生量约为0.002t/a。</w:t>
            </w:r>
          </w:p>
          <w:p>
            <w:pPr>
              <w:spacing w:line="520" w:lineRule="exact"/>
              <w:ind w:firstLine="480" w:firstLineChars="200"/>
              <w:rPr>
                <w:snapToGrid w:val="0"/>
                <w:kern w:val="0"/>
                <w:sz w:val="24"/>
              </w:rPr>
            </w:pPr>
            <w:r>
              <w:rPr>
                <w:rFonts w:hint="eastAsia"/>
                <w:snapToGrid w:val="0"/>
                <w:kern w:val="0"/>
                <w:sz w:val="24"/>
              </w:rPr>
              <w:t>(2)粉尘治理措施</w:t>
            </w:r>
          </w:p>
          <w:p>
            <w:pPr>
              <w:spacing w:line="520" w:lineRule="exact"/>
              <w:ind w:firstLine="480" w:firstLineChars="200"/>
              <w:rPr>
                <w:snapToGrid w:val="0"/>
                <w:kern w:val="0"/>
                <w:sz w:val="24"/>
              </w:rPr>
            </w:pPr>
            <w:r>
              <w:rPr>
                <w:rFonts w:hint="eastAsia"/>
                <w:snapToGrid w:val="0"/>
                <w:kern w:val="0"/>
                <w:sz w:val="24"/>
              </w:rPr>
              <w:t>本项目在破碎机设备破碎机出料口设置软帘</w:t>
            </w:r>
            <w:r>
              <w:rPr>
                <w:snapToGrid w:val="0"/>
                <w:kern w:val="0"/>
                <w:sz w:val="24"/>
              </w:rPr>
              <w:t>+</w:t>
            </w:r>
            <w:r>
              <w:rPr>
                <w:rFonts w:hint="eastAsia"/>
                <w:snapToGrid w:val="0"/>
                <w:kern w:val="0"/>
                <w:sz w:val="24"/>
              </w:rPr>
              <w:t>集气罩收集废气（收集效率≥</w:t>
            </w:r>
            <w:r>
              <w:rPr>
                <w:snapToGrid w:val="0"/>
                <w:kern w:val="0"/>
                <w:sz w:val="24"/>
              </w:rPr>
              <w:t>50%</w:t>
            </w:r>
            <w:r>
              <w:rPr>
                <w:rFonts w:hint="eastAsia"/>
                <w:snapToGrid w:val="0"/>
                <w:kern w:val="0"/>
                <w:sz w:val="24"/>
              </w:rPr>
              <w:t>），收集的废气布袋除尘器处理（处理效率</w:t>
            </w:r>
            <w:r>
              <w:rPr>
                <w:snapToGrid w:val="0"/>
                <w:kern w:val="0"/>
                <w:sz w:val="24"/>
              </w:rPr>
              <w:t>90%</w:t>
            </w:r>
            <w:r>
              <w:rPr>
                <w:rFonts w:hint="eastAsia"/>
                <w:snapToGrid w:val="0"/>
                <w:kern w:val="0"/>
                <w:sz w:val="24"/>
              </w:rPr>
              <w:t>，风量</w:t>
            </w:r>
            <w:r>
              <w:rPr>
                <w:snapToGrid w:val="0"/>
                <w:kern w:val="0"/>
                <w:sz w:val="24"/>
              </w:rPr>
              <w:t>3000m</w:t>
            </w:r>
            <w:r>
              <w:rPr>
                <w:snapToGrid w:val="0"/>
                <w:kern w:val="0"/>
                <w:sz w:val="24"/>
                <w:vertAlign w:val="superscript"/>
              </w:rPr>
              <w:t>3</w:t>
            </w:r>
            <w:r>
              <w:rPr>
                <w:snapToGrid w:val="0"/>
                <w:kern w:val="0"/>
                <w:sz w:val="24"/>
              </w:rPr>
              <w:t>/h</w:t>
            </w:r>
            <w:r>
              <w:rPr>
                <w:rFonts w:hint="eastAsia"/>
                <w:snapToGrid w:val="0"/>
                <w:kern w:val="0"/>
                <w:sz w:val="24"/>
              </w:rPr>
              <w:t>），处理达标后废气由</w:t>
            </w:r>
            <w:r>
              <w:rPr>
                <w:snapToGrid w:val="0"/>
                <w:kern w:val="0"/>
                <w:sz w:val="24"/>
              </w:rPr>
              <w:t>15m</w:t>
            </w:r>
            <w:r>
              <w:rPr>
                <w:rFonts w:hint="eastAsia"/>
                <w:snapToGrid w:val="0"/>
                <w:kern w:val="0"/>
                <w:sz w:val="24"/>
              </w:rPr>
              <w:t>高排气筒（</w:t>
            </w:r>
            <w:r>
              <w:rPr>
                <w:snapToGrid w:val="0"/>
                <w:kern w:val="0"/>
                <w:sz w:val="24"/>
              </w:rPr>
              <w:t>DA002</w:t>
            </w:r>
            <w:r>
              <w:rPr>
                <w:rFonts w:hint="eastAsia"/>
                <w:snapToGrid w:val="0"/>
                <w:kern w:val="0"/>
                <w:sz w:val="24"/>
              </w:rPr>
              <w:t>）排放，生产线年运行时间</w:t>
            </w:r>
            <w:r>
              <w:rPr>
                <w:snapToGrid w:val="0"/>
                <w:kern w:val="0"/>
                <w:sz w:val="24"/>
              </w:rPr>
              <w:t>240h</w:t>
            </w:r>
            <w:r>
              <w:rPr>
                <w:rFonts w:hint="eastAsia"/>
                <w:snapToGrid w:val="0"/>
                <w:kern w:val="0"/>
                <w:sz w:val="24"/>
              </w:rPr>
              <w:t>，则本项目颗粒物有组织产生量为</w:t>
            </w:r>
            <w:r>
              <w:rPr>
                <w:snapToGrid w:val="0"/>
                <w:kern w:val="0"/>
                <w:sz w:val="24"/>
              </w:rPr>
              <w:t>0.001t/a</w:t>
            </w:r>
            <w:r>
              <w:rPr>
                <w:rFonts w:hint="eastAsia"/>
                <w:snapToGrid w:val="0"/>
                <w:kern w:val="0"/>
                <w:sz w:val="24"/>
              </w:rPr>
              <w:t>，有组织排放量为</w:t>
            </w:r>
            <w:r>
              <w:rPr>
                <w:snapToGrid w:val="0"/>
                <w:kern w:val="0"/>
                <w:sz w:val="24"/>
              </w:rPr>
              <w:t>0.0001t/a</w:t>
            </w:r>
            <w:r>
              <w:rPr>
                <w:rFonts w:hint="eastAsia"/>
                <w:snapToGrid w:val="0"/>
                <w:kern w:val="0"/>
                <w:sz w:val="24"/>
              </w:rPr>
              <w:t>，无组织产生量为</w:t>
            </w:r>
            <w:r>
              <w:rPr>
                <w:snapToGrid w:val="0"/>
                <w:kern w:val="0"/>
                <w:sz w:val="24"/>
              </w:rPr>
              <w:t>0.001t/a</w:t>
            </w:r>
            <w:r>
              <w:rPr>
                <w:rFonts w:hint="eastAsia"/>
                <w:snapToGrid w:val="0"/>
                <w:kern w:val="0"/>
                <w:sz w:val="24"/>
              </w:rPr>
              <w:t>。</w:t>
            </w:r>
          </w:p>
          <w:p>
            <w:pPr>
              <w:spacing w:line="520" w:lineRule="exact"/>
              <w:ind w:firstLine="482" w:firstLineChars="200"/>
              <w:rPr>
                <w:b/>
                <w:bCs/>
                <w:snapToGrid w:val="0"/>
                <w:kern w:val="0"/>
                <w:sz w:val="24"/>
              </w:rPr>
            </w:pPr>
            <w:r>
              <w:rPr>
                <w:rFonts w:hint="eastAsia"/>
                <w:b/>
                <w:bCs/>
                <w:snapToGrid w:val="0"/>
                <w:kern w:val="0"/>
                <w:sz w:val="24"/>
              </w:rPr>
              <w:t>3、技术可行性分析</w:t>
            </w:r>
          </w:p>
          <w:p>
            <w:pPr>
              <w:spacing w:line="520" w:lineRule="exact"/>
              <w:ind w:firstLine="480" w:firstLineChars="200"/>
              <w:rPr>
                <w:snapToGrid w:val="0"/>
                <w:kern w:val="0"/>
                <w:sz w:val="24"/>
              </w:rPr>
            </w:pPr>
            <w:r>
              <w:rPr>
                <w:rFonts w:hint="eastAsia"/>
                <w:snapToGrid w:val="0"/>
                <w:kern w:val="0"/>
                <w:sz w:val="24"/>
              </w:rPr>
              <w:t>（1）有机废气</w:t>
            </w:r>
          </w:p>
          <w:p>
            <w:pPr>
              <w:pStyle w:val="75"/>
              <w:spacing w:line="520" w:lineRule="exact"/>
              <w:ind w:firstLine="475"/>
              <w:jc w:val="both"/>
              <w:rPr>
                <w:rFonts w:ascii="Times New Roman" w:hAnsi="Times New Roman" w:cs="Times New Roman"/>
                <w:sz w:val="24"/>
                <w:lang w:eastAsia="zh-CN"/>
              </w:rPr>
            </w:pPr>
            <w:r>
              <w:rPr>
                <w:rFonts w:ascii="Times New Roman" w:hAnsi="Times New Roman" w:cs="Times New Roman"/>
                <w:sz w:val="24"/>
                <w:lang w:eastAsia="zh-CN"/>
              </w:rPr>
              <w:t>废气污染物防治可行技术见表</w:t>
            </w:r>
            <w:r>
              <w:rPr>
                <w:rFonts w:ascii="Times New Roman" w:hAnsi="Times New Roman" w:eastAsia="Times New Roman" w:cs="Times New Roman"/>
                <w:sz w:val="24"/>
                <w:lang w:eastAsia="zh-CN"/>
              </w:rPr>
              <w:t>4</w:t>
            </w:r>
            <w:r>
              <w:rPr>
                <w:rFonts w:hint="eastAsia" w:ascii="Times New Roman" w:hAnsi="Times New Roman" w:cs="Times New Roman" w:eastAsiaTheme="minorEastAsia"/>
                <w:sz w:val="24"/>
                <w:lang w:eastAsia="zh-CN"/>
              </w:rPr>
              <w:t>-2</w:t>
            </w:r>
            <w:r>
              <w:rPr>
                <w:rFonts w:ascii="Times New Roman" w:hAnsi="Times New Roman" w:cs="Times New Roman"/>
                <w:sz w:val="24"/>
                <w:lang w:eastAsia="zh-CN"/>
              </w:rPr>
              <w:t>。</w:t>
            </w:r>
          </w:p>
          <w:p>
            <w:pPr>
              <w:spacing w:line="360" w:lineRule="auto"/>
              <w:jc w:val="center"/>
              <w:rPr>
                <w:sz w:val="24"/>
              </w:rPr>
            </w:pPr>
            <w:r>
              <w:rPr>
                <w:b/>
              </w:rPr>
              <w:t>表</w:t>
            </w:r>
            <w:r>
              <w:rPr>
                <w:rFonts w:hint="eastAsia" w:eastAsiaTheme="minorEastAsia"/>
                <w:b/>
              </w:rPr>
              <w:t xml:space="preserve">4-2 </w:t>
            </w:r>
            <w:r>
              <w:rPr>
                <w:rFonts w:eastAsia="Times New Roman"/>
                <w:b/>
              </w:rPr>
              <w:t xml:space="preserve"> </w:t>
            </w:r>
            <w:r>
              <w:rPr>
                <w:b/>
              </w:rPr>
              <w:t>废气污染物防治可行技术参考表</w:t>
            </w:r>
          </w:p>
          <w:tbl>
            <w:tblPr>
              <w:tblStyle w:val="7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83"/>
              <w:gridCol w:w="1364"/>
              <w:gridCol w:w="52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83" w:type="dxa"/>
                  <w:vAlign w:val="center"/>
                </w:tcPr>
                <w:p>
                  <w:pPr>
                    <w:pStyle w:val="75"/>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废气种类</w:t>
                  </w:r>
                </w:p>
              </w:tc>
              <w:tc>
                <w:tcPr>
                  <w:tcW w:w="1364"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lang w:eastAsia="zh-CN"/>
                    </w:rPr>
                    <w:t>污染物</w:t>
                  </w:r>
                </w:p>
              </w:tc>
              <w:tc>
                <w:tcPr>
                  <w:tcW w:w="5272"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lang w:eastAsia="zh-CN"/>
                    </w:rPr>
                    <w:t>可行技术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83"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lang w:eastAsia="zh-CN"/>
                    </w:rPr>
                    <w:t>有机废气</w:t>
                  </w:r>
                </w:p>
              </w:tc>
              <w:tc>
                <w:tcPr>
                  <w:tcW w:w="1364" w:type="dxa"/>
                  <w:vAlign w:val="center"/>
                </w:tcPr>
                <w:p>
                  <w:pPr>
                    <w:pStyle w:val="75"/>
                    <w:jc w:val="center"/>
                    <w:rPr>
                      <w:rFonts w:ascii="Times New Roman" w:hAnsi="Times New Roman" w:eastAsia="Times New Roman" w:cs="Times New Roman"/>
                      <w:sz w:val="21"/>
                      <w:szCs w:val="21"/>
                    </w:rPr>
                  </w:pPr>
                  <w:r>
                    <w:rPr>
                      <w:rFonts w:ascii="Times New Roman" w:hAnsi="Times New Roman" w:cs="Times New Roman" w:eastAsiaTheme="minorEastAsia"/>
                      <w:sz w:val="21"/>
                      <w:szCs w:val="21"/>
                      <w:lang w:eastAsia="zh-CN"/>
                    </w:rPr>
                    <w:t>非甲烷总烃</w:t>
                  </w:r>
                </w:p>
              </w:tc>
              <w:tc>
                <w:tcPr>
                  <w:tcW w:w="5272" w:type="dxa"/>
                  <w:vAlign w:val="center"/>
                </w:tcPr>
                <w:p>
                  <w:pPr>
                    <w:pStyle w:val="75"/>
                    <w:jc w:val="center"/>
                    <w:rPr>
                      <w:rFonts w:ascii="Times New Roman" w:hAnsi="Times New Roman" w:eastAsia="Times New Roman" w:cs="Times New Roman"/>
                      <w:sz w:val="21"/>
                      <w:szCs w:val="21"/>
                      <w:lang w:eastAsia="zh-CN"/>
                    </w:rPr>
                  </w:pPr>
                  <w:r>
                    <w:rPr>
                      <w:rFonts w:ascii="Times New Roman" w:hAnsi="Times New Roman" w:cs="Times New Roman" w:eastAsiaTheme="minorEastAsia"/>
                      <w:sz w:val="21"/>
                      <w:szCs w:val="21"/>
                      <w:lang w:eastAsia="zh-CN"/>
                    </w:rPr>
                    <w:t>根据《排污许可证申请与核发技术规范橡胶和塑料制品工业》（</w:t>
                  </w:r>
                  <w:r>
                    <w:rPr>
                      <w:rFonts w:ascii="Times New Roman" w:hAnsi="Times New Roman" w:eastAsia="Times New Roman" w:cs="Times New Roman"/>
                      <w:sz w:val="21"/>
                      <w:szCs w:val="21"/>
                      <w:lang w:eastAsia="zh-CN"/>
                    </w:rPr>
                    <w:t>HJ1122—2020</w:t>
                  </w:r>
                  <w:r>
                    <w:rPr>
                      <w:rFonts w:ascii="Times New Roman" w:hAnsi="Times New Roman" w:cs="Times New Roman" w:eastAsiaTheme="minorEastAsia"/>
                      <w:sz w:val="21"/>
                      <w:szCs w:val="21"/>
                      <w:lang w:eastAsia="zh-CN"/>
                    </w:rPr>
                    <w:t>）中，塑料包装箱及容器制造排放的非甲烷总烃可行性技术为喷淋；吸附；热力燃烧；催化燃烧；低温等离子体；</w:t>
                  </w:r>
                  <w:r>
                    <w:rPr>
                      <w:rFonts w:ascii="Times New Roman" w:hAnsi="Times New Roman" w:eastAsia="Times New Roman" w:cs="Times New Roman"/>
                      <w:sz w:val="21"/>
                      <w:szCs w:val="21"/>
                      <w:lang w:eastAsia="zh-CN"/>
                    </w:rPr>
                    <w:t>UV</w:t>
                  </w:r>
                  <w:r>
                    <w:rPr>
                      <w:rFonts w:ascii="Times New Roman" w:hAnsi="Times New Roman" w:cs="Times New Roman" w:eastAsiaTheme="minorEastAsia"/>
                      <w:sz w:val="21"/>
                      <w:szCs w:val="21"/>
                      <w:lang w:eastAsia="zh-CN"/>
                    </w:rPr>
                    <w:t>光氧化</w:t>
                  </w:r>
                  <w:r>
                    <w:rPr>
                      <w:rFonts w:ascii="Times New Roman" w:hAnsi="Times New Roman" w:eastAsia="Times New Roman" w:cs="Times New Roman"/>
                      <w:sz w:val="21"/>
                      <w:szCs w:val="21"/>
                      <w:lang w:eastAsia="zh-CN"/>
                    </w:rPr>
                    <w:t>/</w:t>
                  </w:r>
                  <w:r>
                    <w:rPr>
                      <w:rFonts w:ascii="Times New Roman" w:hAnsi="Times New Roman" w:cs="Times New Roman" w:eastAsiaTheme="minorEastAsia"/>
                      <w:sz w:val="21"/>
                      <w:szCs w:val="21"/>
                      <w:lang w:eastAsia="zh-CN"/>
                    </w:rPr>
                    <w:t>光催化、生物法；以上组合技术。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7919" w:type="dxa"/>
                  <w:gridSpan w:val="3"/>
                  <w:vAlign w:val="center"/>
                </w:tcPr>
                <w:p>
                  <w:pPr>
                    <w:pStyle w:val="75"/>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本项目采用</w:t>
                  </w:r>
                  <w:r>
                    <w:rPr>
                      <w:rFonts w:hint="eastAsia" w:ascii="Times New Roman" w:hAnsi="Times New Roman" w:cs="Times New Roman" w:eastAsiaTheme="minorEastAsia"/>
                      <w:sz w:val="21"/>
                      <w:szCs w:val="21"/>
                      <w:lang w:eastAsia="zh-CN"/>
                    </w:rPr>
                    <w:t>二级活性炭吸附装置净化有机废气</w:t>
                  </w:r>
                  <w:r>
                    <w:rPr>
                      <w:rFonts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eastAsia="zh-CN"/>
                    </w:rPr>
                    <w:t>可达标排放</w:t>
                  </w:r>
                  <w:r>
                    <w:rPr>
                      <w:rFonts w:ascii="Times New Roman" w:hAnsi="Times New Roman" w:cs="Times New Roman" w:eastAsiaTheme="minorEastAsia"/>
                      <w:sz w:val="21"/>
                      <w:szCs w:val="21"/>
                      <w:lang w:eastAsia="zh-CN"/>
                    </w:rPr>
                    <w:t>，技术可行。</w:t>
                  </w:r>
                </w:p>
              </w:tc>
            </w:tr>
          </w:tbl>
          <w:p>
            <w:pPr>
              <w:pStyle w:val="75"/>
              <w:spacing w:line="360" w:lineRule="auto"/>
              <w:ind w:firstLine="488"/>
              <w:jc w:val="both"/>
              <w:rPr>
                <w:rFonts w:ascii="Times New Roman" w:hAnsi="Times New Roman" w:cs="Times New Roman"/>
                <w:sz w:val="24"/>
                <w:lang w:eastAsia="zh-CN"/>
              </w:rPr>
            </w:pPr>
            <w:r>
              <w:rPr>
                <w:rFonts w:ascii="Times New Roman" w:hAnsi="Times New Roman" w:cs="Times New Roman"/>
                <w:sz w:val="24"/>
                <w:lang w:eastAsia="zh-CN"/>
              </w:rPr>
              <w:t>活性炭吸附工作原理：活性炭吸附是一种常用的吸附方法，吸附法主要利用高孔隙率、高比表面积的吸附剂，由物理性吸附（可逆反应）或化学性键结（不可逆反应）作用，将有机气体分子自废气中分离，以达成净化废气的目的。由于一般多采用物理性吸附，随操作时间之增加，吸附剂将逐渐趋于饱和现象，此时则须进行脱—45—附再生或吸附剂更工作。在有机废气处理过程中，活性炭常被用来吸附烷烃、烯烃、芳香烃、酮、醛、氯代烃、酯以及挥发性有机化合物（VOCs）。本项目产生的有机废气属于挥发性有机化合物（VOCs），能够被活性炭吸附；且采用二级活性炭吸附装置，能够使污染物达标排放，因此处理措施在技术上是可行的。</w:t>
            </w:r>
          </w:p>
          <w:p>
            <w:pPr>
              <w:pStyle w:val="75"/>
              <w:spacing w:line="360" w:lineRule="auto"/>
              <w:ind w:firstLine="488"/>
              <w:jc w:val="both"/>
              <w:rPr>
                <w:rFonts w:ascii="Times New Roman" w:hAnsi="Times New Roman" w:cs="Times New Roman"/>
                <w:sz w:val="24"/>
                <w:lang w:eastAsia="zh-CN"/>
              </w:rPr>
            </w:pPr>
            <w:r>
              <w:rPr>
                <w:rFonts w:ascii="Times New Roman" w:hAnsi="Times New Roman" w:cs="Times New Roman"/>
                <w:sz w:val="24"/>
                <w:lang w:eastAsia="zh-CN"/>
              </w:rPr>
              <w:t>根据以上要求，本项目活性炭采用碘值800毫克/克的颗粒状活性炭，颗粒状活性炭堆积密度本项目取0.5t/m</w:t>
            </w:r>
            <w:r>
              <w:rPr>
                <w:rFonts w:ascii="Times New Roman" w:hAnsi="Times New Roman" w:cs="Times New Roman"/>
                <w:sz w:val="24"/>
                <w:vertAlign w:val="superscript"/>
                <w:lang w:eastAsia="zh-CN"/>
              </w:rPr>
              <w:t>3</w:t>
            </w:r>
            <w:r>
              <w:rPr>
                <w:rFonts w:ascii="Times New Roman" w:hAnsi="Times New Roman" w:cs="Times New Roman"/>
                <w:sz w:val="24"/>
                <w:lang w:eastAsia="zh-CN"/>
              </w:rPr>
              <w:t>，活性炭吸附能力按0.3kg（废气）/1kg（活性炭）计算，使用活性炭装置吸附有机废气的处理量约为0.</w:t>
            </w:r>
            <w:r>
              <w:rPr>
                <w:rFonts w:hint="eastAsia" w:ascii="Times New Roman" w:hAnsi="Times New Roman" w:cs="Times New Roman"/>
                <w:sz w:val="24"/>
                <w:lang w:eastAsia="zh-CN"/>
              </w:rPr>
              <w:t>016</w:t>
            </w:r>
            <w:r>
              <w:rPr>
                <w:rFonts w:ascii="Times New Roman" w:hAnsi="Times New Roman" w:cs="Times New Roman"/>
                <w:sz w:val="24"/>
                <w:lang w:eastAsia="zh-CN"/>
              </w:rPr>
              <w:t>t/a，年使用活性炭量约为1.82t/a，项目单次活性炭填充量为0.5t，一季度更换一次，全年填充量2t，可满足吸附需求。</w:t>
            </w:r>
          </w:p>
          <w:p>
            <w:pPr>
              <w:pStyle w:val="75"/>
              <w:spacing w:line="360" w:lineRule="auto"/>
              <w:ind w:firstLine="488"/>
              <w:jc w:val="both"/>
              <w:rPr>
                <w:rFonts w:ascii="Times New Roman" w:hAnsi="Times New Roman" w:cs="Times New Roman"/>
                <w:sz w:val="24"/>
                <w:lang w:eastAsia="zh-CN"/>
              </w:rPr>
            </w:pPr>
            <w:r>
              <w:rPr>
                <w:rFonts w:ascii="Times New Roman" w:hAnsi="Times New Roman" w:cs="Times New Roman"/>
                <w:sz w:val="24"/>
                <w:lang w:eastAsia="zh-CN"/>
              </w:rPr>
              <w:t>本项目废活性炭产生量为2.545t/a（活性炭填充量+吸附挥发性有机物量）。</w:t>
            </w:r>
          </w:p>
          <w:p>
            <w:pPr>
              <w:pStyle w:val="75"/>
              <w:spacing w:line="360" w:lineRule="auto"/>
              <w:ind w:firstLine="488"/>
              <w:jc w:val="both"/>
              <w:rPr>
                <w:rFonts w:ascii="Times New Roman" w:hAnsi="Times New Roman" w:cs="Times New Roman"/>
                <w:sz w:val="24"/>
                <w:lang w:eastAsia="zh-CN"/>
              </w:rPr>
            </w:pPr>
            <w:r>
              <w:rPr>
                <w:rFonts w:ascii="Times New Roman" w:hAnsi="Times New Roman" w:cs="Times New Roman"/>
                <w:sz w:val="24"/>
                <w:lang w:eastAsia="zh-CN"/>
              </w:rPr>
              <w:t>报告建议，项目运营后建设单位应根据厂区实际运行情况，定期对排放废气进行监测，根据监测数据确定更换活性炭周期，确保废气稳定达标排放。</w:t>
            </w:r>
          </w:p>
          <w:p>
            <w:pPr>
              <w:spacing w:line="520" w:lineRule="exact"/>
              <w:ind w:firstLine="480" w:firstLineChars="200"/>
              <w:rPr>
                <w:snapToGrid w:val="0"/>
                <w:kern w:val="0"/>
                <w:sz w:val="24"/>
              </w:rPr>
            </w:pPr>
            <w:r>
              <w:rPr>
                <w:rFonts w:hint="eastAsia"/>
                <w:snapToGrid w:val="0"/>
                <w:kern w:val="0"/>
                <w:sz w:val="24"/>
              </w:rPr>
              <w:t>（2）破碎粉尘</w:t>
            </w:r>
          </w:p>
          <w:p>
            <w:pPr>
              <w:spacing w:line="520" w:lineRule="exact"/>
              <w:ind w:firstLine="480" w:firstLineChars="200"/>
              <w:rPr>
                <w:snapToGrid w:val="0"/>
                <w:kern w:val="0"/>
                <w:sz w:val="24"/>
              </w:rPr>
            </w:pPr>
            <w:r>
              <w:rPr>
                <w:rFonts w:hint="eastAsia"/>
                <w:snapToGrid w:val="0"/>
                <w:kern w:val="0"/>
                <w:sz w:val="24"/>
              </w:rPr>
              <w:t>根据《排污许可证申请与核发技术规范 橡胶和塑料制品工业》（HJ1122-2020），本项目塑料包装箱及容器制造行业产生的颗粒物采用“除尘”措施属于行业排污许可技术规范中推荐的可行技术。根据核算结果，项目颗粒物排放浓度满足《合成树脂工业污染物排放标准》GB31572-2015（含2024年修改单）中相关标准。综上，本项目破碎废气治理工艺可行。</w:t>
            </w:r>
          </w:p>
          <w:p>
            <w:pPr>
              <w:spacing w:line="520" w:lineRule="exact"/>
              <w:ind w:firstLine="480" w:firstLineChars="200"/>
              <w:rPr>
                <w:snapToGrid w:val="0"/>
                <w:kern w:val="0"/>
                <w:sz w:val="24"/>
              </w:rPr>
            </w:pPr>
            <w:r>
              <w:rPr>
                <w:snapToGrid w:val="0"/>
                <w:kern w:val="0"/>
                <w:sz w:val="24"/>
              </w:rPr>
              <w:t>二、废水影响分析</w:t>
            </w:r>
          </w:p>
          <w:p>
            <w:pPr>
              <w:spacing w:line="520" w:lineRule="exact"/>
              <w:ind w:firstLine="480" w:firstLineChars="200"/>
              <w:rPr>
                <w:bCs/>
                <w:snapToGrid w:val="0"/>
                <w:kern w:val="0"/>
                <w:sz w:val="24"/>
              </w:rPr>
            </w:pPr>
            <w:r>
              <w:rPr>
                <w:bCs/>
                <w:snapToGrid w:val="0"/>
                <w:kern w:val="0"/>
                <w:sz w:val="24"/>
              </w:rPr>
              <w:t>本项目无生产废水</w:t>
            </w:r>
            <w:r>
              <w:rPr>
                <w:rFonts w:hint="eastAsia"/>
                <w:bCs/>
                <w:snapToGrid w:val="0"/>
                <w:kern w:val="0"/>
                <w:sz w:val="24"/>
              </w:rPr>
              <w:t>排放</w:t>
            </w:r>
            <w:r>
              <w:rPr>
                <w:bCs/>
                <w:snapToGrid w:val="0"/>
                <w:kern w:val="0"/>
                <w:sz w:val="24"/>
              </w:rPr>
              <w:t>，</w:t>
            </w:r>
            <w:r>
              <w:rPr>
                <w:rFonts w:hint="eastAsia"/>
                <w:bCs/>
                <w:snapToGrid w:val="0"/>
                <w:kern w:val="0"/>
                <w:sz w:val="24"/>
              </w:rPr>
              <w:t>冷却水循环使用不外排；</w:t>
            </w:r>
            <w:r>
              <w:rPr>
                <w:bCs/>
                <w:snapToGrid w:val="0"/>
                <w:kern w:val="0"/>
                <w:sz w:val="24"/>
              </w:rPr>
              <w:t>产生的污水主要为职工办公</w:t>
            </w:r>
            <w:r>
              <w:rPr>
                <w:rFonts w:hint="eastAsia"/>
                <w:bCs/>
                <w:snapToGrid w:val="0"/>
                <w:kern w:val="0"/>
                <w:sz w:val="24"/>
              </w:rPr>
              <w:t>生活</w:t>
            </w:r>
            <w:r>
              <w:rPr>
                <w:bCs/>
                <w:snapToGrid w:val="0"/>
                <w:kern w:val="0"/>
                <w:sz w:val="24"/>
              </w:rPr>
              <w:t>污水，废水产生量为</w:t>
            </w:r>
            <w:r>
              <w:rPr>
                <w:rFonts w:hint="eastAsia"/>
                <w:bCs/>
                <w:snapToGrid w:val="0"/>
                <w:kern w:val="0"/>
                <w:sz w:val="24"/>
              </w:rPr>
              <w:t>0.24</w:t>
            </w:r>
            <w:r>
              <w:rPr>
                <w:bCs/>
                <w:snapToGrid w:val="0"/>
                <w:kern w:val="0"/>
                <w:sz w:val="24"/>
              </w:rPr>
              <w:t>m</w:t>
            </w:r>
            <w:r>
              <w:rPr>
                <w:bCs/>
                <w:snapToGrid w:val="0"/>
                <w:kern w:val="0"/>
                <w:sz w:val="24"/>
                <w:vertAlign w:val="superscript"/>
              </w:rPr>
              <w:t>3</w:t>
            </w:r>
            <w:r>
              <w:rPr>
                <w:bCs/>
                <w:snapToGrid w:val="0"/>
                <w:kern w:val="0"/>
                <w:sz w:val="24"/>
              </w:rPr>
              <w:t>/d（</w:t>
            </w:r>
            <w:r>
              <w:rPr>
                <w:rFonts w:hint="eastAsia"/>
                <w:bCs/>
                <w:snapToGrid w:val="0"/>
                <w:kern w:val="0"/>
                <w:sz w:val="24"/>
              </w:rPr>
              <w:t>50.4</w:t>
            </w:r>
            <w:r>
              <w:rPr>
                <w:bCs/>
                <w:snapToGrid w:val="0"/>
                <w:kern w:val="0"/>
                <w:sz w:val="24"/>
              </w:rPr>
              <w:t>m</w:t>
            </w:r>
            <w:r>
              <w:rPr>
                <w:bCs/>
                <w:snapToGrid w:val="0"/>
                <w:kern w:val="0"/>
                <w:sz w:val="24"/>
                <w:vertAlign w:val="superscript"/>
              </w:rPr>
              <w:t>3</w:t>
            </w:r>
            <w:r>
              <w:rPr>
                <w:bCs/>
                <w:snapToGrid w:val="0"/>
                <w:kern w:val="0"/>
                <w:sz w:val="24"/>
              </w:rPr>
              <w:t>/a），生活污水用于厂区洒水抑尘，不外排。</w:t>
            </w:r>
          </w:p>
          <w:p>
            <w:pPr>
              <w:pStyle w:val="75"/>
              <w:spacing w:before="33"/>
              <w:jc w:val="center"/>
              <w:rPr>
                <w:rFonts w:ascii="Times New Roman" w:hAnsi="Times New Roman" w:cs="Times New Roman"/>
                <w:b/>
                <w:sz w:val="21"/>
                <w:lang w:eastAsia="zh-CN"/>
              </w:rPr>
            </w:pPr>
            <w:r>
              <w:rPr>
                <w:rFonts w:ascii="Times New Roman" w:hAnsi="Times New Roman" w:cs="Times New Roman"/>
                <w:b/>
                <w:sz w:val="21"/>
                <w:lang w:eastAsia="zh-CN"/>
              </w:rPr>
              <w:t>表</w:t>
            </w:r>
            <w:r>
              <w:rPr>
                <w:rFonts w:ascii="Times New Roman" w:hAnsi="Times New Roman" w:eastAsia="Times New Roman" w:cs="Times New Roman"/>
                <w:b/>
                <w:sz w:val="21"/>
                <w:lang w:eastAsia="zh-CN"/>
              </w:rPr>
              <w:t>4</w:t>
            </w:r>
            <w:r>
              <w:rPr>
                <w:rFonts w:hint="eastAsia" w:ascii="Times New Roman" w:hAnsi="Times New Roman" w:cs="Times New Roman" w:eastAsiaTheme="minorEastAsia"/>
                <w:b/>
                <w:sz w:val="21"/>
                <w:lang w:eastAsia="zh-CN"/>
              </w:rPr>
              <w:t>-3</w:t>
            </w:r>
            <w:r>
              <w:rPr>
                <w:rFonts w:ascii="Times New Roman" w:hAnsi="Times New Roman" w:eastAsia="Times New Roman" w:cs="Times New Roman"/>
                <w:b/>
                <w:sz w:val="21"/>
                <w:lang w:eastAsia="zh-CN"/>
              </w:rPr>
              <w:t xml:space="preserve">  </w:t>
            </w:r>
            <w:r>
              <w:rPr>
                <w:rFonts w:ascii="Times New Roman" w:hAnsi="Times New Roman" w:cs="Times New Roman"/>
                <w:b/>
                <w:sz w:val="21"/>
                <w:lang w:eastAsia="zh-CN"/>
              </w:rPr>
              <w:t>废水污染源基本情况表</w:t>
            </w:r>
          </w:p>
          <w:tbl>
            <w:tblPr>
              <w:tblStyle w:val="7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5"/>
              <w:gridCol w:w="1069"/>
              <w:gridCol w:w="988"/>
              <w:gridCol w:w="1754"/>
              <w:gridCol w:w="1362"/>
              <w:gridCol w:w="1085"/>
              <w:gridCol w:w="11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5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序号</w:t>
                  </w:r>
                </w:p>
              </w:tc>
              <w:tc>
                <w:tcPr>
                  <w:tcW w:w="1069"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废水类别</w:t>
                  </w:r>
                </w:p>
              </w:tc>
              <w:tc>
                <w:tcPr>
                  <w:tcW w:w="988"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废水来源</w:t>
                  </w:r>
                </w:p>
              </w:tc>
              <w:tc>
                <w:tcPr>
                  <w:tcW w:w="175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污染物种类</w:t>
                  </w:r>
                </w:p>
              </w:tc>
              <w:tc>
                <w:tcPr>
                  <w:tcW w:w="1362"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污染治理设施</w:t>
                  </w:r>
                </w:p>
              </w:tc>
              <w:tc>
                <w:tcPr>
                  <w:tcW w:w="108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污染治理设施工艺</w:t>
                  </w:r>
                </w:p>
              </w:tc>
              <w:tc>
                <w:tcPr>
                  <w:tcW w:w="110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5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1</w:t>
                  </w:r>
                </w:p>
              </w:tc>
              <w:tc>
                <w:tcPr>
                  <w:tcW w:w="1069"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冷却废水</w:t>
                  </w:r>
                </w:p>
              </w:tc>
              <w:tc>
                <w:tcPr>
                  <w:tcW w:w="988"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挤出机</w:t>
                  </w:r>
                </w:p>
              </w:tc>
              <w:tc>
                <w:tcPr>
                  <w:tcW w:w="175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SS、COD、BOD</w:t>
                  </w:r>
                  <w:r>
                    <w:rPr>
                      <w:rFonts w:ascii="Times New Roman" w:hAnsi="Times New Roman" w:cs="Times New Roman" w:eastAsiaTheme="minorEastAsia"/>
                      <w:vertAlign w:val="subscript"/>
                      <w:lang w:eastAsia="en-US"/>
                    </w:rPr>
                    <w:t>5</w:t>
                  </w:r>
                  <w:r>
                    <w:rPr>
                      <w:rFonts w:ascii="Times New Roman" w:hAnsi="Times New Roman" w:cs="Times New Roman" w:eastAsiaTheme="minorEastAsia"/>
                      <w:lang w:eastAsia="en-US"/>
                    </w:rPr>
                    <w:t>、氨氮等</w:t>
                  </w:r>
                </w:p>
              </w:tc>
              <w:tc>
                <w:tcPr>
                  <w:tcW w:w="1362"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循环水池</w:t>
                  </w:r>
                </w:p>
              </w:tc>
              <w:tc>
                <w:tcPr>
                  <w:tcW w:w="108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循环使用</w:t>
                  </w:r>
                </w:p>
              </w:tc>
              <w:tc>
                <w:tcPr>
                  <w:tcW w:w="110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循环使用不外排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555"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2</w:t>
                  </w:r>
                </w:p>
              </w:tc>
              <w:tc>
                <w:tcPr>
                  <w:tcW w:w="1069"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职工生活</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污水</w:t>
                  </w:r>
                </w:p>
              </w:tc>
              <w:tc>
                <w:tcPr>
                  <w:tcW w:w="988"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职工生活</w:t>
                  </w:r>
                </w:p>
              </w:tc>
              <w:tc>
                <w:tcPr>
                  <w:tcW w:w="175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pH、SS、COD、</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BOD</w:t>
                  </w:r>
                  <w:r>
                    <w:rPr>
                      <w:rFonts w:ascii="Times New Roman" w:hAnsi="Times New Roman" w:cs="Times New Roman" w:eastAsiaTheme="minorEastAsia"/>
                      <w:vertAlign w:val="subscript"/>
                      <w:lang w:eastAsia="en-US"/>
                    </w:rPr>
                    <w:t>5</w:t>
                  </w:r>
                  <w:r>
                    <w:rPr>
                      <w:rFonts w:ascii="Times New Roman" w:hAnsi="Times New Roman" w:cs="Times New Roman" w:eastAsiaTheme="minorEastAsia"/>
                      <w:lang w:eastAsia="en-US"/>
                    </w:rPr>
                    <w:t>、氨氮</w:t>
                  </w:r>
                </w:p>
              </w:tc>
              <w:tc>
                <w:tcPr>
                  <w:tcW w:w="1362"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hint="eastAsia" w:ascii="Times New Roman" w:hAnsi="Times New Roman" w:cs="Times New Roman" w:eastAsiaTheme="minorEastAsia"/>
                      <w:lang w:eastAsia="zh-CN"/>
                    </w:rPr>
                    <w:t>泼洒抑尘</w:t>
                  </w:r>
                </w:p>
              </w:tc>
              <w:tc>
                <w:tcPr>
                  <w:tcW w:w="108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hint="eastAsia" w:ascii="Times New Roman" w:hAnsi="Times New Roman" w:cs="Times New Roman" w:eastAsiaTheme="minorEastAsia"/>
                      <w:lang w:eastAsia="zh-CN"/>
                    </w:rPr>
                    <w:t>/</w:t>
                  </w:r>
                </w:p>
              </w:tc>
              <w:tc>
                <w:tcPr>
                  <w:tcW w:w="110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hint="eastAsia" w:ascii="Times New Roman" w:hAnsi="Times New Roman" w:cs="Times New Roman" w:eastAsiaTheme="minorEastAsia"/>
                      <w:lang w:eastAsia="zh-CN"/>
                    </w:rPr>
                    <w:t>泼洒抑尘</w:t>
                  </w:r>
                </w:p>
              </w:tc>
            </w:tr>
          </w:tbl>
          <w:p>
            <w:pPr>
              <w:spacing w:line="360" w:lineRule="auto"/>
              <w:ind w:firstLine="482" w:firstLineChars="200"/>
              <w:rPr>
                <w:b/>
                <w:sz w:val="24"/>
              </w:rPr>
            </w:pPr>
            <w:r>
              <w:rPr>
                <w:b/>
                <w:sz w:val="24"/>
              </w:rPr>
              <w:t>三、噪声影响分析</w:t>
            </w:r>
          </w:p>
          <w:p>
            <w:pPr>
              <w:spacing w:line="360" w:lineRule="auto"/>
              <w:ind w:firstLine="480"/>
              <w:rPr>
                <w:b/>
                <w:sz w:val="24"/>
              </w:rPr>
            </w:pPr>
            <w:r>
              <w:rPr>
                <w:b/>
                <w:sz w:val="24"/>
              </w:rPr>
              <w:t>1、噪声源强分析</w:t>
            </w:r>
          </w:p>
          <w:p>
            <w:pPr>
              <w:autoSpaceDE w:val="0"/>
              <w:autoSpaceDN w:val="0"/>
              <w:spacing w:line="360" w:lineRule="auto"/>
              <w:ind w:firstLine="480" w:firstLineChars="200"/>
              <w:rPr>
                <w:kern w:val="0"/>
                <w:sz w:val="24"/>
              </w:rPr>
            </w:pPr>
            <w:r>
              <w:rPr>
                <w:kern w:val="0"/>
                <w:sz w:val="24"/>
              </w:rPr>
              <w:t>项目噪声源主要来自注塑机、风机等，噪声级为85dB(A)~95dB(A)。具体见表4-</w:t>
            </w:r>
            <w:r>
              <w:rPr>
                <w:rFonts w:hint="eastAsia"/>
                <w:kern w:val="0"/>
                <w:sz w:val="24"/>
              </w:rPr>
              <w:t>4</w:t>
            </w:r>
            <w:r>
              <w:rPr>
                <w:kern w:val="0"/>
                <w:sz w:val="24"/>
              </w:rPr>
              <w:t>、4-</w:t>
            </w:r>
            <w:r>
              <w:rPr>
                <w:rFonts w:hint="eastAsia"/>
                <w:kern w:val="0"/>
                <w:sz w:val="24"/>
              </w:rPr>
              <w:t>5</w:t>
            </w:r>
            <w:r>
              <w:rPr>
                <w:kern w:val="0"/>
                <w:sz w:val="24"/>
              </w:rPr>
              <w:t>。</w:t>
            </w:r>
          </w:p>
          <w:p>
            <w:pPr>
              <w:widowControl/>
              <w:spacing w:line="360" w:lineRule="auto"/>
              <w:jc w:val="center"/>
              <w:rPr>
                <w:b/>
                <w:bCs/>
              </w:rPr>
            </w:pPr>
            <w:r>
              <w:rPr>
                <w:b/>
                <w:bCs/>
              </w:rPr>
              <w:t>表4-</w:t>
            </w:r>
            <w:r>
              <w:rPr>
                <w:rFonts w:hint="eastAsia"/>
                <w:b/>
                <w:bCs/>
              </w:rPr>
              <w:t>4</w:t>
            </w:r>
            <w:r>
              <w:rPr>
                <w:b/>
                <w:bCs/>
              </w:rPr>
              <w:t xml:space="preserve">  工业企业噪声源强调查清单（室内噪声）</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3"/>
              <w:gridCol w:w="452"/>
              <w:gridCol w:w="554"/>
              <w:gridCol w:w="403"/>
              <w:gridCol w:w="689"/>
              <w:gridCol w:w="401"/>
              <w:gridCol w:w="440"/>
              <w:gridCol w:w="424"/>
              <w:gridCol w:w="594"/>
              <w:gridCol w:w="758"/>
              <w:gridCol w:w="473"/>
              <w:gridCol w:w="735"/>
              <w:gridCol w:w="67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序号</w:t>
                  </w:r>
                </w:p>
              </w:tc>
              <w:tc>
                <w:tcPr>
                  <w:tcW w:w="452"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建筑物名称</w:t>
                  </w:r>
                </w:p>
              </w:tc>
              <w:tc>
                <w:tcPr>
                  <w:tcW w:w="554"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声源名称</w:t>
                  </w:r>
                </w:p>
              </w:tc>
              <w:tc>
                <w:tcPr>
                  <w:tcW w:w="403"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声功率级</w:t>
                  </w:r>
                </w:p>
              </w:tc>
              <w:tc>
                <w:tcPr>
                  <w:tcW w:w="689"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声源控制措施</w:t>
                  </w:r>
                </w:p>
              </w:tc>
              <w:tc>
                <w:tcPr>
                  <w:tcW w:w="1265" w:type="dxa"/>
                  <w:gridSpan w:val="3"/>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相对空间位置/m</w:t>
                  </w:r>
                </w:p>
              </w:tc>
              <w:tc>
                <w:tcPr>
                  <w:tcW w:w="594"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距室内边界距离/m</w:t>
                  </w:r>
                </w:p>
              </w:tc>
              <w:tc>
                <w:tcPr>
                  <w:tcW w:w="758"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室内边界声级</w:t>
                  </w:r>
                </w:p>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/dB(A)</w:t>
                  </w:r>
                </w:p>
              </w:tc>
              <w:tc>
                <w:tcPr>
                  <w:tcW w:w="473"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运行时段</w:t>
                  </w:r>
                </w:p>
              </w:tc>
              <w:tc>
                <w:tcPr>
                  <w:tcW w:w="735"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建筑物插入损失/dB</w:t>
                  </w:r>
                </w:p>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（A）</w:t>
                  </w:r>
                </w:p>
              </w:tc>
              <w:tc>
                <w:tcPr>
                  <w:tcW w:w="1569" w:type="dxa"/>
                  <w:gridSpan w:val="2"/>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452"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554"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403"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689"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40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x</w:t>
                  </w:r>
                </w:p>
              </w:tc>
              <w:tc>
                <w:tcPr>
                  <w:tcW w:w="44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y</w:t>
                  </w:r>
                </w:p>
              </w:tc>
              <w:tc>
                <w:tcPr>
                  <w:tcW w:w="42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z</w:t>
                  </w:r>
                </w:p>
              </w:tc>
              <w:tc>
                <w:tcPr>
                  <w:tcW w:w="594"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758"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473"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735" w:type="dxa"/>
                  <w:vMerge w:val="continue"/>
                  <w:vAlign w:val="center"/>
                </w:tcPr>
                <w:p>
                  <w:pPr>
                    <w:autoSpaceDE/>
                    <w:autoSpaceDN/>
                    <w:spacing w:line="280" w:lineRule="exact"/>
                    <w:jc w:val="center"/>
                    <w:rPr>
                      <w:rFonts w:ascii="Times New Roman" w:hAnsi="Times New Roman" w:cs="Times New Roman" w:eastAsiaTheme="minorEastAsia"/>
                      <w:lang w:eastAsia="zh-CN"/>
                    </w:rPr>
                  </w:pPr>
                </w:p>
              </w:tc>
              <w:tc>
                <w:tcPr>
                  <w:tcW w:w="67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声压级</w:t>
                  </w:r>
                </w:p>
              </w:tc>
              <w:tc>
                <w:tcPr>
                  <w:tcW w:w="89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w:t>
                  </w:r>
                </w:p>
              </w:tc>
              <w:tc>
                <w:tcPr>
                  <w:tcW w:w="452"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生产车间</w:t>
                  </w:r>
                </w:p>
              </w:tc>
              <w:tc>
                <w:tcPr>
                  <w:tcW w:w="55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注塑机</w:t>
                  </w:r>
                </w:p>
              </w:tc>
              <w:tc>
                <w:tcPr>
                  <w:tcW w:w="40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85</w:t>
                  </w:r>
                </w:p>
              </w:tc>
              <w:tc>
                <w:tcPr>
                  <w:tcW w:w="689"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隔声、减震</w:t>
                  </w:r>
                </w:p>
              </w:tc>
              <w:tc>
                <w:tcPr>
                  <w:tcW w:w="40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40</w:t>
                  </w:r>
                </w:p>
              </w:tc>
              <w:tc>
                <w:tcPr>
                  <w:tcW w:w="44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30</w:t>
                  </w:r>
                </w:p>
              </w:tc>
              <w:tc>
                <w:tcPr>
                  <w:tcW w:w="42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w:t>
                  </w:r>
                </w:p>
              </w:tc>
              <w:tc>
                <w:tcPr>
                  <w:tcW w:w="59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w:t>
                  </w:r>
                </w:p>
              </w:tc>
              <w:tc>
                <w:tcPr>
                  <w:tcW w:w="75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63.65</w:t>
                  </w:r>
                </w:p>
              </w:tc>
              <w:tc>
                <w:tcPr>
                  <w:tcW w:w="47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昼间</w:t>
                  </w:r>
                </w:p>
              </w:tc>
              <w:tc>
                <w:tcPr>
                  <w:tcW w:w="73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20</w:t>
                  </w:r>
                </w:p>
              </w:tc>
              <w:tc>
                <w:tcPr>
                  <w:tcW w:w="67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43.65</w:t>
                  </w:r>
                </w:p>
              </w:tc>
              <w:tc>
                <w:tcPr>
                  <w:tcW w:w="89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w:t>
                  </w:r>
                </w:p>
              </w:tc>
              <w:tc>
                <w:tcPr>
                  <w:tcW w:w="452"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c>
                <w:tcPr>
                  <w:tcW w:w="55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风机</w:t>
                  </w:r>
                </w:p>
              </w:tc>
              <w:tc>
                <w:tcPr>
                  <w:tcW w:w="40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95</w:t>
                  </w:r>
                </w:p>
              </w:tc>
              <w:tc>
                <w:tcPr>
                  <w:tcW w:w="689"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隔声、减震、消音器</w:t>
                  </w:r>
                </w:p>
              </w:tc>
              <w:tc>
                <w:tcPr>
                  <w:tcW w:w="40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40</w:t>
                  </w:r>
                </w:p>
              </w:tc>
              <w:tc>
                <w:tcPr>
                  <w:tcW w:w="44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34</w:t>
                  </w:r>
                </w:p>
              </w:tc>
              <w:tc>
                <w:tcPr>
                  <w:tcW w:w="42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0.5</w:t>
                  </w:r>
                </w:p>
              </w:tc>
              <w:tc>
                <w:tcPr>
                  <w:tcW w:w="59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w:t>
                  </w:r>
                </w:p>
              </w:tc>
              <w:tc>
                <w:tcPr>
                  <w:tcW w:w="75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74.76</w:t>
                  </w:r>
                </w:p>
              </w:tc>
              <w:tc>
                <w:tcPr>
                  <w:tcW w:w="47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昼间</w:t>
                  </w:r>
                </w:p>
              </w:tc>
              <w:tc>
                <w:tcPr>
                  <w:tcW w:w="73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20</w:t>
                  </w:r>
                </w:p>
              </w:tc>
              <w:tc>
                <w:tcPr>
                  <w:tcW w:w="67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54.76</w:t>
                  </w:r>
                </w:p>
              </w:tc>
              <w:tc>
                <w:tcPr>
                  <w:tcW w:w="895"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1.0</w:t>
                  </w:r>
                </w:p>
              </w:tc>
            </w:tr>
          </w:tbl>
          <w:p>
            <w:pPr>
              <w:widowControl/>
              <w:spacing w:line="360" w:lineRule="auto"/>
              <w:jc w:val="center"/>
              <w:rPr>
                <w:b/>
                <w:bCs/>
              </w:rPr>
            </w:pPr>
            <w:r>
              <w:rPr>
                <w:b/>
                <w:bCs/>
              </w:rPr>
              <w:t>表</w:t>
            </w:r>
            <w:r>
              <w:rPr>
                <w:rFonts w:hint="eastAsia"/>
                <w:b/>
                <w:bCs/>
              </w:rPr>
              <w:t xml:space="preserve">4-5 </w:t>
            </w:r>
            <w:r>
              <w:rPr>
                <w:b/>
                <w:bCs/>
              </w:rPr>
              <w:t xml:space="preserve"> 噪声源强调查清单（室外声源）</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8"/>
              <w:gridCol w:w="1070"/>
              <w:gridCol w:w="649"/>
              <w:gridCol w:w="591"/>
              <w:gridCol w:w="591"/>
              <w:gridCol w:w="550"/>
              <w:gridCol w:w="1698"/>
              <w:gridCol w:w="101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648"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序号</w:t>
                  </w:r>
                </w:p>
              </w:tc>
              <w:tc>
                <w:tcPr>
                  <w:tcW w:w="1070"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声源名称</w:t>
                  </w:r>
                </w:p>
              </w:tc>
              <w:tc>
                <w:tcPr>
                  <w:tcW w:w="649"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型号</w:t>
                  </w:r>
                </w:p>
              </w:tc>
              <w:tc>
                <w:tcPr>
                  <w:tcW w:w="1732" w:type="dxa"/>
                  <w:gridSpan w:val="3"/>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空间相对位置/m</w:t>
                  </w:r>
                </w:p>
              </w:tc>
              <w:tc>
                <w:tcPr>
                  <w:tcW w:w="169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声源源强</w:t>
                  </w:r>
                </w:p>
              </w:tc>
              <w:tc>
                <w:tcPr>
                  <w:tcW w:w="1014"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声源控制措施</w:t>
                  </w:r>
                </w:p>
              </w:tc>
              <w:tc>
                <w:tcPr>
                  <w:tcW w:w="1071"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648"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c>
                <w:tcPr>
                  <w:tcW w:w="1070"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c>
                <w:tcPr>
                  <w:tcW w:w="649"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c>
                <w:tcPr>
                  <w:tcW w:w="59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X</w:t>
                  </w:r>
                </w:p>
              </w:tc>
              <w:tc>
                <w:tcPr>
                  <w:tcW w:w="59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Y</w:t>
                  </w:r>
                </w:p>
              </w:tc>
              <w:tc>
                <w:tcPr>
                  <w:tcW w:w="55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Z</w:t>
                  </w:r>
                </w:p>
              </w:tc>
              <w:tc>
                <w:tcPr>
                  <w:tcW w:w="1698" w:type="dxa"/>
                  <w:vAlign w:val="center"/>
                </w:tcPr>
                <w:p>
                  <w:pPr>
                    <w:pStyle w:val="75"/>
                    <w:spacing w:before="188" w:line="280" w:lineRule="exact"/>
                    <w:ind w:left="101" w:right="149"/>
                    <w:jc w:val="center"/>
                    <w:rPr>
                      <w:rFonts w:ascii="Times New Roman" w:hAnsi="Times New Roman" w:cs="Times New Roman" w:eastAsiaTheme="minorEastAsia"/>
                      <w:kern w:val="2"/>
                      <w:sz w:val="21"/>
                      <w:szCs w:val="24"/>
                      <w:lang w:eastAsia="zh-CN"/>
                    </w:rPr>
                  </w:pPr>
                  <w:r>
                    <w:rPr>
                      <w:rFonts w:ascii="Times New Roman" w:hAnsi="Times New Roman" w:cs="Times New Roman" w:eastAsiaTheme="minorEastAsia"/>
                      <w:kern w:val="2"/>
                      <w:sz w:val="21"/>
                      <w:szCs w:val="24"/>
                      <w:lang w:eastAsia="zh-CN"/>
                    </w:rPr>
                    <w:t>声功率级/dB(A)</w:t>
                  </w:r>
                </w:p>
              </w:tc>
              <w:tc>
                <w:tcPr>
                  <w:tcW w:w="1014"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c>
                <w:tcPr>
                  <w:tcW w:w="1071" w:type="dxa"/>
                  <w:vMerge w:val="continue"/>
                  <w:vAlign w:val="center"/>
                </w:tcPr>
                <w:p>
                  <w:pPr>
                    <w:autoSpaceDE w:val="0"/>
                    <w:autoSpaceDN w:val="0"/>
                    <w:spacing w:line="280" w:lineRule="exact"/>
                    <w:jc w:val="center"/>
                    <w:rPr>
                      <w:rFonts w:ascii="Times New Roman" w:hAnsi="Times New Roman" w:cs="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64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w:t>
                  </w:r>
                </w:p>
              </w:tc>
              <w:tc>
                <w:tcPr>
                  <w:tcW w:w="107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冷却塔</w:t>
                  </w:r>
                </w:p>
              </w:tc>
              <w:tc>
                <w:tcPr>
                  <w:tcW w:w="649"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w:t>
                  </w:r>
                </w:p>
              </w:tc>
              <w:tc>
                <w:tcPr>
                  <w:tcW w:w="59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52</w:t>
                  </w:r>
                </w:p>
              </w:tc>
              <w:tc>
                <w:tcPr>
                  <w:tcW w:w="59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40</w:t>
                  </w:r>
                </w:p>
              </w:tc>
              <w:tc>
                <w:tcPr>
                  <w:tcW w:w="550"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1</w:t>
                  </w:r>
                </w:p>
              </w:tc>
              <w:tc>
                <w:tcPr>
                  <w:tcW w:w="169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80</w:t>
                  </w:r>
                </w:p>
              </w:tc>
              <w:tc>
                <w:tcPr>
                  <w:tcW w:w="101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基础减震</w:t>
                  </w:r>
                </w:p>
              </w:tc>
              <w:tc>
                <w:tcPr>
                  <w:tcW w:w="1071"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8h</w:t>
                  </w:r>
                </w:p>
              </w:tc>
            </w:tr>
          </w:tbl>
          <w:p>
            <w:pPr>
              <w:spacing w:line="360" w:lineRule="auto"/>
              <w:ind w:firstLine="482" w:firstLineChars="200"/>
              <w:rPr>
                <w:b/>
                <w:sz w:val="24"/>
              </w:rPr>
            </w:pPr>
            <w:r>
              <w:rPr>
                <w:b/>
                <w:sz w:val="24"/>
              </w:rPr>
              <w:t>2、噪声防治措施</w:t>
            </w:r>
          </w:p>
          <w:p>
            <w:pPr>
              <w:spacing w:line="360" w:lineRule="auto"/>
              <w:ind w:firstLine="480"/>
              <w:rPr>
                <w:sz w:val="24"/>
              </w:rPr>
            </w:pPr>
            <w:r>
              <w:rPr>
                <w:sz w:val="24"/>
              </w:rPr>
              <w:t>(1)治理噪声源</w:t>
            </w:r>
          </w:p>
          <w:p>
            <w:pPr>
              <w:spacing w:line="360" w:lineRule="auto"/>
              <w:ind w:firstLine="480"/>
              <w:rPr>
                <w:sz w:val="24"/>
              </w:rPr>
            </w:pPr>
            <w:r>
              <w:rPr>
                <w:sz w:val="24"/>
              </w:rPr>
              <w:t>从声源设备上进行噪声控制，设计中尽量选取低噪声设备和工艺，对高噪声设备，订货时按设计要求对制造厂家提出噪声限值要求。</w:t>
            </w:r>
          </w:p>
          <w:p>
            <w:pPr>
              <w:spacing w:line="360" w:lineRule="auto"/>
              <w:ind w:firstLine="480"/>
              <w:rPr>
                <w:sz w:val="24"/>
              </w:rPr>
            </w:pPr>
            <w:r>
              <w:rPr>
                <w:sz w:val="24"/>
              </w:rPr>
              <w:t>(2)传播途径控制</w:t>
            </w:r>
          </w:p>
          <w:p>
            <w:pPr>
              <w:spacing w:line="360" w:lineRule="auto"/>
              <w:ind w:firstLine="480"/>
              <w:rPr>
                <w:sz w:val="24"/>
              </w:rPr>
            </w:pPr>
            <w:r>
              <w:rPr>
                <w:rFonts w:ascii="Cambria Math" w:hAnsi="Cambria Math" w:cs="Cambria Math"/>
                <w:sz w:val="24"/>
              </w:rPr>
              <w:t>①</w:t>
            </w:r>
            <w:r>
              <w:rPr>
                <w:sz w:val="24"/>
              </w:rPr>
              <w:t>隔断噪声的传播途径，设备全部置于室内。</w:t>
            </w:r>
          </w:p>
          <w:p>
            <w:pPr>
              <w:spacing w:line="360" w:lineRule="auto"/>
              <w:ind w:firstLine="480"/>
              <w:rPr>
                <w:sz w:val="24"/>
              </w:rPr>
            </w:pPr>
            <w:r>
              <w:rPr>
                <w:rFonts w:ascii="Cambria Math" w:hAnsi="Cambria Math" w:cs="Cambria Math"/>
                <w:sz w:val="24"/>
              </w:rPr>
              <w:t>②</w:t>
            </w:r>
            <w:r>
              <w:rPr>
                <w:sz w:val="24"/>
              </w:rPr>
              <w:t>高噪声设备要求安装在基础减振底座，机座四周要留有一定深度的消声槽， 槽内填充玻璃纤维、矿棉等隔声材料，用微穿孔板制成的上盖封好。</w:t>
            </w:r>
          </w:p>
          <w:p>
            <w:pPr>
              <w:spacing w:line="360" w:lineRule="auto"/>
              <w:ind w:firstLine="480"/>
              <w:rPr>
                <w:sz w:val="24"/>
              </w:rPr>
            </w:pPr>
            <w:r>
              <w:rPr>
                <w:sz w:val="24"/>
              </w:rPr>
              <w:t>(3)强化生产管理</w:t>
            </w:r>
          </w:p>
          <w:p>
            <w:pPr>
              <w:spacing w:line="360" w:lineRule="auto"/>
              <w:ind w:firstLine="480"/>
              <w:rPr>
                <w:sz w:val="24"/>
              </w:rPr>
            </w:pPr>
            <w:r>
              <w:rPr>
                <w:sz w:val="24"/>
              </w:rPr>
              <w:t>确保降噪设施的有效运行，并加强对生产设备的保养、检修与润滑，保证设备处于良好的运转状态。</w:t>
            </w:r>
          </w:p>
          <w:p>
            <w:pPr>
              <w:spacing w:line="360" w:lineRule="auto"/>
              <w:ind w:firstLine="480"/>
              <w:rPr>
                <w:sz w:val="24"/>
              </w:rPr>
            </w:pPr>
            <w:r>
              <w:rPr>
                <w:sz w:val="24"/>
              </w:rPr>
              <w:t>经过以上措施处理后，项目产生的噪声对环境影响较小。</w:t>
            </w:r>
          </w:p>
          <w:p>
            <w:pPr>
              <w:spacing w:line="360" w:lineRule="auto"/>
              <w:ind w:firstLine="482" w:firstLineChars="200"/>
              <w:rPr>
                <w:b/>
                <w:sz w:val="24"/>
              </w:rPr>
            </w:pPr>
            <w:r>
              <w:rPr>
                <w:b/>
                <w:sz w:val="24"/>
              </w:rPr>
              <w:t>3、噪声影响预测</w:t>
            </w:r>
          </w:p>
          <w:p>
            <w:pPr>
              <w:spacing w:line="360" w:lineRule="auto"/>
              <w:ind w:firstLine="480" w:firstLineChars="200"/>
              <w:rPr>
                <w:sz w:val="24"/>
              </w:rPr>
            </w:pPr>
            <w:r>
              <w:rPr>
                <w:sz w:val="24"/>
              </w:rPr>
              <w:t>（1）固定声源预测模式</w:t>
            </w:r>
          </w:p>
          <w:p>
            <w:pPr>
              <w:spacing w:line="360" w:lineRule="auto"/>
              <w:ind w:firstLine="480" w:firstLineChars="200"/>
              <w:rPr>
                <w:sz w:val="24"/>
              </w:rPr>
            </w:pPr>
            <w:r>
              <w:rPr>
                <w:sz w:val="24"/>
              </w:rPr>
              <w:t>预测模式采用《环境影响评价技术导则 声环境》（HJ2.4-2021）附录A.1工业噪声预测计算模式。</w:t>
            </w:r>
          </w:p>
          <w:p>
            <w:pPr>
              <w:spacing w:line="360" w:lineRule="auto"/>
              <w:ind w:firstLine="480" w:firstLineChars="200"/>
              <w:rPr>
                <w:bCs/>
                <w:sz w:val="24"/>
              </w:rPr>
            </w:pPr>
            <w:r>
              <w:rPr>
                <w:bCs/>
                <w:sz w:val="24"/>
              </w:rPr>
              <w:t>如已知声源的倍频带声功率级（从63Hz到8KHz标称频带中心频率的8个倍频带），预测点位置的倍频带声压级可按公式计算：</w:t>
            </w:r>
          </w:p>
          <w:p>
            <w:pPr>
              <w:spacing w:line="360" w:lineRule="auto"/>
              <w:jc w:val="center"/>
              <w:rPr>
                <w:bCs/>
                <w:sz w:val="24"/>
              </w:rPr>
            </w:pPr>
            <w:r>
              <w:rPr>
                <w:bCs/>
                <w:sz w:val="24"/>
              </w:rPr>
              <w:t>L</w:t>
            </w:r>
            <w:r>
              <w:rPr>
                <w:bCs/>
                <w:sz w:val="24"/>
                <w:vertAlign w:val="subscript"/>
              </w:rPr>
              <w:t>P</w:t>
            </w:r>
            <w:r>
              <w:rPr>
                <w:bCs/>
                <w:sz w:val="24"/>
              </w:rPr>
              <w:t>（r）=Lw+Dc-（A</w:t>
            </w:r>
            <w:r>
              <w:rPr>
                <w:bCs/>
                <w:sz w:val="24"/>
                <w:vertAlign w:val="subscript"/>
              </w:rPr>
              <w:t>div</w:t>
            </w:r>
            <w:r>
              <w:rPr>
                <w:bCs/>
                <w:sz w:val="24"/>
              </w:rPr>
              <w:t>+A</w:t>
            </w:r>
            <w:r>
              <w:rPr>
                <w:bCs/>
                <w:sz w:val="24"/>
                <w:vertAlign w:val="subscript"/>
              </w:rPr>
              <w:t>atm</w:t>
            </w:r>
            <w:r>
              <w:rPr>
                <w:bCs/>
                <w:sz w:val="24"/>
              </w:rPr>
              <w:t>+A</w:t>
            </w:r>
            <w:r>
              <w:rPr>
                <w:bCs/>
                <w:sz w:val="24"/>
                <w:vertAlign w:val="subscript"/>
              </w:rPr>
              <w:t>gr</w:t>
            </w:r>
            <w:r>
              <w:rPr>
                <w:bCs/>
                <w:sz w:val="24"/>
              </w:rPr>
              <w:t>+A</w:t>
            </w:r>
            <w:r>
              <w:rPr>
                <w:bCs/>
                <w:sz w:val="24"/>
                <w:vertAlign w:val="subscript"/>
              </w:rPr>
              <w:t>bar</w:t>
            </w:r>
            <w:r>
              <w:rPr>
                <w:bCs/>
                <w:sz w:val="24"/>
              </w:rPr>
              <w:t>+A</w:t>
            </w:r>
            <w:r>
              <w:rPr>
                <w:bCs/>
                <w:sz w:val="24"/>
                <w:vertAlign w:val="subscript"/>
              </w:rPr>
              <w:t>misc</w:t>
            </w:r>
            <w:r>
              <w:rPr>
                <w:bCs/>
                <w:sz w:val="24"/>
              </w:rPr>
              <w:t>）</w:t>
            </w:r>
          </w:p>
          <w:p>
            <w:pPr>
              <w:spacing w:line="360" w:lineRule="auto"/>
              <w:ind w:firstLine="480" w:firstLineChars="200"/>
              <w:rPr>
                <w:bCs/>
                <w:sz w:val="24"/>
              </w:rPr>
            </w:pPr>
            <w:r>
              <w:rPr>
                <w:bCs/>
                <w:sz w:val="24"/>
              </w:rPr>
              <w:t>式中：L</w:t>
            </w:r>
            <w:r>
              <w:rPr>
                <w:bCs/>
                <w:sz w:val="24"/>
                <w:vertAlign w:val="subscript"/>
              </w:rPr>
              <w:t>P</w:t>
            </w:r>
            <w:r>
              <w:rPr>
                <w:bCs/>
                <w:sz w:val="24"/>
              </w:rPr>
              <w:t>（r）—预测点处声压级，dB；</w:t>
            </w:r>
          </w:p>
          <w:p>
            <w:pPr>
              <w:spacing w:line="360" w:lineRule="auto"/>
              <w:ind w:firstLine="1200" w:firstLineChars="500"/>
              <w:rPr>
                <w:bCs/>
                <w:sz w:val="24"/>
              </w:rPr>
            </w:pPr>
            <w:r>
              <w:rPr>
                <w:bCs/>
                <w:sz w:val="24"/>
              </w:rPr>
              <w:t>L</w:t>
            </w:r>
            <w:r>
              <w:rPr>
                <w:bCs/>
                <w:sz w:val="24"/>
                <w:vertAlign w:val="subscript"/>
              </w:rPr>
              <w:t>w</w:t>
            </w:r>
            <w:r>
              <w:rPr>
                <w:bCs/>
                <w:sz w:val="24"/>
              </w:rPr>
              <w:t>—声功率级（A计权或倍频带），dB；</w:t>
            </w:r>
          </w:p>
          <w:p>
            <w:pPr>
              <w:spacing w:line="360" w:lineRule="auto"/>
              <w:ind w:firstLine="1200" w:firstLineChars="500"/>
              <w:rPr>
                <w:bCs/>
                <w:sz w:val="24"/>
              </w:rPr>
            </w:pPr>
            <w:r>
              <w:rPr>
                <w:bCs/>
                <w:sz w:val="24"/>
              </w:rPr>
              <w:t>D</w:t>
            </w:r>
            <w:r>
              <w:rPr>
                <w:bCs/>
                <w:sz w:val="24"/>
                <w:vertAlign w:val="subscript"/>
              </w:rPr>
              <w:t>c</w:t>
            </w:r>
            <w:r>
              <w:rPr>
                <w:bCs/>
                <w:sz w:val="24"/>
              </w:rPr>
              <w:t>—指向性校正，dB；它描述点声源的等效连续声压级与产生声功率级在规定方向的声级的偏差程度；</w:t>
            </w:r>
          </w:p>
          <w:p>
            <w:pPr>
              <w:spacing w:line="360" w:lineRule="auto"/>
              <w:ind w:firstLine="1200" w:firstLineChars="500"/>
              <w:rPr>
                <w:bCs/>
                <w:sz w:val="24"/>
              </w:rPr>
            </w:pPr>
            <w:r>
              <w:rPr>
                <w:bCs/>
                <w:sz w:val="24"/>
              </w:rPr>
              <w:t>A</w:t>
            </w:r>
            <w:r>
              <w:rPr>
                <w:bCs/>
                <w:sz w:val="24"/>
                <w:vertAlign w:val="subscript"/>
              </w:rPr>
              <w:t>div</w:t>
            </w:r>
            <w:r>
              <w:rPr>
                <w:bCs/>
                <w:sz w:val="24"/>
              </w:rPr>
              <w:t>—几何发散引起的衰减，dB；</w:t>
            </w:r>
          </w:p>
          <w:p>
            <w:pPr>
              <w:spacing w:line="360" w:lineRule="auto"/>
              <w:ind w:firstLine="1200" w:firstLineChars="500"/>
              <w:rPr>
                <w:bCs/>
                <w:sz w:val="24"/>
              </w:rPr>
            </w:pPr>
            <w:r>
              <w:rPr>
                <w:bCs/>
                <w:sz w:val="24"/>
              </w:rPr>
              <w:t>A</w:t>
            </w:r>
            <w:r>
              <w:rPr>
                <w:bCs/>
                <w:sz w:val="24"/>
                <w:vertAlign w:val="subscript"/>
              </w:rPr>
              <w:t>atm</w:t>
            </w:r>
            <w:r>
              <w:rPr>
                <w:bCs/>
                <w:sz w:val="24"/>
              </w:rPr>
              <w:t>—大气吸收引起的衰减，dB；</w:t>
            </w:r>
          </w:p>
          <w:p>
            <w:pPr>
              <w:spacing w:line="360" w:lineRule="auto"/>
              <w:ind w:firstLine="1200" w:firstLineChars="500"/>
              <w:rPr>
                <w:bCs/>
                <w:sz w:val="24"/>
              </w:rPr>
            </w:pPr>
            <w:r>
              <w:rPr>
                <w:bCs/>
                <w:sz w:val="24"/>
              </w:rPr>
              <w:t>A</w:t>
            </w:r>
            <w:r>
              <w:rPr>
                <w:bCs/>
                <w:sz w:val="24"/>
                <w:vertAlign w:val="subscript"/>
              </w:rPr>
              <w:t>gr</w:t>
            </w:r>
            <w:r>
              <w:rPr>
                <w:bCs/>
                <w:sz w:val="24"/>
              </w:rPr>
              <w:t>—地面效应引起的衰减，dB；</w:t>
            </w:r>
          </w:p>
          <w:p>
            <w:pPr>
              <w:spacing w:line="360" w:lineRule="auto"/>
              <w:ind w:firstLine="1200" w:firstLineChars="500"/>
              <w:rPr>
                <w:bCs/>
                <w:sz w:val="24"/>
              </w:rPr>
            </w:pPr>
            <w:r>
              <w:rPr>
                <w:bCs/>
                <w:sz w:val="24"/>
              </w:rPr>
              <w:t>A</w:t>
            </w:r>
            <w:r>
              <w:rPr>
                <w:bCs/>
                <w:sz w:val="24"/>
                <w:vertAlign w:val="subscript"/>
              </w:rPr>
              <w:t>bar</w:t>
            </w:r>
            <w:r>
              <w:rPr>
                <w:bCs/>
                <w:sz w:val="24"/>
              </w:rPr>
              <w:t>—障碍物屏蔽引起的衰减，dB；</w:t>
            </w:r>
          </w:p>
          <w:p>
            <w:pPr>
              <w:spacing w:line="360" w:lineRule="auto"/>
              <w:ind w:firstLine="1200" w:firstLineChars="500"/>
              <w:rPr>
                <w:bCs/>
                <w:sz w:val="24"/>
              </w:rPr>
            </w:pPr>
            <w:r>
              <w:rPr>
                <w:bCs/>
                <w:sz w:val="24"/>
              </w:rPr>
              <w:t>A</w:t>
            </w:r>
            <w:r>
              <w:rPr>
                <w:bCs/>
                <w:sz w:val="24"/>
                <w:vertAlign w:val="subscript"/>
              </w:rPr>
              <w:t>misc</w:t>
            </w:r>
            <w:r>
              <w:rPr>
                <w:bCs/>
                <w:sz w:val="24"/>
              </w:rPr>
              <w:t>—其他多方面效应引起的衰减，dB。</w:t>
            </w:r>
          </w:p>
          <w:p>
            <w:pPr>
              <w:spacing w:line="360" w:lineRule="auto"/>
              <w:ind w:firstLine="480" w:firstLineChars="200"/>
              <w:rPr>
                <w:sz w:val="24"/>
              </w:rPr>
            </w:pPr>
            <w:r>
              <w:rPr>
                <w:sz w:val="24"/>
              </w:rPr>
              <w:t>本次噪声预测计算将从偏保守角度出发，仅考虑几何发散引起的衰减A</w:t>
            </w:r>
            <w:r>
              <w:rPr>
                <w:sz w:val="24"/>
                <w:vertAlign w:val="subscript"/>
              </w:rPr>
              <w:t>div</w:t>
            </w:r>
            <w:r>
              <w:rPr>
                <w:sz w:val="24"/>
              </w:rPr>
              <w:t>，对单个点声源的几何衰减用以下公式计算：</w:t>
            </w:r>
          </w:p>
          <w:p>
            <w:pPr>
              <w:spacing w:line="360" w:lineRule="auto"/>
              <w:jc w:val="center"/>
              <w:rPr>
                <w:sz w:val="24"/>
              </w:rPr>
            </w:pPr>
            <w:r>
              <w:rPr>
                <w:sz w:val="24"/>
              </w:rPr>
              <w:object>
                <v:shape id="_x0000_i1027" o:spt="75" type="#_x0000_t75" style="height:33.35pt;width:126.6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spacing w:line="360" w:lineRule="auto"/>
              <w:ind w:firstLine="480" w:firstLineChars="200"/>
              <w:rPr>
                <w:bCs/>
                <w:sz w:val="24"/>
              </w:rPr>
            </w:pPr>
            <w:r>
              <w:rPr>
                <w:sz w:val="24"/>
              </w:rPr>
              <w:t>式中：</w:t>
            </w:r>
            <w:r>
              <w:rPr>
                <w:bCs/>
                <w:sz w:val="24"/>
              </w:rPr>
              <w:t>L</w:t>
            </w:r>
            <w:r>
              <w:rPr>
                <w:bCs/>
                <w:sz w:val="24"/>
                <w:vertAlign w:val="subscript"/>
              </w:rPr>
              <w:t>P</w:t>
            </w:r>
            <w:r>
              <w:rPr>
                <w:bCs/>
                <w:sz w:val="24"/>
              </w:rPr>
              <w:t>（r）—预测点声压级，dB；</w:t>
            </w:r>
          </w:p>
          <w:p>
            <w:pPr>
              <w:spacing w:line="360" w:lineRule="auto"/>
              <w:ind w:firstLine="1200" w:firstLineChars="500"/>
              <w:rPr>
                <w:bCs/>
                <w:sz w:val="24"/>
              </w:rPr>
            </w:pPr>
            <w:r>
              <w:rPr>
                <w:bCs/>
                <w:sz w:val="24"/>
              </w:rPr>
              <w:t>L</w:t>
            </w:r>
            <w:r>
              <w:rPr>
                <w:bCs/>
                <w:sz w:val="24"/>
                <w:vertAlign w:val="subscript"/>
              </w:rPr>
              <w:t>P</w:t>
            </w:r>
            <w:r>
              <w:rPr>
                <w:bCs/>
                <w:sz w:val="24"/>
              </w:rPr>
              <w:t>（r</w:t>
            </w:r>
            <w:r>
              <w:rPr>
                <w:bCs/>
                <w:sz w:val="24"/>
                <w:vertAlign w:val="subscript"/>
              </w:rPr>
              <w:t>0</w:t>
            </w:r>
            <w:r>
              <w:rPr>
                <w:bCs/>
                <w:sz w:val="24"/>
              </w:rPr>
              <w:t>）—参考位置r</w:t>
            </w:r>
            <w:r>
              <w:rPr>
                <w:bCs/>
                <w:sz w:val="24"/>
                <w:vertAlign w:val="subscript"/>
              </w:rPr>
              <w:t>0</w:t>
            </w:r>
            <w:r>
              <w:rPr>
                <w:bCs/>
                <w:sz w:val="24"/>
              </w:rPr>
              <w:t>处的声压级，dB；</w:t>
            </w:r>
          </w:p>
          <w:p>
            <w:pPr>
              <w:spacing w:line="360" w:lineRule="auto"/>
              <w:ind w:firstLine="1200" w:firstLineChars="500"/>
              <w:rPr>
                <w:bCs/>
                <w:sz w:val="24"/>
              </w:rPr>
            </w:pPr>
            <w:r>
              <w:rPr>
                <w:sz w:val="24"/>
              </w:rPr>
              <w:t>r</w:t>
            </w:r>
            <w:r>
              <w:rPr>
                <w:bCs/>
                <w:sz w:val="24"/>
              </w:rPr>
              <w:t>—预测点距声源的距离；</w:t>
            </w:r>
          </w:p>
          <w:p>
            <w:pPr>
              <w:spacing w:line="360" w:lineRule="auto"/>
              <w:ind w:firstLine="1200" w:firstLineChars="500"/>
              <w:rPr>
                <w:sz w:val="24"/>
              </w:rPr>
            </w:pPr>
            <w:r>
              <w:rPr>
                <w:sz w:val="24"/>
              </w:rPr>
              <w:t>r</w:t>
            </w:r>
            <w:r>
              <w:rPr>
                <w:sz w:val="24"/>
                <w:vertAlign w:val="subscript"/>
              </w:rPr>
              <w:t>0</w:t>
            </w:r>
            <w:r>
              <w:rPr>
                <w:bCs/>
                <w:sz w:val="24"/>
              </w:rPr>
              <w:t>—</w:t>
            </w:r>
            <w:r>
              <w:rPr>
                <w:sz w:val="24"/>
              </w:rPr>
              <w:t>参考位置距声源的距离。</w:t>
            </w:r>
          </w:p>
          <w:p>
            <w:pPr>
              <w:spacing w:line="360" w:lineRule="auto"/>
              <w:ind w:firstLine="1200" w:firstLineChars="500"/>
              <w:rPr>
                <w:bCs/>
                <w:sz w:val="24"/>
              </w:rPr>
            </w:pPr>
            <w:r>
              <w:rPr>
                <w:sz w:val="24"/>
              </w:rPr>
              <w:t>上式中第二项表示了点声源的几何发散衰减，即</w:t>
            </w:r>
            <w:r>
              <w:rPr>
                <w:bCs/>
                <w:sz w:val="24"/>
              </w:rPr>
              <w:t>A</w:t>
            </w:r>
            <w:r>
              <w:rPr>
                <w:bCs/>
                <w:sz w:val="24"/>
                <w:vertAlign w:val="subscript"/>
              </w:rPr>
              <w:t>div</w:t>
            </w:r>
            <w:r>
              <w:rPr>
                <w:bCs/>
                <w:sz w:val="24"/>
              </w:rPr>
              <w:t>=20lg(r/r</w:t>
            </w:r>
            <w:r>
              <w:rPr>
                <w:bCs/>
                <w:sz w:val="24"/>
                <w:vertAlign w:val="subscript"/>
              </w:rPr>
              <w:t>0</w:t>
            </w:r>
            <w:r>
              <w:rPr>
                <w:bCs/>
                <w:sz w:val="24"/>
              </w:rPr>
              <w:t>)。</w:t>
            </w:r>
          </w:p>
          <w:p>
            <w:pPr>
              <w:spacing w:line="360" w:lineRule="auto"/>
              <w:ind w:firstLine="480" w:firstLineChars="200"/>
              <w:rPr>
                <w:sz w:val="24"/>
              </w:rPr>
            </w:pPr>
            <w:r>
              <w:rPr>
                <w:sz w:val="24"/>
              </w:rPr>
              <w:t>预测点贡献值按照最大影响考虑，即所有声源同时对预测点造成影响，多源叠加公式如下：</w:t>
            </w:r>
          </w:p>
          <w:p>
            <w:pPr>
              <w:spacing w:line="360" w:lineRule="auto"/>
              <w:jc w:val="center"/>
              <w:rPr>
                <w:bCs/>
                <w:sz w:val="24"/>
              </w:rPr>
            </w:pPr>
            <w:r>
              <w:rPr>
                <w:sz w:val="24"/>
              </w:rPr>
              <w:drawing>
                <wp:inline distT="0" distB="0" distL="0" distR="0">
                  <wp:extent cx="1407160" cy="4851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07160" cy="485140"/>
                          </a:xfrm>
                          <a:prstGeom prst="rect">
                            <a:avLst/>
                          </a:prstGeom>
                          <a:noFill/>
                          <a:ln>
                            <a:noFill/>
                          </a:ln>
                          <a:effectLst/>
                        </pic:spPr>
                      </pic:pic>
                    </a:graphicData>
                  </a:graphic>
                </wp:inline>
              </w:drawing>
            </w:r>
          </w:p>
          <w:p>
            <w:pPr>
              <w:spacing w:line="360" w:lineRule="auto"/>
              <w:ind w:firstLine="480" w:firstLineChars="200"/>
              <w:rPr>
                <w:bCs/>
                <w:sz w:val="24"/>
              </w:rPr>
            </w:pPr>
            <w:r>
              <w:rPr>
                <w:bCs/>
                <w:sz w:val="24"/>
              </w:rPr>
              <w:t>式中：L—总等声级，dB（A）；</w:t>
            </w:r>
          </w:p>
          <w:p>
            <w:pPr>
              <w:spacing w:line="360" w:lineRule="auto"/>
              <w:ind w:firstLine="1200" w:firstLineChars="500"/>
              <w:rPr>
                <w:bCs/>
                <w:sz w:val="24"/>
              </w:rPr>
            </w:pPr>
            <w:r>
              <w:rPr>
                <w:bCs/>
                <w:sz w:val="24"/>
              </w:rPr>
              <w:t>n—声源数量；</w:t>
            </w:r>
          </w:p>
          <w:p>
            <w:pPr>
              <w:spacing w:line="360" w:lineRule="auto"/>
              <w:ind w:firstLine="1200" w:firstLineChars="500"/>
              <w:rPr>
                <w:sz w:val="24"/>
              </w:rPr>
            </w:pPr>
            <w:r>
              <w:rPr>
                <w:bCs/>
                <w:sz w:val="24"/>
              </w:rPr>
              <w:t>L</w:t>
            </w:r>
            <w:r>
              <w:rPr>
                <w:bCs/>
                <w:sz w:val="24"/>
                <w:vertAlign w:val="subscript"/>
              </w:rPr>
              <w:t>i</w:t>
            </w:r>
            <w:r>
              <w:rPr>
                <w:bCs/>
                <w:sz w:val="24"/>
              </w:rPr>
              <w:t>—第i个声源对预测点的声压级，dB（A）。</w:t>
            </w:r>
          </w:p>
          <w:p>
            <w:pPr>
              <w:pStyle w:val="2"/>
              <w:spacing w:line="360" w:lineRule="auto"/>
              <w:ind w:firstLine="480"/>
              <w:rPr>
                <w:sz w:val="24"/>
              </w:rPr>
            </w:pPr>
            <w:r>
              <w:rPr>
                <w:sz w:val="24"/>
              </w:rPr>
              <w:t>（2）预测结果</w:t>
            </w:r>
          </w:p>
          <w:p>
            <w:pPr>
              <w:pStyle w:val="2"/>
              <w:spacing w:line="360" w:lineRule="auto"/>
              <w:ind w:firstLine="480"/>
              <w:rPr>
                <w:sz w:val="24"/>
              </w:rPr>
            </w:pPr>
            <w:r>
              <w:rPr>
                <w:sz w:val="24"/>
              </w:rPr>
              <w:t>运营期噪声预测值见表4-</w:t>
            </w:r>
            <w:r>
              <w:rPr>
                <w:rFonts w:hint="eastAsia"/>
                <w:sz w:val="24"/>
              </w:rPr>
              <w:t>6</w:t>
            </w:r>
            <w:r>
              <w:rPr>
                <w:sz w:val="24"/>
              </w:rPr>
              <w:t>。</w:t>
            </w:r>
          </w:p>
          <w:p>
            <w:pPr>
              <w:spacing w:line="360" w:lineRule="auto"/>
              <w:jc w:val="center"/>
              <w:rPr>
                <w:b/>
                <w:bCs/>
              </w:rPr>
            </w:pPr>
            <w:r>
              <w:rPr>
                <w:b/>
                <w:bCs/>
              </w:rPr>
              <w:t>表4-</w:t>
            </w:r>
            <w:r>
              <w:rPr>
                <w:rFonts w:hint="eastAsia"/>
                <w:b/>
                <w:bCs/>
              </w:rPr>
              <w:t>6</w:t>
            </w:r>
            <w:r>
              <w:rPr>
                <w:b/>
                <w:bCs/>
              </w:rPr>
              <w:t xml:space="preserve">  各厂界点噪声影响预测结果  单位：dB（A）</w:t>
            </w:r>
          </w:p>
          <w:tbl>
            <w:tblPr>
              <w:tblStyle w:val="22"/>
              <w:tblW w:w="782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04"/>
              <w:gridCol w:w="692"/>
              <w:gridCol w:w="692"/>
              <w:gridCol w:w="692"/>
              <w:gridCol w:w="692"/>
              <w:gridCol w:w="693"/>
              <w:gridCol w:w="692"/>
              <w:gridCol w:w="692"/>
              <w:gridCol w:w="692"/>
              <w:gridCol w:w="692"/>
              <w:gridCol w:w="6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78" w:type="pct"/>
                  <w:vMerge w:val="restart"/>
                  <w:vAlign w:val="center"/>
                </w:tcPr>
                <w:p>
                  <w:pPr>
                    <w:tabs>
                      <w:tab w:val="left" w:pos="360"/>
                    </w:tabs>
                    <w:jc w:val="center"/>
                    <w:rPr>
                      <w:szCs w:val="21"/>
                    </w:rPr>
                  </w:pPr>
                  <w:r>
                    <w:rPr>
                      <w:szCs w:val="21"/>
                    </w:rPr>
                    <w:t>预测</w:t>
                  </w:r>
                </w:p>
                <w:p>
                  <w:pPr>
                    <w:tabs>
                      <w:tab w:val="left" w:pos="360"/>
                    </w:tabs>
                    <w:jc w:val="center"/>
                    <w:rPr>
                      <w:szCs w:val="21"/>
                    </w:rPr>
                  </w:pPr>
                  <w:r>
                    <w:rPr>
                      <w:szCs w:val="21"/>
                    </w:rPr>
                    <w:t>位置</w:t>
                  </w:r>
                </w:p>
              </w:tc>
              <w:tc>
                <w:tcPr>
                  <w:tcW w:w="884" w:type="pct"/>
                  <w:gridSpan w:val="2"/>
                  <w:vAlign w:val="center"/>
                </w:tcPr>
                <w:p>
                  <w:pPr>
                    <w:jc w:val="center"/>
                    <w:rPr>
                      <w:szCs w:val="21"/>
                    </w:rPr>
                  </w:pPr>
                  <w:r>
                    <w:rPr>
                      <w:szCs w:val="21"/>
                    </w:rPr>
                    <w:t>现状值</w:t>
                  </w:r>
                </w:p>
              </w:tc>
              <w:tc>
                <w:tcPr>
                  <w:tcW w:w="884" w:type="pct"/>
                  <w:gridSpan w:val="2"/>
                  <w:vAlign w:val="center"/>
                </w:tcPr>
                <w:p>
                  <w:pPr>
                    <w:jc w:val="center"/>
                    <w:rPr>
                      <w:szCs w:val="21"/>
                    </w:rPr>
                  </w:pPr>
                  <w:r>
                    <w:rPr>
                      <w:szCs w:val="21"/>
                    </w:rPr>
                    <w:t>贡献值</w:t>
                  </w:r>
                </w:p>
              </w:tc>
              <w:tc>
                <w:tcPr>
                  <w:tcW w:w="885" w:type="pct"/>
                  <w:gridSpan w:val="2"/>
                  <w:vAlign w:val="center"/>
                </w:tcPr>
                <w:p>
                  <w:pPr>
                    <w:jc w:val="center"/>
                    <w:rPr>
                      <w:szCs w:val="21"/>
                    </w:rPr>
                  </w:pPr>
                  <w:r>
                    <w:rPr>
                      <w:szCs w:val="21"/>
                    </w:rPr>
                    <w:t>预测值</w:t>
                  </w:r>
                </w:p>
              </w:tc>
              <w:tc>
                <w:tcPr>
                  <w:tcW w:w="884" w:type="pct"/>
                  <w:gridSpan w:val="2"/>
                  <w:vAlign w:val="center"/>
                </w:tcPr>
                <w:p>
                  <w:pPr>
                    <w:jc w:val="center"/>
                    <w:rPr>
                      <w:szCs w:val="21"/>
                    </w:rPr>
                  </w:pPr>
                  <w:r>
                    <w:rPr>
                      <w:szCs w:val="21"/>
                    </w:rPr>
                    <w:t>标准值</w:t>
                  </w:r>
                </w:p>
              </w:tc>
              <w:tc>
                <w:tcPr>
                  <w:tcW w:w="885" w:type="pct"/>
                  <w:gridSpan w:val="2"/>
                  <w:vAlign w:val="center"/>
                </w:tcPr>
                <w:p>
                  <w:pPr>
                    <w:jc w:val="center"/>
                    <w:rPr>
                      <w:szCs w:val="21"/>
                    </w:rPr>
                  </w:pPr>
                  <w:r>
                    <w:rPr>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8" w:type="pct"/>
                  <w:vMerge w:val="continue"/>
                  <w:vAlign w:val="center"/>
                </w:tcPr>
                <w:p>
                  <w:pPr>
                    <w:tabs>
                      <w:tab w:val="left" w:pos="360"/>
                    </w:tabs>
                    <w:jc w:val="center"/>
                    <w:rPr>
                      <w:szCs w:val="21"/>
                    </w:rPr>
                  </w:pPr>
                </w:p>
              </w:tc>
              <w:tc>
                <w:tcPr>
                  <w:tcW w:w="442" w:type="pct"/>
                  <w:vAlign w:val="center"/>
                </w:tcPr>
                <w:p>
                  <w:pPr>
                    <w:jc w:val="center"/>
                    <w:rPr>
                      <w:szCs w:val="21"/>
                    </w:rPr>
                  </w:pPr>
                  <w:r>
                    <w:rPr>
                      <w:szCs w:val="21"/>
                    </w:rPr>
                    <w:t>昼间</w:t>
                  </w:r>
                </w:p>
              </w:tc>
              <w:tc>
                <w:tcPr>
                  <w:tcW w:w="442" w:type="pct"/>
                  <w:vAlign w:val="center"/>
                </w:tcPr>
                <w:p>
                  <w:pPr>
                    <w:jc w:val="center"/>
                    <w:rPr>
                      <w:szCs w:val="21"/>
                    </w:rPr>
                  </w:pPr>
                  <w:r>
                    <w:rPr>
                      <w:szCs w:val="21"/>
                    </w:rPr>
                    <w:t>夜间</w:t>
                  </w:r>
                </w:p>
              </w:tc>
              <w:tc>
                <w:tcPr>
                  <w:tcW w:w="442" w:type="pct"/>
                  <w:vAlign w:val="center"/>
                </w:tcPr>
                <w:p>
                  <w:pPr>
                    <w:jc w:val="center"/>
                    <w:rPr>
                      <w:szCs w:val="21"/>
                    </w:rPr>
                  </w:pPr>
                  <w:r>
                    <w:rPr>
                      <w:szCs w:val="21"/>
                    </w:rPr>
                    <w:t>昼间</w:t>
                  </w:r>
                </w:p>
              </w:tc>
              <w:tc>
                <w:tcPr>
                  <w:tcW w:w="442" w:type="pct"/>
                  <w:vAlign w:val="center"/>
                </w:tcPr>
                <w:p>
                  <w:pPr>
                    <w:jc w:val="center"/>
                    <w:rPr>
                      <w:szCs w:val="21"/>
                    </w:rPr>
                  </w:pPr>
                  <w:r>
                    <w:rPr>
                      <w:szCs w:val="21"/>
                    </w:rPr>
                    <w:t>夜间</w:t>
                  </w:r>
                </w:p>
              </w:tc>
              <w:tc>
                <w:tcPr>
                  <w:tcW w:w="443" w:type="pct"/>
                  <w:vAlign w:val="center"/>
                </w:tcPr>
                <w:p>
                  <w:pPr>
                    <w:jc w:val="center"/>
                    <w:rPr>
                      <w:szCs w:val="21"/>
                    </w:rPr>
                  </w:pPr>
                  <w:r>
                    <w:rPr>
                      <w:szCs w:val="21"/>
                    </w:rPr>
                    <w:t>昼间</w:t>
                  </w:r>
                </w:p>
              </w:tc>
              <w:tc>
                <w:tcPr>
                  <w:tcW w:w="442" w:type="pct"/>
                  <w:vAlign w:val="center"/>
                </w:tcPr>
                <w:p>
                  <w:pPr>
                    <w:jc w:val="center"/>
                    <w:rPr>
                      <w:szCs w:val="21"/>
                    </w:rPr>
                  </w:pPr>
                  <w:r>
                    <w:rPr>
                      <w:szCs w:val="21"/>
                    </w:rPr>
                    <w:t>夜间</w:t>
                  </w:r>
                </w:p>
              </w:tc>
              <w:tc>
                <w:tcPr>
                  <w:tcW w:w="442" w:type="pct"/>
                  <w:vAlign w:val="center"/>
                </w:tcPr>
                <w:p>
                  <w:pPr>
                    <w:jc w:val="center"/>
                    <w:rPr>
                      <w:szCs w:val="21"/>
                    </w:rPr>
                  </w:pPr>
                  <w:r>
                    <w:rPr>
                      <w:szCs w:val="21"/>
                    </w:rPr>
                    <w:t>昼间</w:t>
                  </w:r>
                </w:p>
              </w:tc>
              <w:tc>
                <w:tcPr>
                  <w:tcW w:w="442" w:type="pct"/>
                  <w:vAlign w:val="center"/>
                </w:tcPr>
                <w:p>
                  <w:pPr>
                    <w:jc w:val="center"/>
                    <w:rPr>
                      <w:szCs w:val="21"/>
                    </w:rPr>
                  </w:pPr>
                  <w:r>
                    <w:rPr>
                      <w:szCs w:val="21"/>
                    </w:rPr>
                    <w:t>夜间</w:t>
                  </w:r>
                </w:p>
              </w:tc>
              <w:tc>
                <w:tcPr>
                  <w:tcW w:w="442" w:type="pct"/>
                  <w:vAlign w:val="center"/>
                </w:tcPr>
                <w:p>
                  <w:pPr>
                    <w:jc w:val="center"/>
                    <w:rPr>
                      <w:szCs w:val="21"/>
                    </w:rPr>
                  </w:pPr>
                  <w:r>
                    <w:rPr>
                      <w:szCs w:val="21"/>
                    </w:rPr>
                    <w:t>昼间</w:t>
                  </w:r>
                </w:p>
              </w:tc>
              <w:tc>
                <w:tcPr>
                  <w:tcW w:w="443" w:type="pct"/>
                  <w:vAlign w:val="center"/>
                </w:tcPr>
                <w:p>
                  <w:pPr>
                    <w:jc w:val="center"/>
                    <w:rPr>
                      <w:szCs w:val="21"/>
                    </w:rPr>
                  </w:pPr>
                  <w:r>
                    <w:rPr>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78" w:type="pct"/>
                  <w:vAlign w:val="center"/>
                </w:tcPr>
                <w:p>
                  <w:pPr>
                    <w:tabs>
                      <w:tab w:val="left" w:pos="360"/>
                    </w:tabs>
                    <w:jc w:val="center"/>
                    <w:rPr>
                      <w:szCs w:val="21"/>
                    </w:rPr>
                  </w:pPr>
                  <w:r>
                    <w:rPr>
                      <w:szCs w:val="21"/>
                    </w:rPr>
                    <w:t>厂界</w:t>
                  </w:r>
                </w:p>
                <w:p>
                  <w:pPr>
                    <w:tabs>
                      <w:tab w:val="left" w:pos="360"/>
                    </w:tabs>
                    <w:jc w:val="center"/>
                    <w:rPr>
                      <w:szCs w:val="21"/>
                    </w:rPr>
                  </w:pPr>
                  <w:r>
                    <w:rPr>
                      <w:szCs w:val="21"/>
                    </w:rPr>
                    <w:t>东侧</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21</w:t>
                  </w:r>
                </w:p>
              </w:tc>
              <w:tc>
                <w:tcPr>
                  <w:tcW w:w="442" w:type="pct"/>
                  <w:vAlign w:val="center"/>
                </w:tcPr>
                <w:p>
                  <w:pPr>
                    <w:jc w:val="center"/>
                    <w:rPr>
                      <w:szCs w:val="21"/>
                    </w:rPr>
                  </w:pPr>
                  <w:r>
                    <w:rPr>
                      <w:szCs w:val="21"/>
                    </w:rPr>
                    <w:t>21</w:t>
                  </w:r>
                </w:p>
              </w:tc>
              <w:tc>
                <w:tcPr>
                  <w:tcW w:w="443" w:type="pct"/>
                  <w:vAlign w:val="center"/>
                </w:tcPr>
                <w:p>
                  <w:pPr>
                    <w:jc w:val="center"/>
                    <w:rPr>
                      <w:szCs w:val="21"/>
                    </w:rPr>
                  </w:pPr>
                  <w:r>
                    <w:rPr>
                      <w:szCs w:val="21"/>
                    </w:rPr>
                    <w:t>21</w:t>
                  </w:r>
                </w:p>
              </w:tc>
              <w:tc>
                <w:tcPr>
                  <w:tcW w:w="442" w:type="pct"/>
                  <w:vAlign w:val="center"/>
                </w:tcPr>
                <w:p>
                  <w:pPr>
                    <w:jc w:val="center"/>
                    <w:rPr>
                      <w:szCs w:val="21"/>
                    </w:rPr>
                  </w:pPr>
                  <w:r>
                    <w:rPr>
                      <w:szCs w:val="21"/>
                    </w:rPr>
                    <w:t>21</w:t>
                  </w:r>
                </w:p>
              </w:tc>
              <w:tc>
                <w:tcPr>
                  <w:tcW w:w="442" w:type="pct"/>
                  <w:vAlign w:val="center"/>
                </w:tcPr>
                <w:p>
                  <w:pPr>
                    <w:jc w:val="center"/>
                    <w:rPr>
                      <w:szCs w:val="21"/>
                    </w:rPr>
                  </w:pPr>
                  <w:r>
                    <w:rPr>
                      <w:szCs w:val="21"/>
                    </w:rPr>
                    <w:t>60</w:t>
                  </w:r>
                </w:p>
              </w:tc>
              <w:tc>
                <w:tcPr>
                  <w:tcW w:w="442" w:type="pct"/>
                  <w:vAlign w:val="center"/>
                </w:tcPr>
                <w:p>
                  <w:pPr>
                    <w:jc w:val="center"/>
                    <w:rPr>
                      <w:szCs w:val="21"/>
                    </w:rPr>
                  </w:pPr>
                  <w:r>
                    <w:rPr>
                      <w:szCs w:val="21"/>
                    </w:rPr>
                    <w:t>50</w:t>
                  </w:r>
                </w:p>
              </w:tc>
              <w:tc>
                <w:tcPr>
                  <w:tcW w:w="442" w:type="pct"/>
                  <w:vAlign w:val="center"/>
                </w:tcPr>
                <w:p>
                  <w:pPr>
                    <w:jc w:val="center"/>
                    <w:rPr>
                      <w:szCs w:val="21"/>
                    </w:rPr>
                  </w:pPr>
                  <w:r>
                    <w:rPr>
                      <w:szCs w:val="21"/>
                    </w:rPr>
                    <w:t>达标</w:t>
                  </w:r>
                </w:p>
              </w:tc>
              <w:tc>
                <w:tcPr>
                  <w:tcW w:w="443" w:type="pct"/>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78" w:type="pct"/>
                  <w:vAlign w:val="center"/>
                </w:tcPr>
                <w:p>
                  <w:pPr>
                    <w:tabs>
                      <w:tab w:val="left" w:pos="360"/>
                    </w:tabs>
                    <w:jc w:val="center"/>
                    <w:rPr>
                      <w:szCs w:val="21"/>
                    </w:rPr>
                  </w:pPr>
                  <w:r>
                    <w:rPr>
                      <w:szCs w:val="21"/>
                    </w:rPr>
                    <w:t>厂界</w:t>
                  </w:r>
                </w:p>
                <w:p>
                  <w:pPr>
                    <w:tabs>
                      <w:tab w:val="left" w:pos="360"/>
                    </w:tabs>
                    <w:jc w:val="center"/>
                    <w:rPr>
                      <w:szCs w:val="21"/>
                    </w:rPr>
                  </w:pPr>
                  <w:r>
                    <w:rPr>
                      <w:szCs w:val="21"/>
                    </w:rPr>
                    <w:t>南侧</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43</w:t>
                  </w:r>
                </w:p>
              </w:tc>
              <w:tc>
                <w:tcPr>
                  <w:tcW w:w="442" w:type="pct"/>
                  <w:vAlign w:val="center"/>
                </w:tcPr>
                <w:p>
                  <w:pPr>
                    <w:jc w:val="center"/>
                    <w:rPr>
                      <w:szCs w:val="21"/>
                    </w:rPr>
                  </w:pPr>
                  <w:r>
                    <w:rPr>
                      <w:szCs w:val="21"/>
                    </w:rPr>
                    <w:t>43</w:t>
                  </w:r>
                </w:p>
              </w:tc>
              <w:tc>
                <w:tcPr>
                  <w:tcW w:w="443" w:type="pct"/>
                  <w:vAlign w:val="center"/>
                </w:tcPr>
                <w:p>
                  <w:pPr>
                    <w:jc w:val="center"/>
                    <w:rPr>
                      <w:szCs w:val="21"/>
                    </w:rPr>
                  </w:pPr>
                  <w:r>
                    <w:rPr>
                      <w:szCs w:val="21"/>
                    </w:rPr>
                    <w:t>43</w:t>
                  </w:r>
                </w:p>
              </w:tc>
              <w:tc>
                <w:tcPr>
                  <w:tcW w:w="442" w:type="pct"/>
                  <w:vAlign w:val="center"/>
                </w:tcPr>
                <w:p>
                  <w:pPr>
                    <w:jc w:val="center"/>
                    <w:rPr>
                      <w:szCs w:val="21"/>
                    </w:rPr>
                  </w:pPr>
                  <w:r>
                    <w:rPr>
                      <w:szCs w:val="21"/>
                    </w:rPr>
                    <w:t>43</w:t>
                  </w:r>
                </w:p>
              </w:tc>
              <w:tc>
                <w:tcPr>
                  <w:tcW w:w="442" w:type="pct"/>
                  <w:vAlign w:val="center"/>
                </w:tcPr>
                <w:p>
                  <w:pPr>
                    <w:jc w:val="center"/>
                    <w:rPr>
                      <w:szCs w:val="21"/>
                    </w:rPr>
                  </w:pPr>
                  <w:r>
                    <w:rPr>
                      <w:szCs w:val="21"/>
                    </w:rPr>
                    <w:t>60</w:t>
                  </w:r>
                </w:p>
              </w:tc>
              <w:tc>
                <w:tcPr>
                  <w:tcW w:w="442" w:type="pct"/>
                  <w:vAlign w:val="center"/>
                </w:tcPr>
                <w:p>
                  <w:pPr>
                    <w:jc w:val="center"/>
                    <w:rPr>
                      <w:szCs w:val="21"/>
                    </w:rPr>
                  </w:pPr>
                  <w:r>
                    <w:rPr>
                      <w:szCs w:val="21"/>
                    </w:rPr>
                    <w:t>50</w:t>
                  </w:r>
                </w:p>
              </w:tc>
              <w:tc>
                <w:tcPr>
                  <w:tcW w:w="442" w:type="pct"/>
                  <w:vAlign w:val="center"/>
                </w:tcPr>
                <w:p>
                  <w:pPr>
                    <w:jc w:val="center"/>
                    <w:rPr>
                      <w:szCs w:val="21"/>
                    </w:rPr>
                  </w:pPr>
                  <w:r>
                    <w:rPr>
                      <w:szCs w:val="21"/>
                    </w:rPr>
                    <w:t>达标</w:t>
                  </w:r>
                </w:p>
              </w:tc>
              <w:tc>
                <w:tcPr>
                  <w:tcW w:w="443" w:type="pct"/>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78" w:type="pct"/>
                  <w:vAlign w:val="center"/>
                </w:tcPr>
                <w:p>
                  <w:pPr>
                    <w:tabs>
                      <w:tab w:val="left" w:pos="360"/>
                    </w:tabs>
                    <w:jc w:val="center"/>
                    <w:rPr>
                      <w:szCs w:val="21"/>
                    </w:rPr>
                  </w:pPr>
                  <w:r>
                    <w:rPr>
                      <w:szCs w:val="21"/>
                    </w:rPr>
                    <w:t>厂界</w:t>
                  </w:r>
                </w:p>
                <w:p>
                  <w:pPr>
                    <w:tabs>
                      <w:tab w:val="left" w:pos="360"/>
                    </w:tabs>
                    <w:jc w:val="center"/>
                    <w:rPr>
                      <w:szCs w:val="21"/>
                    </w:rPr>
                  </w:pPr>
                  <w:r>
                    <w:rPr>
                      <w:szCs w:val="21"/>
                    </w:rPr>
                    <w:t>西侧</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38</w:t>
                  </w:r>
                </w:p>
              </w:tc>
              <w:tc>
                <w:tcPr>
                  <w:tcW w:w="442" w:type="pct"/>
                  <w:vAlign w:val="center"/>
                </w:tcPr>
                <w:p>
                  <w:pPr>
                    <w:jc w:val="center"/>
                    <w:rPr>
                      <w:szCs w:val="21"/>
                    </w:rPr>
                  </w:pPr>
                  <w:r>
                    <w:rPr>
                      <w:szCs w:val="21"/>
                    </w:rPr>
                    <w:t>38</w:t>
                  </w:r>
                </w:p>
              </w:tc>
              <w:tc>
                <w:tcPr>
                  <w:tcW w:w="443" w:type="pct"/>
                  <w:vAlign w:val="center"/>
                </w:tcPr>
                <w:p>
                  <w:pPr>
                    <w:jc w:val="center"/>
                    <w:rPr>
                      <w:szCs w:val="21"/>
                    </w:rPr>
                  </w:pPr>
                  <w:r>
                    <w:rPr>
                      <w:szCs w:val="21"/>
                    </w:rPr>
                    <w:t>38</w:t>
                  </w:r>
                </w:p>
              </w:tc>
              <w:tc>
                <w:tcPr>
                  <w:tcW w:w="442" w:type="pct"/>
                  <w:vAlign w:val="center"/>
                </w:tcPr>
                <w:p>
                  <w:pPr>
                    <w:jc w:val="center"/>
                    <w:rPr>
                      <w:szCs w:val="21"/>
                    </w:rPr>
                  </w:pPr>
                  <w:r>
                    <w:rPr>
                      <w:szCs w:val="21"/>
                    </w:rPr>
                    <w:t>38</w:t>
                  </w:r>
                </w:p>
              </w:tc>
              <w:tc>
                <w:tcPr>
                  <w:tcW w:w="442" w:type="pct"/>
                  <w:vAlign w:val="center"/>
                </w:tcPr>
                <w:p>
                  <w:pPr>
                    <w:jc w:val="center"/>
                    <w:rPr>
                      <w:szCs w:val="21"/>
                    </w:rPr>
                  </w:pPr>
                  <w:r>
                    <w:rPr>
                      <w:szCs w:val="21"/>
                    </w:rPr>
                    <w:t>60</w:t>
                  </w:r>
                </w:p>
              </w:tc>
              <w:tc>
                <w:tcPr>
                  <w:tcW w:w="442" w:type="pct"/>
                  <w:vAlign w:val="center"/>
                </w:tcPr>
                <w:p>
                  <w:pPr>
                    <w:jc w:val="center"/>
                    <w:rPr>
                      <w:szCs w:val="21"/>
                    </w:rPr>
                  </w:pPr>
                  <w:r>
                    <w:rPr>
                      <w:szCs w:val="21"/>
                    </w:rPr>
                    <w:t>50</w:t>
                  </w:r>
                </w:p>
              </w:tc>
              <w:tc>
                <w:tcPr>
                  <w:tcW w:w="442" w:type="pct"/>
                  <w:vAlign w:val="center"/>
                </w:tcPr>
                <w:p>
                  <w:pPr>
                    <w:jc w:val="center"/>
                    <w:rPr>
                      <w:szCs w:val="21"/>
                    </w:rPr>
                  </w:pPr>
                  <w:r>
                    <w:rPr>
                      <w:szCs w:val="21"/>
                    </w:rPr>
                    <w:t>达标</w:t>
                  </w:r>
                </w:p>
              </w:tc>
              <w:tc>
                <w:tcPr>
                  <w:tcW w:w="443" w:type="pct"/>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578" w:type="pct"/>
                  <w:vAlign w:val="center"/>
                </w:tcPr>
                <w:p>
                  <w:pPr>
                    <w:tabs>
                      <w:tab w:val="left" w:pos="360"/>
                    </w:tabs>
                    <w:jc w:val="center"/>
                    <w:rPr>
                      <w:szCs w:val="21"/>
                    </w:rPr>
                  </w:pPr>
                  <w:r>
                    <w:rPr>
                      <w:szCs w:val="21"/>
                    </w:rPr>
                    <w:t>厂界</w:t>
                  </w:r>
                </w:p>
                <w:p>
                  <w:pPr>
                    <w:tabs>
                      <w:tab w:val="left" w:pos="360"/>
                    </w:tabs>
                    <w:jc w:val="center"/>
                    <w:rPr>
                      <w:szCs w:val="21"/>
                    </w:rPr>
                  </w:pPr>
                  <w:r>
                    <w:rPr>
                      <w:szCs w:val="21"/>
                    </w:rPr>
                    <w:t>北侧</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w:t>
                  </w:r>
                </w:p>
              </w:tc>
              <w:tc>
                <w:tcPr>
                  <w:tcW w:w="442" w:type="pct"/>
                  <w:vAlign w:val="center"/>
                </w:tcPr>
                <w:p>
                  <w:pPr>
                    <w:jc w:val="center"/>
                    <w:rPr>
                      <w:szCs w:val="21"/>
                    </w:rPr>
                  </w:pPr>
                  <w:r>
                    <w:rPr>
                      <w:szCs w:val="21"/>
                    </w:rPr>
                    <w:t>19</w:t>
                  </w:r>
                </w:p>
              </w:tc>
              <w:tc>
                <w:tcPr>
                  <w:tcW w:w="442" w:type="pct"/>
                  <w:vAlign w:val="center"/>
                </w:tcPr>
                <w:p>
                  <w:pPr>
                    <w:jc w:val="center"/>
                    <w:rPr>
                      <w:szCs w:val="21"/>
                    </w:rPr>
                  </w:pPr>
                  <w:r>
                    <w:rPr>
                      <w:szCs w:val="21"/>
                    </w:rPr>
                    <w:t>19</w:t>
                  </w:r>
                </w:p>
              </w:tc>
              <w:tc>
                <w:tcPr>
                  <w:tcW w:w="443" w:type="pct"/>
                  <w:vAlign w:val="center"/>
                </w:tcPr>
                <w:p>
                  <w:pPr>
                    <w:jc w:val="center"/>
                    <w:rPr>
                      <w:szCs w:val="21"/>
                    </w:rPr>
                  </w:pPr>
                  <w:r>
                    <w:rPr>
                      <w:szCs w:val="21"/>
                    </w:rPr>
                    <w:t>19</w:t>
                  </w:r>
                </w:p>
              </w:tc>
              <w:tc>
                <w:tcPr>
                  <w:tcW w:w="442" w:type="pct"/>
                  <w:vAlign w:val="center"/>
                </w:tcPr>
                <w:p>
                  <w:pPr>
                    <w:jc w:val="center"/>
                    <w:rPr>
                      <w:szCs w:val="21"/>
                    </w:rPr>
                  </w:pPr>
                  <w:r>
                    <w:rPr>
                      <w:szCs w:val="21"/>
                    </w:rPr>
                    <w:t>19</w:t>
                  </w:r>
                </w:p>
              </w:tc>
              <w:tc>
                <w:tcPr>
                  <w:tcW w:w="442" w:type="pct"/>
                  <w:vAlign w:val="center"/>
                </w:tcPr>
                <w:p>
                  <w:pPr>
                    <w:jc w:val="center"/>
                    <w:rPr>
                      <w:szCs w:val="21"/>
                    </w:rPr>
                  </w:pPr>
                  <w:r>
                    <w:rPr>
                      <w:szCs w:val="21"/>
                    </w:rPr>
                    <w:t>60</w:t>
                  </w:r>
                </w:p>
              </w:tc>
              <w:tc>
                <w:tcPr>
                  <w:tcW w:w="442" w:type="pct"/>
                  <w:vAlign w:val="center"/>
                </w:tcPr>
                <w:p>
                  <w:pPr>
                    <w:jc w:val="center"/>
                    <w:rPr>
                      <w:szCs w:val="21"/>
                    </w:rPr>
                  </w:pPr>
                  <w:r>
                    <w:rPr>
                      <w:szCs w:val="21"/>
                    </w:rPr>
                    <w:t>50</w:t>
                  </w:r>
                </w:p>
              </w:tc>
              <w:tc>
                <w:tcPr>
                  <w:tcW w:w="442" w:type="pct"/>
                  <w:vAlign w:val="center"/>
                </w:tcPr>
                <w:p>
                  <w:pPr>
                    <w:jc w:val="center"/>
                    <w:rPr>
                      <w:szCs w:val="21"/>
                    </w:rPr>
                  </w:pPr>
                  <w:r>
                    <w:rPr>
                      <w:szCs w:val="21"/>
                    </w:rPr>
                    <w:t>达标</w:t>
                  </w:r>
                </w:p>
              </w:tc>
              <w:tc>
                <w:tcPr>
                  <w:tcW w:w="443" w:type="pct"/>
                  <w:vAlign w:val="center"/>
                </w:tcPr>
                <w:p>
                  <w:pPr>
                    <w:jc w:val="center"/>
                    <w:rPr>
                      <w:szCs w:val="21"/>
                    </w:rPr>
                  </w:pPr>
                  <w:r>
                    <w:rPr>
                      <w:szCs w:val="21"/>
                    </w:rPr>
                    <w:t>达标</w:t>
                  </w:r>
                </w:p>
              </w:tc>
            </w:tr>
          </w:tbl>
          <w:p>
            <w:pPr>
              <w:spacing w:line="360" w:lineRule="auto"/>
              <w:ind w:firstLine="480" w:firstLineChars="200"/>
              <w:rPr>
                <w:sz w:val="24"/>
              </w:rPr>
            </w:pPr>
            <w:r>
              <w:rPr>
                <w:sz w:val="24"/>
              </w:rPr>
              <w:t>预测结果表明，本项目建成后，四周厂界处昼间噪声预测值为19～43dB(A)，夜间噪声预测值为19～43dB(A)，均满足《工业企业厂界环境噪声排放标准》（GB12348-2008）中2类标准限值要求。</w:t>
            </w:r>
          </w:p>
          <w:p>
            <w:pPr>
              <w:spacing w:line="360" w:lineRule="auto"/>
              <w:ind w:firstLine="482" w:firstLineChars="200"/>
              <w:rPr>
                <w:b/>
                <w:sz w:val="24"/>
              </w:rPr>
            </w:pPr>
            <w:r>
              <w:rPr>
                <w:b/>
                <w:sz w:val="24"/>
              </w:rPr>
              <w:t>四、固体废物影响分析</w:t>
            </w:r>
          </w:p>
          <w:p>
            <w:pPr>
              <w:spacing w:line="360" w:lineRule="auto"/>
              <w:ind w:firstLine="482" w:firstLineChars="200"/>
              <w:rPr>
                <w:b/>
                <w:bCs/>
                <w:sz w:val="24"/>
              </w:rPr>
            </w:pPr>
            <w:r>
              <w:rPr>
                <w:b/>
                <w:bCs/>
                <w:sz w:val="24"/>
              </w:rPr>
              <w:t>1、固体废物产生及利用处置情况</w:t>
            </w:r>
          </w:p>
          <w:p>
            <w:pPr>
              <w:spacing w:line="360" w:lineRule="auto"/>
              <w:ind w:firstLine="480" w:firstLineChars="200"/>
              <w:rPr>
                <w:sz w:val="24"/>
              </w:rPr>
            </w:pPr>
            <w:r>
              <w:rPr>
                <w:sz w:val="24"/>
              </w:rPr>
              <w:t>项目运营期固体废物主要为边角料、不合格品、废包装袋、废润滑油、废油桶、生活垃圾。固体废物产生情况及利用处置情况见表4-</w:t>
            </w:r>
            <w:r>
              <w:rPr>
                <w:rFonts w:hint="eastAsia"/>
                <w:sz w:val="24"/>
              </w:rPr>
              <w:t>7</w:t>
            </w:r>
            <w:r>
              <w:rPr>
                <w:sz w:val="24"/>
              </w:rPr>
              <w:t>。</w:t>
            </w:r>
          </w:p>
          <w:p>
            <w:pPr>
              <w:widowControl/>
              <w:spacing w:line="360" w:lineRule="auto"/>
              <w:jc w:val="center"/>
              <w:rPr>
                <w:b/>
                <w:bCs/>
              </w:rPr>
            </w:pPr>
            <w:r>
              <w:rPr>
                <w:b/>
                <w:bCs/>
              </w:rPr>
              <w:t>表4-</w:t>
            </w:r>
            <w:r>
              <w:rPr>
                <w:rFonts w:hint="eastAsia"/>
                <w:b/>
                <w:bCs/>
              </w:rPr>
              <w:t>7</w:t>
            </w:r>
            <w:r>
              <w:rPr>
                <w:b/>
                <w:bCs/>
              </w:rPr>
              <w:t xml:space="preserve">  固体废物产生情况及利用处置情况表</w:t>
            </w:r>
          </w:p>
          <w:tbl>
            <w:tblPr>
              <w:tblStyle w:val="7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7"/>
              <w:gridCol w:w="807"/>
              <w:gridCol w:w="897"/>
              <w:gridCol w:w="1240"/>
              <w:gridCol w:w="834"/>
              <w:gridCol w:w="793"/>
              <w:gridCol w:w="863"/>
              <w:gridCol w:w="1292"/>
              <w:gridCol w:w="5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1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主要生产单元</w:t>
                  </w:r>
                </w:p>
              </w:tc>
              <w:tc>
                <w:tcPr>
                  <w:tcW w:w="80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名称</w:t>
                  </w:r>
                </w:p>
              </w:tc>
              <w:tc>
                <w:tcPr>
                  <w:tcW w:w="89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属性</w:t>
                  </w: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代码</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产生量</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（t/a）</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综合利用量（t/a）</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处置量（t/a）</w:t>
                  </w:r>
                </w:p>
              </w:tc>
              <w:tc>
                <w:tcPr>
                  <w:tcW w:w="1292"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综合利用或处置方式</w:t>
                  </w:r>
                </w:p>
              </w:tc>
              <w:tc>
                <w:tcPr>
                  <w:tcW w:w="54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产废周期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517" w:type="dxa"/>
                  <w:vMerge w:val="restart"/>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设备维修</w:t>
                  </w:r>
                </w:p>
              </w:tc>
              <w:tc>
                <w:tcPr>
                  <w:tcW w:w="80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废润滑油</w:t>
                  </w:r>
                </w:p>
              </w:tc>
              <w:tc>
                <w:tcPr>
                  <w:tcW w:w="897" w:type="dxa"/>
                  <w:vMerge w:val="restart"/>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危险废物</w:t>
                  </w: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900-217-08</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0.02</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0.02</w:t>
                  </w:r>
                </w:p>
              </w:tc>
              <w:tc>
                <w:tcPr>
                  <w:tcW w:w="1292" w:type="dxa"/>
                  <w:vMerge w:val="restart"/>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暂存于危废贮存库，定期交由有资质的单位处置</w:t>
                  </w:r>
                </w:p>
              </w:tc>
              <w:tc>
                <w:tcPr>
                  <w:tcW w:w="544" w:type="dxa"/>
                  <w:vMerge w:val="restart"/>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三月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517" w:type="dxa"/>
                  <w:vMerge w:val="continue"/>
                  <w:vAlign w:val="center"/>
                </w:tcPr>
                <w:p>
                  <w:pPr>
                    <w:autoSpaceDE w:val="0"/>
                    <w:autoSpaceDN w:val="0"/>
                    <w:spacing w:line="280" w:lineRule="exact"/>
                    <w:jc w:val="center"/>
                    <w:rPr>
                      <w:rFonts w:ascii="Times New Roman" w:hAnsi="Times New Roman" w:cs="Times New Roman" w:eastAsiaTheme="minorEastAsia"/>
                      <w:lang w:eastAsia="en-US"/>
                    </w:rPr>
                  </w:pPr>
                </w:p>
              </w:tc>
              <w:tc>
                <w:tcPr>
                  <w:tcW w:w="80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废油桶</w:t>
                  </w:r>
                </w:p>
              </w:tc>
              <w:tc>
                <w:tcPr>
                  <w:tcW w:w="897" w:type="dxa"/>
                  <w:vMerge w:val="continue"/>
                  <w:vAlign w:val="center"/>
                </w:tcPr>
                <w:p>
                  <w:pPr>
                    <w:autoSpaceDE/>
                    <w:autoSpaceDN/>
                    <w:spacing w:line="280" w:lineRule="exact"/>
                    <w:jc w:val="center"/>
                    <w:rPr>
                      <w:rFonts w:ascii="Times New Roman" w:hAnsi="Times New Roman" w:cs="Times New Roman" w:eastAsiaTheme="minorEastAsia"/>
                      <w:lang w:eastAsia="en-US"/>
                    </w:rPr>
                  </w:pP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900-041-49</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0.001</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0.001</w:t>
                  </w:r>
                </w:p>
              </w:tc>
              <w:tc>
                <w:tcPr>
                  <w:tcW w:w="1292" w:type="dxa"/>
                  <w:vMerge w:val="continue"/>
                  <w:vAlign w:val="center"/>
                </w:tcPr>
                <w:p>
                  <w:pPr>
                    <w:autoSpaceDE/>
                    <w:autoSpaceDN/>
                    <w:spacing w:line="280" w:lineRule="exact"/>
                    <w:jc w:val="center"/>
                    <w:rPr>
                      <w:rFonts w:ascii="Times New Roman" w:hAnsi="Times New Roman" w:cs="Times New Roman" w:eastAsiaTheme="minorEastAsia"/>
                      <w:lang w:eastAsia="en-US"/>
                    </w:rPr>
                  </w:pPr>
                </w:p>
              </w:tc>
              <w:tc>
                <w:tcPr>
                  <w:tcW w:w="544" w:type="dxa"/>
                  <w:vMerge w:val="continue"/>
                  <w:vAlign w:val="center"/>
                </w:tcPr>
                <w:p>
                  <w:pPr>
                    <w:autoSpaceDE/>
                    <w:autoSpaceDN/>
                    <w:spacing w:line="280" w:lineRule="exact"/>
                    <w:jc w:val="center"/>
                    <w:rPr>
                      <w:rFonts w:ascii="Times New Roman" w:hAnsi="Times New Roman" w:cs="Times New Roman" w:eastAsiaTheme="minorEastAsia"/>
                      <w:lang w:eastAsia="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26" w:hRule="atLeast"/>
                <w:jc w:val="center"/>
              </w:trPr>
              <w:tc>
                <w:tcPr>
                  <w:tcW w:w="51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挤出成型</w:t>
                  </w:r>
                </w:p>
              </w:tc>
              <w:tc>
                <w:tcPr>
                  <w:tcW w:w="80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边角料、不合格品</w:t>
                  </w:r>
                </w:p>
              </w:tc>
              <w:tc>
                <w:tcPr>
                  <w:tcW w:w="89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可再生类废物</w:t>
                  </w: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900-003-S17</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4t/a</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4t/a</w:t>
                  </w:r>
                </w:p>
              </w:tc>
              <w:tc>
                <w:tcPr>
                  <w:tcW w:w="1292"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zh-CN"/>
                    </w:rPr>
                    <w:t>破碎后回用于生产</w:t>
                  </w:r>
                </w:p>
              </w:tc>
              <w:tc>
                <w:tcPr>
                  <w:tcW w:w="54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三月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51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包装</w:t>
                  </w:r>
                </w:p>
              </w:tc>
              <w:tc>
                <w:tcPr>
                  <w:tcW w:w="807" w:type="dxa"/>
                  <w:vAlign w:val="center"/>
                </w:tcPr>
                <w:p>
                  <w:pPr>
                    <w:pStyle w:val="75"/>
                    <w:autoSpaceDE/>
                    <w:autoSpaceDN/>
                    <w:spacing w:before="162" w:line="280" w:lineRule="exact"/>
                    <w:ind w:left="101"/>
                    <w:jc w:val="center"/>
                    <w:rPr>
                      <w:rFonts w:ascii="Times New Roman" w:hAnsi="Times New Roman" w:cs="Times New Roman" w:eastAsiaTheme="minorEastAsia"/>
                      <w:kern w:val="2"/>
                      <w:sz w:val="21"/>
                      <w:szCs w:val="24"/>
                    </w:rPr>
                  </w:pPr>
                  <w:r>
                    <w:rPr>
                      <w:rFonts w:ascii="Times New Roman" w:hAnsi="Times New Roman" w:cs="Times New Roman" w:eastAsiaTheme="minorEastAsia"/>
                      <w:kern w:val="2"/>
                      <w:sz w:val="21"/>
                      <w:szCs w:val="24"/>
                    </w:rPr>
                    <w:t>废包装袋</w:t>
                  </w:r>
                </w:p>
              </w:tc>
              <w:tc>
                <w:tcPr>
                  <w:tcW w:w="89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一般工业固体废物</w:t>
                  </w: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900-099-S59</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en-US"/>
                    </w:rPr>
                    <w:t>0.</w:t>
                  </w:r>
                  <w:r>
                    <w:rPr>
                      <w:rFonts w:ascii="Times New Roman" w:hAnsi="Times New Roman" w:cs="Times New Roman" w:eastAsiaTheme="minorEastAsia"/>
                      <w:lang w:eastAsia="zh-CN"/>
                    </w:rPr>
                    <w:t>05</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en-US"/>
                    </w:rPr>
                    <w:t>0.</w:t>
                  </w:r>
                  <w:r>
                    <w:rPr>
                      <w:rFonts w:ascii="Times New Roman" w:hAnsi="Times New Roman" w:cs="Times New Roman" w:eastAsiaTheme="minorEastAsia"/>
                      <w:lang w:eastAsia="zh-CN"/>
                    </w:rPr>
                    <w:t>05</w:t>
                  </w:r>
                </w:p>
              </w:tc>
              <w:tc>
                <w:tcPr>
                  <w:tcW w:w="1292"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收集后外售废品回收站</w:t>
                  </w:r>
                </w:p>
              </w:tc>
              <w:tc>
                <w:tcPr>
                  <w:tcW w:w="54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三月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719" w:hRule="atLeast"/>
                <w:jc w:val="center"/>
              </w:trPr>
              <w:tc>
                <w:tcPr>
                  <w:tcW w:w="51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职工</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生活</w:t>
                  </w:r>
                </w:p>
              </w:tc>
              <w:tc>
                <w:tcPr>
                  <w:tcW w:w="80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生活垃圾</w:t>
                  </w:r>
                </w:p>
              </w:tc>
              <w:tc>
                <w:tcPr>
                  <w:tcW w:w="897"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w:t>
                  </w:r>
                </w:p>
              </w:tc>
              <w:tc>
                <w:tcPr>
                  <w:tcW w:w="1240"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900-099-S64</w:t>
                  </w:r>
                </w:p>
              </w:tc>
              <w:tc>
                <w:tcPr>
                  <w:tcW w:w="83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0.525</w:t>
                  </w:r>
                </w:p>
              </w:tc>
              <w:tc>
                <w:tcPr>
                  <w:tcW w:w="79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0</w:t>
                  </w:r>
                </w:p>
              </w:tc>
              <w:tc>
                <w:tcPr>
                  <w:tcW w:w="86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0.525</w:t>
                  </w:r>
                </w:p>
              </w:tc>
              <w:tc>
                <w:tcPr>
                  <w:tcW w:w="1292"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收集后交由环卫部门处置</w:t>
                  </w:r>
                </w:p>
              </w:tc>
              <w:tc>
                <w:tcPr>
                  <w:tcW w:w="54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一周</w:t>
                  </w:r>
                </w:p>
              </w:tc>
            </w:tr>
          </w:tbl>
          <w:p>
            <w:pPr>
              <w:spacing w:line="360" w:lineRule="auto"/>
              <w:ind w:firstLine="480" w:firstLineChars="200"/>
              <w:rPr>
                <w:sz w:val="24"/>
              </w:rPr>
            </w:pPr>
            <w:r>
              <w:rPr>
                <w:sz w:val="24"/>
              </w:rPr>
              <w:t>（1）废润滑油、废油桶</w:t>
            </w:r>
          </w:p>
          <w:p>
            <w:pPr>
              <w:spacing w:line="360" w:lineRule="auto"/>
              <w:ind w:firstLine="480" w:firstLineChars="200"/>
              <w:rPr>
                <w:sz w:val="24"/>
              </w:rPr>
            </w:pPr>
            <w:r>
              <w:rPr>
                <w:sz w:val="24"/>
              </w:rPr>
              <w:t>设备在运转工作过程中使用润滑油约0.02t/a，会有废润滑油产生，废润滑油的年产生量为0.02t/a。废润滑油的使用会产生废油桶，废油桶的年产生量为0.001t/a（2个桶）。废润滑油和废油桶暂存于危废贮存库，定期交由有资质单位进行处置。</w:t>
            </w:r>
          </w:p>
          <w:p>
            <w:pPr>
              <w:spacing w:line="360" w:lineRule="auto"/>
              <w:ind w:firstLine="480" w:firstLineChars="200"/>
              <w:rPr>
                <w:sz w:val="24"/>
              </w:rPr>
            </w:pPr>
            <w:r>
              <w:rPr>
                <w:sz w:val="24"/>
              </w:rPr>
              <w:t>（2）边角料、不合格品</w:t>
            </w:r>
          </w:p>
          <w:p>
            <w:pPr>
              <w:spacing w:line="360" w:lineRule="auto"/>
              <w:ind w:firstLine="480" w:firstLineChars="200"/>
              <w:rPr>
                <w:sz w:val="24"/>
              </w:rPr>
            </w:pPr>
            <w:r>
              <w:rPr>
                <w:sz w:val="24"/>
              </w:rPr>
              <w:t>生产过程中的产生边角料以及检验不合格品，产生量约为4t/a，全部收集后破碎，作为原料回用于生产。</w:t>
            </w:r>
          </w:p>
          <w:p>
            <w:pPr>
              <w:spacing w:line="360" w:lineRule="auto"/>
              <w:ind w:firstLine="480" w:firstLineChars="200"/>
              <w:rPr>
                <w:sz w:val="24"/>
              </w:rPr>
            </w:pPr>
            <w:r>
              <w:rPr>
                <w:sz w:val="24"/>
              </w:rPr>
              <w:t>（3）废包装袋</w:t>
            </w:r>
          </w:p>
          <w:p>
            <w:pPr>
              <w:spacing w:line="360" w:lineRule="auto"/>
              <w:ind w:firstLine="480" w:firstLineChars="200"/>
              <w:rPr>
                <w:sz w:val="24"/>
              </w:rPr>
            </w:pPr>
            <w:r>
              <w:rPr>
                <w:sz w:val="24"/>
              </w:rPr>
              <w:t>项目生产过程中产生原料包装袋，产生量为0.05t/a，全部收集后外售废品回收站。</w:t>
            </w:r>
          </w:p>
          <w:p>
            <w:pPr>
              <w:spacing w:line="360" w:lineRule="auto"/>
              <w:ind w:firstLine="480" w:firstLineChars="200"/>
              <w:rPr>
                <w:sz w:val="24"/>
              </w:rPr>
            </w:pPr>
            <w:r>
              <w:rPr>
                <w:sz w:val="24"/>
              </w:rPr>
              <w:t>（4）生活垃圾</w:t>
            </w:r>
          </w:p>
          <w:p>
            <w:pPr>
              <w:spacing w:line="360" w:lineRule="auto"/>
              <w:ind w:firstLine="480" w:firstLineChars="200"/>
              <w:rPr>
                <w:sz w:val="24"/>
              </w:rPr>
            </w:pPr>
            <w:r>
              <w:rPr>
                <w:sz w:val="24"/>
              </w:rPr>
              <w:t>本项目新增劳动定员5人，生活垃圾产生系数按0.5kg/d·人计，年工作210d，因此生活垃圾产生量为0.525t/a。生活垃圾厂区内集中收集后交由环卫部门进行清运处置。</w:t>
            </w:r>
          </w:p>
          <w:p>
            <w:pPr>
              <w:spacing w:line="360" w:lineRule="auto"/>
              <w:ind w:firstLine="482" w:firstLineChars="200"/>
              <w:rPr>
                <w:b/>
                <w:bCs/>
                <w:sz w:val="24"/>
              </w:rPr>
            </w:pPr>
            <w:r>
              <w:rPr>
                <w:b/>
                <w:bCs/>
                <w:sz w:val="24"/>
              </w:rPr>
              <w:t>2、一般工业固体废物管理台账要求</w:t>
            </w:r>
          </w:p>
          <w:p>
            <w:pPr>
              <w:spacing w:line="360" w:lineRule="auto"/>
              <w:ind w:firstLine="480" w:firstLineChars="200"/>
              <w:rPr>
                <w:sz w:val="24"/>
              </w:rPr>
            </w:pPr>
            <w:r>
              <w:rPr>
                <w:sz w:val="24"/>
              </w:rPr>
              <w:t>根据《一般工业固体废物管理台账制定指南（试行）》，需制定一般工业固体废物管理台账，台账管理要求如下：</w:t>
            </w:r>
          </w:p>
          <w:p>
            <w:pPr>
              <w:spacing w:line="360" w:lineRule="auto"/>
              <w:ind w:firstLine="480" w:firstLineChars="200"/>
              <w:rPr>
                <w:sz w:val="24"/>
              </w:rPr>
            </w:pPr>
            <w:r>
              <w:rPr>
                <w:sz w:val="24"/>
              </w:rPr>
              <w:t>（1）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pPr>
              <w:spacing w:line="360" w:lineRule="auto"/>
              <w:ind w:firstLine="480" w:firstLineChars="200"/>
              <w:rPr>
                <w:sz w:val="24"/>
              </w:rPr>
            </w:pPr>
            <w:r>
              <w:rPr>
                <w:sz w:val="24"/>
              </w:rPr>
              <w:t>（2）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pPr>
              <w:spacing w:line="360" w:lineRule="auto"/>
              <w:ind w:firstLine="480" w:firstLineChars="200"/>
              <w:rPr>
                <w:sz w:val="24"/>
              </w:rPr>
            </w:pPr>
            <w:r>
              <w:rPr>
                <w:sz w:val="24"/>
              </w:rPr>
              <w:t>（3）产废单位填写台账记录表时，应当根据自身固体废物产生情况，从附表8中选择对应的固体废物种类和代码，并根据固体废物种类确定固体废物的具体名称。</w:t>
            </w:r>
          </w:p>
          <w:p>
            <w:pPr>
              <w:spacing w:line="360" w:lineRule="auto"/>
              <w:ind w:firstLine="480" w:firstLineChars="200"/>
              <w:rPr>
                <w:sz w:val="24"/>
              </w:rPr>
            </w:pPr>
            <w:r>
              <w:rPr>
                <w:sz w:val="24"/>
              </w:rPr>
              <w:t>（4）鼓励产废单位采用国家建立的一般工业固体废物管理电子台账，简化数据填写、台账管理等工作。地方和企业自行开发的电子台账要实现与国家系统对接。建立电子台账的产废单位，可不再记录纸质台账。</w:t>
            </w:r>
          </w:p>
          <w:p>
            <w:pPr>
              <w:spacing w:line="360" w:lineRule="auto"/>
              <w:ind w:firstLine="480" w:firstLineChars="200"/>
              <w:rPr>
                <w:sz w:val="24"/>
              </w:rPr>
            </w:pPr>
            <w:r>
              <w:rPr>
                <w:sz w:val="24"/>
              </w:rPr>
              <w:t>（5）台账记录表各表单的负责人对记录信息的真实性、完整性和规范性负责。</w:t>
            </w:r>
          </w:p>
          <w:p>
            <w:pPr>
              <w:spacing w:line="360" w:lineRule="auto"/>
              <w:ind w:firstLine="480" w:firstLineChars="200"/>
              <w:rPr>
                <w:sz w:val="24"/>
              </w:rPr>
            </w:pPr>
            <w:r>
              <w:rPr>
                <w:sz w:val="24"/>
              </w:rPr>
              <w:t>（6）产废单位应当设立专人负责台账的管理与归档，一般工业固体废物管理台账保存期限不少于5年。</w:t>
            </w:r>
          </w:p>
          <w:p>
            <w:pPr>
              <w:spacing w:line="360" w:lineRule="auto"/>
              <w:ind w:firstLine="480" w:firstLineChars="200"/>
              <w:rPr>
                <w:sz w:val="24"/>
              </w:rPr>
            </w:pPr>
            <w:r>
              <w:rPr>
                <w:sz w:val="24"/>
              </w:rPr>
              <w:t>（7）鼓励有条件的产废单位在固体废物产生场所、贮存场所及磅秤位置等关键点位设置视频监控，提高台账记录信息的准确性。</w:t>
            </w:r>
          </w:p>
          <w:p>
            <w:pPr>
              <w:spacing w:line="360" w:lineRule="auto"/>
              <w:ind w:firstLine="482" w:firstLineChars="200"/>
              <w:rPr>
                <w:b/>
                <w:bCs/>
                <w:sz w:val="24"/>
              </w:rPr>
            </w:pPr>
            <w:r>
              <w:rPr>
                <w:b/>
                <w:bCs/>
                <w:sz w:val="24"/>
              </w:rPr>
              <w:t>3、危险废物环境管理要求</w:t>
            </w:r>
          </w:p>
          <w:p>
            <w:pPr>
              <w:spacing w:line="360" w:lineRule="auto"/>
              <w:ind w:firstLine="480" w:firstLineChars="200"/>
              <w:rPr>
                <w:sz w:val="24"/>
              </w:rPr>
            </w:pPr>
            <w:r>
              <w:rPr>
                <w:sz w:val="24"/>
              </w:rPr>
              <w:t>危险废物临时贮存设施要符合《危险废物贮存污染控制标准》（GB18597－2023），且严格按《国家危险废物名录》（2025年版）、《危险废物转移管理办法》中的有关要求实施。加强对危险废物的管理，对危险废物的产生、利用、收集、运输、贮存、处置等环节建立追踪性的账目和手续，并纳入环保部门的监督管理。要求企业落实以下几点要求：</w:t>
            </w:r>
          </w:p>
          <w:p>
            <w:pPr>
              <w:spacing w:line="360" w:lineRule="auto"/>
              <w:ind w:firstLine="480" w:firstLineChars="200"/>
              <w:rPr>
                <w:sz w:val="24"/>
              </w:rPr>
            </w:pPr>
            <w:r>
              <w:rPr>
                <w:sz w:val="24"/>
              </w:rPr>
              <w:t>(1)危险废物贮存设施的要求</w:t>
            </w:r>
          </w:p>
          <w:p>
            <w:pPr>
              <w:spacing w:line="360" w:lineRule="auto"/>
              <w:ind w:firstLine="480" w:firstLineChars="200"/>
              <w:rPr>
                <w:sz w:val="24"/>
              </w:rPr>
            </w:pPr>
            <w:r>
              <w:rPr>
                <w:rFonts w:ascii="Cambria Math" w:hAnsi="Cambria Math" w:cs="Cambria Math"/>
                <w:sz w:val="24"/>
              </w:rPr>
              <w:t>①</w:t>
            </w:r>
            <w:r>
              <w:rPr>
                <w:sz w:val="24"/>
              </w:rPr>
              <w:t>贮存设施应根据危险废物的形态、物理化学性质、包装形式和污染物迁移途径，采取必要的防风、防晒、防雨、防漏、防渗、防腐以及其他环境污染防治措施， 不应露天堆放危险废物。</w:t>
            </w:r>
          </w:p>
          <w:p>
            <w:pPr>
              <w:spacing w:line="360" w:lineRule="auto"/>
              <w:ind w:firstLine="480" w:firstLineChars="200"/>
              <w:rPr>
                <w:sz w:val="24"/>
              </w:rPr>
            </w:pPr>
            <w:r>
              <w:rPr>
                <w:rFonts w:ascii="Cambria Math" w:hAnsi="Cambria Math" w:cs="Cambria Math"/>
                <w:sz w:val="24"/>
              </w:rPr>
              <w:t>②</w:t>
            </w:r>
            <w:r>
              <w:rPr>
                <w:sz w:val="24"/>
              </w:rPr>
              <w:t>贮存设施应根据危险废物的类别、数量、形态、物理化学性质和污染防治等要求设置必要的贮存分区，避免不相容的危险废物接触、混合。</w:t>
            </w:r>
          </w:p>
          <w:p>
            <w:pPr>
              <w:spacing w:line="360" w:lineRule="auto"/>
              <w:ind w:firstLine="480" w:firstLineChars="200"/>
              <w:rPr>
                <w:sz w:val="24"/>
              </w:rPr>
            </w:pPr>
            <w:r>
              <w:rPr>
                <w:rFonts w:ascii="Cambria Math" w:hAnsi="Cambria Math" w:cs="Cambria Math"/>
                <w:sz w:val="24"/>
              </w:rPr>
              <w:t>③</w:t>
            </w:r>
            <w:r>
              <w:rPr>
                <w:sz w:val="24"/>
              </w:rPr>
              <w:t>贮存设施或贮存分区内地面、墙面裙脚、堵截泄漏的围堰、接触危险废物的隔板和墙体等应采用坚固的材料建造，表面无裂缝。</w:t>
            </w:r>
          </w:p>
          <w:p>
            <w:pPr>
              <w:spacing w:line="360" w:lineRule="auto"/>
              <w:ind w:firstLine="480" w:firstLineChars="200"/>
              <w:rPr>
                <w:sz w:val="24"/>
              </w:rPr>
            </w:pPr>
            <w:r>
              <w:rPr>
                <w:rFonts w:ascii="Cambria Math" w:hAnsi="Cambria Math" w:cs="Cambria Math"/>
                <w:sz w:val="24"/>
              </w:rPr>
              <w:t>④</w:t>
            </w:r>
            <w:r>
              <w:rPr>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cm/s），或至少2mm厚高密度聚乙烯膜等人工防渗材料（渗透系数不大于10</w:t>
            </w:r>
            <w:r>
              <w:rPr>
                <w:sz w:val="24"/>
                <w:vertAlign w:val="superscript"/>
              </w:rPr>
              <w:t>-10</w:t>
            </w:r>
            <w:r>
              <w:rPr>
                <w:sz w:val="24"/>
              </w:rPr>
              <w:t>cm/s），或其他防渗性能等效的材料。</w:t>
            </w:r>
          </w:p>
          <w:p>
            <w:pPr>
              <w:spacing w:line="360" w:lineRule="auto"/>
              <w:ind w:firstLine="480" w:firstLineChars="200"/>
              <w:rPr>
                <w:sz w:val="24"/>
              </w:rPr>
            </w:pPr>
            <w:r>
              <w:rPr>
                <w:rFonts w:ascii="Cambria Math" w:hAnsi="Cambria Math" w:cs="Cambria Math"/>
                <w:sz w:val="24"/>
              </w:rPr>
              <w:t>⑤</w:t>
            </w:r>
            <w:r>
              <w:rPr>
                <w:sz w:val="24"/>
              </w:rPr>
              <w:t>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sz w:val="24"/>
              </w:rPr>
            </w:pPr>
            <w:r>
              <w:rPr>
                <w:rFonts w:ascii="Cambria Math" w:hAnsi="Cambria Math" w:cs="Cambria Math"/>
                <w:sz w:val="24"/>
              </w:rPr>
              <w:t>⑥</w:t>
            </w:r>
            <w:r>
              <w:rPr>
                <w:sz w:val="24"/>
              </w:rPr>
              <w:t>贮存设施应采取技术和管理措施防止无关人员进入。</w:t>
            </w:r>
          </w:p>
          <w:p>
            <w:pPr>
              <w:spacing w:line="360" w:lineRule="auto"/>
              <w:ind w:firstLine="480" w:firstLineChars="200"/>
              <w:rPr>
                <w:sz w:val="24"/>
              </w:rPr>
            </w:pPr>
            <w:r>
              <w:rPr>
                <w:sz w:val="24"/>
              </w:rPr>
              <w:t>(2)贮存设施运行环境管理要求</w:t>
            </w:r>
          </w:p>
          <w:p>
            <w:pPr>
              <w:spacing w:line="360" w:lineRule="auto"/>
              <w:ind w:firstLine="480" w:firstLineChars="200"/>
              <w:rPr>
                <w:sz w:val="24"/>
              </w:rPr>
            </w:pPr>
            <w:r>
              <w:rPr>
                <w:rFonts w:ascii="Cambria Math" w:hAnsi="Cambria Math" w:cs="Cambria Math"/>
                <w:sz w:val="24"/>
              </w:rPr>
              <w:t>①</w:t>
            </w:r>
            <w:r>
              <w:rPr>
                <w:sz w:val="24"/>
              </w:rPr>
              <w:t>危险废物存入贮存设施前应对危险废物类别和特性与危险废物标签等危险废物识别标志的一致性进行核验，不一致的或类别、特性不明的不应存入。</w:t>
            </w:r>
          </w:p>
          <w:p>
            <w:pPr>
              <w:spacing w:line="360" w:lineRule="auto"/>
              <w:ind w:firstLine="480" w:firstLineChars="200"/>
              <w:rPr>
                <w:sz w:val="24"/>
              </w:rPr>
            </w:pPr>
            <w:r>
              <w:rPr>
                <w:rFonts w:ascii="Cambria Math" w:hAnsi="Cambria Math" w:cs="Cambria Math"/>
                <w:sz w:val="24"/>
              </w:rPr>
              <w:t>②</w:t>
            </w:r>
            <w:r>
              <w:rPr>
                <w:sz w:val="24"/>
              </w:rPr>
              <w:t>应定期检查危险废物的贮存状况，及时清理贮存设施地面，更换破损泄漏的危险废物贮存容器和包装物，保证堆存危险废物的防雨、防风、防扬尘等设施功能完好。</w:t>
            </w:r>
          </w:p>
          <w:p>
            <w:pPr>
              <w:spacing w:line="360" w:lineRule="auto"/>
              <w:ind w:firstLine="480" w:firstLineChars="200"/>
              <w:rPr>
                <w:sz w:val="24"/>
              </w:rPr>
            </w:pPr>
            <w:r>
              <w:rPr>
                <w:rFonts w:ascii="Cambria Math" w:hAnsi="Cambria Math" w:cs="Cambria Math"/>
                <w:sz w:val="24"/>
              </w:rPr>
              <w:t>③</w:t>
            </w:r>
            <w:r>
              <w:rPr>
                <w:sz w:val="24"/>
              </w:rPr>
              <w:t>作业设备及车辆等结束作业离开贮存设施时，应对其残留的危险废物进行清理，清理的废物或清洗废水应收集处理。</w:t>
            </w:r>
          </w:p>
          <w:p>
            <w:pPr>
              <w:spacing w:line="360" w:lineRule="auto"/>
              <w:ind w:firstLine="480" w:firstLineChars="200"/>
              <w:rPr>
                <w:sz w:val="24"/>
              </w:rPr>
            </w:pPr>
            <w:r>
              <w:rPr>
                <w:rFonts w:ascii="Cambria Math" w:hAnsi="Cambria Math" w:cs="Cambria Math"/>
                <w:sz w:val="24"/>
              </w:rPr>
              <w:t>④</w:t>
            </w:r>
            <w:r>
              <w:rPr>
                <w:sz w:val="24"/>
              </w:rPr>
              <w:t>贮存设施运行期间，应按国家有关标准和规定建立危险废物管理台账并保存。</w:t>
            </w:r>
          </w:p>
          <w:p>
            <w:pPr>
              <w:spacing w:line="360" w:lineRule="auto"/>
              <w:ind w:firstLine="480" w:firstLineChars="200"/>
              <w:rPr>
                <w:sz w:val="24"/>
              </w:rPr>
            </w:pPr>
            <w:r>
              <w:rPr>
                <w:rFonts w:ascii="Cambria Math" w:hAnsi="Cambria Math" w:cs="Cambria Math"/>
                <w:sz w:val="24"/>
              </w:rPr>
              <w:t>⑤</w:t>
            </w:r>
            <w:r>
              <w:rPr>
                <w:sz w:val="24"/>
              </w:rPr>
              <w:t>贮存设施所有者或运营者应建立贮存设施环境管理制度、管理人员岗位职责制度、设施运行操作制度、人员岗位培训制度等。</w:t>
            </w:r>
          </w:p>
          <w:p>
            <w:pPr>
              <w:spacing w:line="360" w:lineRule="auto"/>
              <w:ind w:firstLine="480" w:firstLineChars="200"/>
              <w:rPr>
                <w:sz w:val="24"/>
              </w:rPr>
            </w:pPr>
            <w:r>
              <w:rPr>
                <w:rFonts w:ascii="Cambria Math" w:hAnsi="Cambria Math" w:cs="Cambria Math"/>
                <w:sz w:val="24"/>
              </w:rPr>
              <w:t>⑥</w:t>
            </w:r>
            <w:r>
              <w:rPr>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sz w:val="24"/>
              </w:rPr>
            </w:pPr>
            <w:r>
              <w:rPr>
                <w:rFonts w:ascii="Cambria Math" w:hAnsi="Cambria Math" w:cs="Cambria Math"/>
                <w:sz w:val="24"/>
              </w:rPr>
              <w:t>⑦</w:t>
            </w:r>
            <w:r>
              <w:rPr>
                <w:sz w:val="24"/>
              </w:rPr>
              <w:t>贮存设施所有者或运营者应建立贮存设施全部档案，包括设计、施工、验收、运行、监测和环境应急等，应按国家有关档案管理的法律法规进行整理和归档。</w:t>
            </w:r>
          </w:p>
          <w:p>
            <w:pPr>
              <w:spacing w:line="360" w:lineRule="auto"/>
              <w:ind w:firstLine="480" w:firstLineChars="200"/>
              <w:rPr>
                <w:sz w:val="24"/>
              </w:rPr>
            </w:pPr>
            <w:r>
              <w:rPr>
                <w:rFonts w:ascii="Cambria Math" w:hAnsi="Cambria Math" w:cs="Cambria Math"/>
                <w:sz w:val="24"/>
              </w:rPr>
              <w:t>⑧</w:t>
            </w:r>
            <w:r>
              <w:rPr>
                <w:sz w:val="24"/>
              </w:rPr>
              <w:t>按照《危险废物识别标志设置技术规范》（HJ1276-2022）设置危险废物识别标志，具体如下：</w:t>
            </w:r>
          </w:p>
          <w:p>
            <w:pPr>
              <w:spacing w:line="360" w:lineRule="auto"/>
              <w:ind w:firstLine="480" w:firstLineChars="200"/>
              <w:rPr>
                <w:sz w:val="24"/>
              </w:rPr>
            </w:pPr>
            <w:r>
              <w:rPr>
                <w:sz w:val="24"/>
              </w:rPr>
              <w:t>a危险废物产生单位或收集单位在盛装危险废物时，宜根据容器或包装物的容积按照本标准第9.1条中的要求设置合适的标签；</w:t>
            </w:r>
          </w:p>
          <w:p>
            <w:pPr>
              <w:spacing w:line="360" w:lineRule="auto"/>
              <w:ind w:firstLine="480" w:firstLineChars="200"/>
              <w:rPr>
                <w:sz w:val="24"/>
              </w:rPr>
            </w:pPr>
            <w:r>
              <w:rPr>
                <w:sz w:val="24"/>
              </w:rPr>
              <w:t>b危险废物贮存分区的划分应满足 GB18597中的有关规定。宜在危险废物贮存设施内的每一个贮存分区处设置危险废物贮存分区标志，利用明显的分界线进行分区，分为3个区；宜根据危险废物贮存分区标志的设置位置和观察距离按照本标准第9.2条中的制作要求设置相应的标志。</w:t>
            </w:r>
          </w:p>
          <w:p>
            <w:pPr>
              <w:spacing w:line="360" w:lineRule="auto"/>
              <w:ind w:firstLine="480" w:firstLineChars="200"/>
              <w:rPr>
                <w:sz w:val="24"/>
              </w:rPr>
            </w:pPr>
            <w:r>
              <w:rPr>
                <w:sz w:val="24"/>
              </w:rPr>
              <w:t>c危险废物相关单位的每一个贮存、利用、处置设施均应在设施附近或场所的入口处设置相应的危险废物贮存设施标志、危险废物利用设施标志、危险废物处置设施标志。</w:t>
            </w:r>
          </w:p>
          <w:p>
            <w:pPr>
              <w:spacing w:line="360" w:lineRule="auto"/>
              <w:ind w:firstLine="480" w:firstLineChars="200"/>
              <w:rPr>
                <w:sz w:val="24"/>
              </w:rPr>
            </w:pPr>
            <w:r>
              <w:rPr>
                <w:rFonts w:ascii="Cambria Math" w:hAnsi="Cambria Math" w:cs="Cambria Math"/>
                <w:sz w:val="24"/>
              </w:rPr>
              <w:t>⑨</w:t>
            </w:r>
            <w:r>
              <w:rPr>
                <w:sz w:val="24"/>
              </w:rPr>
              <w:t>严格落实危险固废转移台账管理，做到每一笔危险固废的去向都有台账记录，包括厂区内部的和行政管理部门的。</w:t>
            </w:r>
          </w:p>
          <w:p>
            <w:pPr>
              <w:spacing w:line="360" w:lineRule="auto"/>
              <w:ind w:firstLine="480" w:firstLineChars="200"/>
              <w:rPr>
                <w:sz w:val="24"/>
              </w:rPr>
            </w:pPr>
            <w:r>
              <w:rPr>
                <w:rFonts w:ascii="Cambria Math" w:hAnsi="Cambria Math" w:cs="Cambria Math"/>
                <w:sz w:val="24"/>
              </w:rPr>
              <w:t>⑩</w:t>
            </w:r>
            <w:r>
              <w:rPr>
                <w:sz w:val="24"/>
              </w:rPr>
              <w:t>危险废物的转移和运输应按《危险废物转移联单管理办法》的规定报批危险废物转移计划，填写好转运联单，并必须交由有资质的单位承运。做好每次外运处置废物的运输登记，认真填写危险废物转移联单，并加盖公司公章，经运输单位核实验收签字后，将联单第一联副联自留存档。</w:t>
            </w:r>
          </w:p>
          <w:p>
            <w:pPr>
              <w:spacing w:line="360" w:lineRule="auto"/>
              <w:ind w:firstLine="480" w:firstLineChars="200"/>
              <w:rPr>
                <w:sz w:val="24"/>
              </w:rPr>
            </w:pPr>
            <w:r>
              <w:rPr>
                <w:sz w:val="24"/>
              </w:rPr>
              <w:t>根据《危险废物识别标志设置技术规范（HJ1276-2022）》《环境保护图形标志-固体废物贮存(处置)场》GB15562.2-1995修改单（生态环境部公告2023年第5号）危险废物识别标志如下表所示。</w:t>
            </w: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8"/>
              <w:gridCol w:w="38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188" w:type="dxa"/>
                  <w:vAlign w:val="center"/>
                </w:tcPr>
                <w:p>
                  <w:pPr>
                    <w:jc w:val="center"/>
                    <w:rPr>
                      <w:kern w:val="0"/>
                      <w:sz w:val="24"/>
                      <w:lang w:val="zh-CN"/>
                    </w:rPr>
                  </w:pPr>
                  <w:r>
                    <w:rPr>
                      <w:szCs w:val="22"/>
                    </w:rPr>
                    <w:drawing>
                      <wp:inline distT="0" distB="0" distL="0" distR="0">
                        <wp:extent cx="2519680" cy="2516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2517073"/>
                                </a:xfrm>
                                <a:prstGeom prst="rect">
                                  <a:avLst/>
                                </a:prstGeom>
                                <a:noFill/>
                                <a:ln>
                                  <a:noFill/>
                                </a:ln>
                              </pic:spPr>
                            </pic:pic>
                          </a:graphicData>
                        </a:graphic>
                      </wp:inline>
                    </w:drawing>
                  </w:r>
                </w:p>
              </w:tc>
              <w:tc>
                <w:tcPr>
                  <w:tcW w:w="3818" w:type="dxa"/>
                  <w:vAlign w:val="center"/>
                </w:tcPr>
                <w:p>
                  <w:pPr>
                    <w:jc w:val="center"/>
                    <w:rPr>
                      <w:kern w:val="0"/>
                      <w:sz w:val="24"/>
                      <w:lang w:val="zh-CN"/>
                    </w:rPr>
                  </w:pPr>
                  <w:r>
                    <w:rPr>
                      <w:szCs w:val="22"/>
                    </w:rPr>
                    <w:drawing>
                      <wp:inline distT="0" distB="0" distL="0" distR="0">
                        <wp:extent cx="2262505" cy="14230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65556" cy="142510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188" w:type="dxa"/>
                  <w:vAlign w:val="center"/>
                </w:tcPr>
                <w:p>
                  <w:pPr>
                    <w:jc w:val="center"/>
                    <w:rPr>
                      <w:kern w:val="0"/>
                      <w:sz w:val="24"/>
                      <w:lang w:val="zh-CN"/>
                    </w:rPr>
                  </w:pPr>
                  <w:r>
                    <w:rPr>
                      <w:b/>
                      <w:kern w:val="0"/>
                      <w:szCs w:val="21"/>
                      <w:lang w:val="zh-CN"/>
                    </w:rPr>
                    <w:t>图4-1  危险废物标签</w:t>
                  </w:r>
                </w:p>
              </w:tc>
              <w:tc>
                <w:tcPr>
                  <w:tcW w:w="3818" w:type="dxa"/>
                  <w:vAlign w:val="center"/>
                </w:tcPr>
                <w:p>
                  <w:pPr>
                    <w:jc w:val="center"/>
                    <w:rPr>
                      <w:kern w:val="0"/>
                      <w:sz w:val="24"/>
                      <w:lang w:val="zh-CN"/>
                    </w:rPr>
                  </w:pPr>
                  <w:r>
                    <w:rPr>
                      <w:b/>
                      <w:kern w:val="0"/>
                      <w:szCs w:val="21"/>
                      <w:lang w:val="zh-CN"/>
                    </w:rPr>
                    <w:t>图4-2  危险废物标识</w:t>
                  </w:r>
                </w:p>
              </w:tc>
            </w:tr>
          </w:tbl>
          <w:p>
            <w:pPr>
              <w:spacing w:line="360" w:lineRule="auto"/>
              <w:ind w:firstLine="482" w:firstLineChars="200"/>
              <w:rPr>
                <w:b/>
                <w:sz w:val="24"/>
              </w:rPr>
            </w:pPr>
            <w:r>
              <w:rPr>
                <w:b/>
                <w:sz w:val="24"/>
              </w:rPr>
              <w:t>4、影响分析</w:t>
            </w:r>
          </w:p>
          <w:p>
            <w:pPr>
              <w:spacing w:line="360" w:lineRule="auto"/>
              <w:ind w:firstLine="480" w:firstLineChars="200"/>
              <w:rPr>
                <w:sz w:val="24"/>
              </w:rPr>
            </w:pPr>
            <w:r>
              <w:rPr>
                <w:sz w:val="24"/>
              </w:rPr>
              <w:t>通过以上可知，本项目固体废物得到妥善处置，环境影响可接受。</w:t>
            </w:r>
          </w:p>
          <w:p>
            <w:pPr>
              <w:spacing w:line="360" w:lineRule="auto"/>
              <w:ind w:firstLine="482" w:firstLineChars="200"/>
              <w:rPr>
                <w:b/>
                <w:kern w:val="0"/>
                <w:sz w:val="24"/>
                <w:lang w:val="zh-CN"/>
              </w:rPr>
            </w:pPr>
            <w:r>
              <w:rPr>
                <w:b/>
                <w:kern w:val="0"/>
                <w:sz w:val="24"/>
                <w:lang w:val="zh-CN"/>
              </w:rPr>
              <w:t>五、地下水、土壤影响分析</w:t>
            </w:r>
          </w:p>
          <w:p>
            <w:pPr>
              <w:spacing w:line="360" w:lineRule="auto"/>
              <w:ind w:firstLine="480" w:firstLineChars="200"/>
              <w:rPr>
                <w:kern w:val="0"/>
                <w:sz w:val="24"/>
              </w:rPr>
            </w:pPr>
            <w:r>
              <w:rPr>
                <w:kern w:val="0"/>
                <w:sz w:val="24"/>
              </w:rPr>
              <w:t>1、本项目对地下水影响途径主要为危废泄漏；对土壤的影响途径主要为废气沉降和物料堆存。</w:t>
            </w:r>
          </w:p>
          <w:p>
            <w:pPr>
              <w:spacing w:line="360" w:lineRule="auto"/>
              <w:ind w:firstLine="480" w:firstLineChars="200"/>
              <w:rPr>
                <w:kern w:val="0"/>
                <w:sz w:val="24"/>
              </w:rPr>
            </w:pPr>
            <w:r>
              <w:rPr>
                <w:kern w:val="0"/>
                <w:sz w:val="24"/>
              </w:rPr>
              <w:t>2、根据分析，本项目采取防治措施后，废气污染物可达标排放，且厂区内地面采用硬化和绿化，沉降到土壤中比例很小，对土壤的结构和理化性质不会产生明显的影响。固体废物均得到合理处置，故不</w:t>
            </w:r>
            <w:r>
              <w:rPr>
                <w:rFonts w:hint="eastAsia"/>
                <w:kern w:val="0"/>
                <w:sz w:val="24"/>
                <w:lang w:eastAsia="zh-CN"/>
              </w:rPr>
              <w:t>会</w:t>
            </w:r>
            <w:r>
              <w:rPr>
                <w:kern w:val="0"/>
                <w:sz w:val="24"/>
              </w:rPr>
              <w:t>对土壤环境造成影响。</w:t>
            </w:r>
          </w:p>
          <w:p>
            <w:pPr>
              <w:spacing w:line="360" w:lineRule="auto"/>
              <w:ind w:firstLine="480" w:firstLineChars="200"/>
              <w:rPr>
                <w:kern w:val="0"/>
                <w:sz w:val="24"/>
                <w:lang w:val="zh-CN"/>
              </w:rPr>
            </w:pPr>
            <w:r>
              <w:rPr>
                <w:kern w:val="0"/>
                <w:sz w:val="24"/>
                <w:lang w:val="zh-CN"/>
              </w:rPr>
              <w:t>3、保护措施</w:t>
            </w:r>
          </w:p>
          <w:p>
            <w:pPr>
              <w:spacing w:line="360" w:lineRule="auto"/>
              <w:ind w:firstLine="480" w:firstLineChars="200"/>
              <w:rPr>
                <w:kern w:val="0"/>
                <w:sz w:val="24"/>
                <w:lang w:val="zh-CN"/>
              </w:rPr>
            </w:pPr>
            <w:r>
              <w:rPr>
                <w:kern w:val="0"/>
                <w:sz w:val="24"/>
                <w:lang w:val="zh-CN"/>
              </w:rPr>
              <w:t>(1)源头控制措施</w:t>
            </w:r>
          </w:p>
          <w:p>
            <w:pPr>
              <w:spacing w:line="360" w:lineRule="auto"/>
              <w:ind w:firstLine="480" w:firstLineChars="200"/>
              <w:rPr>
                <w:kern w:val="0"/>
                <w:sz w:val="24"/>
                <w:lang w:val="zh-CN"/>
              </w:rPr>
            </w:pPr>
            <w:r>
              <w:rPr>
                <w:kern w:val="0"/>
                <w:sz w:val="24"/>
                <w:lang w:val="zh-CN"/>
              </w:rPr>
              <w:t>源头控制措施主要包括在工艺、管道、设备和处理构筑物采取相应措施，防止和降低污染物跑、冒、低、漏，将污染物泄漏的环境风险事故降到最低程度。定期检查防渗效果：定期排查各个池体及相关设施的防渗情况，排查破损和运行故障，杜绝跑冒滴漏现象。</w:t>
            </w:r>
          </w:p>
          <w:p>
            <w:pPr>
              <w:spacing w:line="360" w:lineRule="auto"/>
              <w:ind w:firstLine="480" w:firstLineChars="200"/>
              <w:rPr>
                <w:kern w:val="0"/>
                <w:sz w:val="24"/>
                <w:lang w:val="zh-CN"/>
              </w:rPr>
            </w:pPr>
            <w:r>
              <w:rPr>
                <w:kern w:val="0"/>
                <w:sz w:val="24"/>
                <w:lang w:val="zh-CN"/>
              </w:rPr>
              <w:t>所有池体等必须采取防渗漏措施，杜绝各类废水废油下渗的通道。对危废</w:t>
            </w:r>
            <w:r>
              <w:rPr>
                <w:kern w:val="0"/>
                <w:sz w:val="24"/>
              </w:rPr>
              <w:t>贮存库</w:t>
            </w:r>
            <w:r>
              <w:rPr>
                <w:kern w:val="0"/>
                <w:sz w:val="24"/>
                <w:lang w:val="zh-CN"/>
              </w:rPr>
              <w:t>采取专人定期巡检制度，采用符合标准的容器暂存危险废物，严防危险废物发生泄漏事故。</w:t>
            </w:r>
          </w:p>
          <w:p>
            <w:pPr>
              <w:spacing w:line="360" w:lineRule="auto"/>
              <w:ind w:firstLine="480" w:firstLineChars="200"/>
              <w:rPr>
                <w:kern w:val="0"/>
                <w:sz w:val="24"/>
                <w:lang w:val="zh-CN"/>
              </w:rPr>
            </w:pPr>
            <w:r>
              <w:rPr>
                <w:kern w:val="0"/>
                <w:sz w:val="24"/>
                <w:lang w:val="zh-CN"/>
              </w:rPr>
              <w:t>(2)过程阻断措施</w:t>
            </w:r>
          </w:p>
          <w:p>
            <w:pPr>
              <w:spacing w:line="360" w:lineRule="auto"/>
              <w:ind w:firstLine="480" w:firstLineChars="200"/>
              <w:rPr>
                <w:kern w:val="0"/>
                <w:sz w:val="24"/>
                <w:lang w:val="zh-CN"/>
              </w:rPr>
            </w:pPr>
            <w:r>
              <w:rPr>
                <w:kern w:val="0"/>
                <w:sz w:val="24"/>
                <w:lang w:val="zh-CN"/>
              </w:rPr>
              <w:t>严密监控污染源污染状况，设置必要的检漏时间及检漏周期，在一个检漏周期内，对可能有污染物跑冒滴漏等产生的地区进行必要的检漏工作，及时发现污染物渗漏等事件，采取补救措施。</w:t>
            </w:r>
          </w:p>
          <w:p>
            <w:pPr>
              <w:spacing w:line="360" w:lineRule="auto"/>
              <w:ind w:firstLine="480" w:firstLineChars="200"/>
              <w:rPr>
                <w:kern w:val="0"/>
                <w:sz w:val="24"/>
                <w:lang w:val="zh-CN"/>
              </w:rPr>
            </w:pPr>
            <w:r>
              <w:rPr>
                <w:kern w:val="0"/>
                <w:sz w:val="24"/>
                <w:lang w:val="zh-CN"/>
              </w:rPr>
              <w:t>(3)分区防控措施</w:t>
            </w:r>
          </w:p>
          <w:p>
            <w:pPr>
              <w:spacing w:line="360" w:lineRule="auto"/>
              <w:ind w:firstLine="480" w:firstLineChars="200"/>
              <w:rPr>
                <w:kern w:val="0"/>
                <w:sz w:val="24"/>
                <w:lang w:val="zh-CN"/>
              </w:rPr>
            </w:pPr>
            <w:r>
              <w:rPr>
                <w:kern w:val="0"/>
                <w:sz w:val="24"/>
                <w:lang w:val="zh-CN"/>
              </w:rPr>
              <w:t>根据《环境影响评价技术导则 地下水环境》（HJ610-2016），将项目建设场地划分为重点防渗区、一般防渗区、简单防渗区，采取不同等级的防渗方案。</w:t>
            </w:r>
          </w:p>
          <w:p>
            <w:pPr>
              <w:widowControl/>
              <w:spacing w:line="360" w:lineRule="auto"/>
              <w:jc w:val="center"/>
              <w:rPr>
                <w:b/>
                <w:bCs/>
              </w:rPr>
            </w:pPr>
            <w:r>
              <w:rPr>
                <w:b/>
                <w:bCs/>
              </w:rPr>
              <w:t>表4-</w:t>
            </w:r>
            <w:r>
              <w:rPr>
                <w:rFonts w:hint="eastAsia"/>
                <w:b/>
                <w:bCs/>
              </w:rPr>
              <w:t>8</w:t>
            </w:r>
            <w:r>
              <w:rPr>
                <w:b/>
                <w:bCs/>
              </w:rPr>
              <w:t xml:space="preserve">  分区防渗方案</w:t>
            </w:r>
          </w:p>
          <w:tbl>
            <w:tblPr>
              <w:tblStyle w:val="7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23"/>
              <w:gridCol w:w="1073"/>
              <w:gridCol w:w="2434"/>
              <w:gridCol w:w="33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996" w:type="dxa"/>
                  <w:gridSpan w:val="2"/>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防渗区域</w:t>
                  </w:r>
                </w:p>
              </w:tc>
              <w:tc>
                <w:tcPr>
                  <w:tcW w:w="243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防渗技术要求</w:t>
                  </w:r>
                </w:p>
              </w:tc>
              <w:tc>
                <w:tcPr>
                  <w:tcW w:w="334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防渗方案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重点防渗区</w:t>
                  </w:r>
                </w:p>
              </w:tc>
              <w:tc>
                <w:tcPr>
                  <w:tcW w:w="107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危险废物暂存间</w:t>
                  </w:r>
                </w:p>
              </w:tc>
              <w:tc>
                <w:tcPr>
                  <w:tcW w:w="243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按照《危险废物贮存污染控制标准》（GB18597）执行</w:t>
                  </w:r>
                </w:p>
              </w:tc>
              <w:tc>
                <w:tcPr>
                  <w:tcW w:w="334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底层采用黏土夯实，地面底层为水泥砂浆，上面铺设为2mm厚高密度聚乙烯防渗布，最后以防渗混凝土做地面，地面及裙脚防腐防渗处理，渗透系数≤1×10</w:t>
                  </w:r>
                  <w:r>
                    <w:rPr>
                      <w:rFonts w:ascii="Times New Roman" w:hAnsi="Times New Roman" w:cs="Times New Roman" w:eastAsiaTheme="minorEastAsia"/>
                      <w:vertAlign w:val="superscript"/>
                      <w:lang w:eastAsia="zh-CN"/>
                    </w:rPr>
                    <w:t>-10</w:t>
                  </w:r>
                  <w:r>
                    <w:rPr>
                      <w:rFonts w:ascii="Times New Roman" w:hAnsi="Times New Roman" w:cs="Times New Roman" w:eastAsiaTheme="minorEastAsia"/>
                      <w:lang w:eastAsia="zh-CN"/>
                    </w:rPr>
                    <w:t>cm/s；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923"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一般防渗区</w:t>
                  </w:r>
                </w:p>
              </w:tc>
              <w:tc>
                <w:tcPr>
                  <w:tcW w:w="107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en-US"/>
                    </w:rPr>
                    <w:t>生产车间</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循环水池</w:t>
                  </w:r>
                </w:p>
              </w:tc>
              <w:tc>
                <w:tcPr>
                  <w:tcW w:w="2434" w:type="dxa"/>
                  <w:vAlign w:val="center"/>
                </w:tcPr>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等效黏土防渗层</w:t>
                  </w:r>
                </w:p>
                <w:p>
                  <w:pPr>
                    <w:autoSpaceDE w:val="0"/>
                    <w:autoSpaceDN w:val="0"/>
                    <w:spacing w:line="280" w:lineRule="exact"/>
                    <w:jc w:val="center"/>
                    <w:rPr>
                      <w:rFonts w:ascii="Times New Roman" w:hAnsi="Times New Roman" w:cs="Times New Roman" w:eastAsiaTheme="minorEastAsia"/>
                      <w:lang w:eastAsia="en-US"/>
                    </w:rPr>
                  </w:pPr>
                  <w:r>
                    <w:rPr>
                      <w:rFonts w:ascii="Times New Roman" w:hAnsi="Times New Roman" w:cs="Times New Roman" w:eastAsiaTheme="minorEastAsia"/>
                      <w:lang w:eastAsia="en-US"/>
                    </w:rPr>
                    <w:t>Mb≥1.5m,K≤1×10</w:t>
                  </w:r>
                  <w:r>
                    <w:rPr>
                      <w:rFonts w:ascii="Times New Roman" w:hAnsi="Times New Roman" w:cs="Times New Roman" w:eastAsiaTheme="minorEastAsia"/>
                      <w:vertAlign w:val="superscript"/>
                      <w:lang w:eastAsia="en-US"/>
                    </w:rPr>
                    <w:t>-7</w:t>
                  </w:r>
                  <w:r>
                    <w:rPr>
                      <w:rFonts w:ascii="Times New Roman" w:hAnsi="Times New Roman" w:cs="Times New Roman" w:eastAsiaTheme="minorEastAsia"/>
                      <w:lang w:eastAsia="en-US"/>
                    </w:rPr>
                    <w:t>cm/s</w:t>
                  </w:r>
                </w:p>
              </w:tc>
              <w:tc>
                <w:tcPr>
                  <w:tcW w:w="334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采用三合土铺底，上层15cm水泥硬化，渗透系数小于10</w:t>
                  </w:r>
                  <w:r>
                    <w:rPr>
                      <w:rFonts w:ascii="Times New Roman" w:hAnsi="Times New Roman" w:cs="Times New Roman" w:eastAsiaTheme="minorEastAsia"/>
                      <w:vertAlign w:val="superscript"/>
                      <w:lang w:eastAsia="zh-CN"/>
                    </w:rPr>
                    <w:t>-7</w:t>
                  </w:r>
                  <w:r>
                    <w:rPr>
                      <w:rFonts w:ascii="Times New Roman" w:hAnsi="Times New Roman" w:cs="Times New Roman" w:eastAsiaTheme="minorEastAsia"/>
                      <w:lang w:eastAsia="zh-CN"/>
                    </w:rPr>
                    <w:t>cm/s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简单防渗区</w:t>
                  </w:r>
                </w:p>
              </w:tc>
              <w:tc>
                <w:tcPr>
                  <w:tcW w:w="1073"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办公区、道路</w:t>
                  </w:r>
                </w:p>
              </w:tc>
              <w:tc>
                <w:tcPr>
                  <w:tcW w:w="2434"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一般地面硬化</w:t>
                  </w:r>
                </w:p>
              </w:tc>
              <w:tc>
                <w:tcPr>
                  <w:tcW w:w="3348" w:type="dxa"/>
                  <w:vAlign w:val="center"/>
                </w:tcPr>
                <w:p>
                  <w:pPr>
                    <w:autoSpaceDE w:val="0"/>
                    <w:autoSpaceDN w:val="0"/>
                    <w:spacing w:line="280" w:lineRule="exact"/>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一般地面硬化；</w:t>
                  </w:r>
                </w:p>
              </w:tc>
            </w:tr>
          </w:tbl>
          <w:p>
            <w:pPr>
              <w:spacing w:line="360" w:lineRule="auto"/>
              <w:ind w:firstLine="482" w:firstLineChars="200"/>
              <w:rPr>
                <w:b/>
                <w:kern w:val="0"/>
                <w:sz w:val="24"/>
              </w:rPr>
            </w:pPr>
            <w:r>
              <w:rPr>
                <w:b/>
                <w:kern w:val="0"/>
                <w:sz w:val="24"/>
              </w:rPr>
              <w:t>六、生态</w:t>
            </w:r>
          </w:p>
          <w:p>
            <w:pPr>
              <w:spacing w:line="360" w:lineRule="auto"/>
              <w:ind w:firstLine="480" w:firstLineChars="200"/>
              <w:rPr>
                <w:kern w:val="0"/>
                <w:sz w:val="24"/>
                <w:lang w:val="zh-CN"/>
              </w:rPr>
            </w:pPr>
            <w:r>
              <w:rPr>
                <w:kern w:val="0"/>
                <w:sz w:val="24"/>
                <w:lang w:val="zh-CN"/>
              </w:rPr>
              <w:t>本项目占地为建设用地，不新增用地，不会导致区域土地利用格局发生变化；不会</w:t>
            </w:r>
            <w:r>
              <w:rPr>
                <w:bCs/>
                <w:kern w:val="0"/>
                <w:sz w:val="24"/>
              </w:rPr>
              <w:t>对区域植被造成破坏；工程排污对动植物影响忽略不计</w:t>
            </w:r>
            <w:r>
              <w:rPr>
                <w:kern w:val="0"/>
                <w:sz w:val="24"/>
              </w:rPr>
              <w:t>，生态环境影响可接受</w:t>
            </w:r>
            <w:r>
              <w:rPr>
                <w:kern w:val="0"/>
                <w:sz w:val="24"/>
                <w:lang w:val="zh-CN"/>
              </w:rPr>
              <w:t>。</w:t>
            </w:r>
          </w:p>
          <w:p>
            <w:pPr>
              <w:spacing w:line="360" w:lineRule="auto"/>
              <w:ind w:firstLine="482" w:firstLineChars="200"/>
              <w:rPr>
                <w:b/>
                <w:kern w:val="0"/>
                <w:sz w:val="24"/>
                <w:lang w:val="zh-CN"/>
              </w:rPr>
            </w:pPr>
            <w:r>
              <w:rPr>
                <w:b/>
                <w:kern w:val="0"/>
                <w:sz w:val="24"/>
                <w:lang w:val="zh-CN"/>
              </w:rPr>
              <w:t>七、环境风险</w:t>
            </w:r>
          </w:p>
          <w:p>
            <w:pPr>
              <w:spacing w:line="360" w:lineRule="auto"/>
              <w:ind w:firstLine="480" w:firstLineChars="200"/>
              <w:rPr>
                <w:kern w:val="0"/>
                <w:sz w:val="24"/>
                <w:lang w:val="zh-CN"/>
              </w:rPr>
            </w:pPr>
            <w:r>
              <w:rPr>
                <w:kern w:val="0"/>
                <w:sz w:val="24"/>
                <w:lang w:val="zh-CN"/>
              </w:rPr>
              <w:t>1、环境风险识别</w:t>
            </w:r>
          </w:p>
          <w:p>
            <w:pPr>
              <w:spacing w:line="360" w:lineRule="auto"/>
              <w:ind w:firstLine="480" w:firstLineChars="200"/>
              <w:rPr>
                <w:kern w:val="0"/>
                <w:sz w:val="24"/>
                <w:lang w:val="zh-CN"/>
              </w:rPr>
            </w:pPr>
            <w:r>
              <w:rPr>
                <w:kern w:val="0"/>
                <w:sz w:val="24"/>
                <w:lang w:val="zh-CN"/>
              </w:rPr>
              <w:t>根据《建设项目环境风险评价技术导则》（HJ169-2018）附录B进行危险物质识别，本项目涉及的危险物质有废机油。</w:t>
            </w:r>
          </w:p>
          <w:p>
            <w:pPr>
              <w:widowControl/>
              <w:spacing w:line="360" w:lineRule="auto"/>
              <w:jc w:val="center"/>
              <w:rPr>
                <w:b/>
                <w:bCs/>
              </w:rPr>
            </w:pPr>
            <w:r>
              <w:rPr>
                <w:b/>
                <w:bCs/>
              </w:rPr>
              <w:t>表4-</w:t>
            </w:r>
            <w:r>
              <w:rPr>
                <w:rFonts w:hint="eastAsia"/>
                <w:b/>
                <w:bCs/>
              </w:rPr>
              <w:t>9</w:t>
            </w:r>
            <w:r>
              <w:rPr>
                <w:b/>
                <w:bCs/>
              </w:rPr>
              <w:t xml:space="preserve">  环境风险识别表</w:t>
            </w:r>
          </w:p>
          <w:tbl>
            <w:tblPr>
              <w:tblStyle w:val="22"/>
              <w:tblW w:w="80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18"/>
              <w:gridCol w:w="1088"/>
              <w:gridCol w:w="1841"/>
              <w:gridCol w:w="1418"/>
              <w:gridCol w:w="23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79" w:type="pct"/>
                  <w:vAlign w:val="center"/>
                </w:tcPr>
                <w:p>
                  <w:pPr>
                    <w:spacing w:line="280" w:lineRule="exact"/>
                    <w:jc w:val="center"/>
                    <w:rPr>
                      <w:szCs w:val="21"/>
                    </w:rPr>
                  </w:pPr>
                  <w:r>
                    <w:rPr>
                      <w:szCs w:val="21"/>
                    </w:rPr>
                    <w:t>风险单元</w:t>
                  </w:r>
                </w:p>
              </w:tc>
              <w:tc>
                <w:tcPr>
                  <w:tcW w:w="674" w:type="pct"/>
                  <w:vAlign w:val="center"/>
                </w:tcPr>
                <w:p>
                  <w:pPr>
                    <w:spacing w:line="280" w:lineRule="exact"/>
                    <w:jc w:val="center"/>
                    <w:rPr>
                      <w:szCs w:val="21"/>
                    </w:rPr>
                  </w:pPr>
                  <w:r>
                    <w:rPr>
                      <w:szCs w:val="21"/>
                    </w:rPr>
                    <w:t>危险物质</w:t>
                  </w:r>
                </w:p>
              </w:tc>
              <w:tc>
                <w:tcPr>
                  <w:tcW w:w="1141" w:type="pct"/>
                  <w:vAlign w:val="center"/>
                </w:tcPr>
                <w:p>
                  <w:pPr>
                    <w:spacing w:line="280" w:lineRule="exact"/>
                    <w:jc w:val="center"/>
                    <w:rPr>
                      <w:szCs w:val="21"/>
                    </w:rPr>
                  </w:pPr>
                  <w:r>
                    <w:rPr>
                      <w:szCs w:val="21"/>
                    </w:rPr>
                    <w:t>环境风险类型</w:t>
                  </w:r>
                </w:p>
              </w:tc>
              <w:tc>
                <w:tcPr>
                  <w:tcW w:w="879" w:type="pct"/>
                  <w:vAlign w:val="center"/>
                </w:tcPr>
                <w:p>
                  <w:pPr>
                    <w:spacing w:line="280" w:lineRule="exact"/>
                    <w:jc w:val="center"/>
                    <w:rPr>
                      <w:szCs w:val="21"/>
                    </w:rPr>
                  </w:pPr>
                  <w:r>
                    <w:rPr>
                      <w:szCs w:val="21"/>
                    </w:rPr>
                    <w:t>环境影响途径</w:t>
                  </w:r>
                </w:p>
              </w:tc>
              <w:tc>
                <w:tcPr>
                  <w:tcW w:w="1427" w:type="pct"/>
                  <w:vAlign w:val="center"/>
                </w:tcPr>
                <w:p>
                  <w:pPr>
                    <w:spacing w:line="280" w:lineRule="exact"/>
                    <w:jc w:val="center"/>
                    <w:rPr>
                      <w:szCs w:val="21"/>
                    </w:rPr>
                  </w:pPr>
                  <w:r>
                    <w:rPr>
                      <w:szCs w:val="21"/>
                    </w:rPr>
                    <w:t>可能</w:t>
                  </w:r>
                  <w:r>
                    <w:rPr>
                      <w:rFonts w:hint="eastAsia"/>
                      <w:szCs w:val="21"/>
                      <w:lang w:eastAsia="zh-CN"/>
                    </w:rPr>
                    <w:t>受到</w:t>
                  </w:r>
                  <w:r>
                    <w:rPr>
                      <w:szCs w:val="21"/>
                    </w:rPr>
                    <w:t>影响的环境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79" w:type="pct"/>
                  <w:vAlign w:val="center"/>
                </w:tcPr>
                <w:p>
                  <w:pPr>
                    <w:spacing w:line="280" w:lineRule="exact"/>
                    <w:jc w:val="center"/>
                    <w:rPr>
                      <w:szCs w:val="21"/>
                    </w:rPr>
                  </w:pPr>
                  <w:r>
                    <w:rPr>
                      <w:szCs w:val="21"/>
                    </w:rPr>
                    <w:t>危废贮存库</w:t>
                  </w:r>
                </w:p>
              </w:tc>
              <w:tc>
                <w:tcPr>
                  <w:tcW w:w="674" w:type="pct"/>
                  <w:vAlign w:val="center"/>
                </w:tcPr>
                <w:p>
                  <w:pPr>
                    <w:spacing w:line="280" w:lineRule="exact"/>
                    <w:jc w:val="center"/>
                    <w:rPr>
                      <w:szCs w:val="21"/>
                    </w:rPr>
                  </w:pPr>
                  <w:r>
                    <w:rPr>
                      <w:szCs w:val="21"/>
                    </w:rPr>
                    <w:t>废机油</w:t>
                  </w:r>
                </w:p>
              </w:tc>
              <w:tc>
                <w:tcPr>
                  <w:tcW w:w="1141" w:type="pct"/>
                  <w:vAlign w:val="center"/>
                </w:tcPr>
                <w:p>
                  <w:pPr>
                    <w:spacing w:line="280" w:lineRule="exact"/>
                    <w:jc w:val="center"/>
                    <w:rPr>
                      <w:szCs w:val="21"/>
                    </w:rPr>
                  </w:pPr>
                  <w:r>
                    <w:rPr>
                      <w:szCs w:val="21"/>
                    </w:rPr>
                    <w:t>泄漏、火灾、爆炸</w:t>
                  </w:r>
                </w:p>
              </w:tc>
              <w:tc>
                <w:tcPr>
                  <w:tcW w:w="879" w:type="pct"/>
                  <w:vAlign w:val="center"/>
                </w:tcPr>
                <w:p>
                  <w:pPr>
                    <w:spacing w:line="280" w:lineRule="exact"/>
                    <w:jc w:val="center"/>
                    <w:rPr>
                      <w:szCs w:val="21"/>
                    </w:rPr>
                  </w:pPr>
                  <w:r>
                    <w:rPr>
                      <w:szCs w:val="21"/>
                    </w:rPr>
                    <w:t>扩散、下渗</w:t>
                  </w:r>
                </w:p>
              </w:tc>
              <w:tc>
                <w:tcPr>
                  <w:tcW w:w="1427" w:type="pct"/>
                  <w:vAlign w:val="center"/>
                </w:tcPr>
                <w:p>
                  <w:pPr>
                    <w:spacing w:line="280" w:lineRule="exact"/>
                    <w:jc w:val="center"/>
                    <w:rPr>
                      <w:szCs w:val="21"/>
                    </w:rPr>
                  </w:pPr>
                  <w:r>
                    <w:rPr>
                      <w:szCs w:val="21"/>
                    </w:rPr>
                    <w:t>周边环境空气、地下水、土壤</w:t>
                  </w:r>
                </w:p>
              </w:tc>
            </w:tr>
          </w:tbl>
          <w:p>
            <w:pPr>
              <w:spacing w:line="360" w:lineRule="auto"/>
              <w:ind w:firstLine="480" w:firstLineChars="200"/>
              <w:rPr>
                <w:kern w:val="0"/>
                <w:sz w:val="24"/>
                <w:lang w:val="zh-CN"/>
              </w:rPr>
            </w:pPr>
            <w:r>
              <w:rPr>
                <w:kern w:val="0"/>
                <w:sz w:val="24"/>
                <w:lang w:val="zh-CN"/>
              </w:rPr>
              <w:t>本项目危险物质储存情况见表4-1</w:t>
            </w:r>
            <w:r>
              <w:rPr>
                <w:rFonts w:hint="eastAsia"/>
                <w:kern w:val="0"/>
                <w:sz w:val="24"/>
                <w:lang w:val="zh-CN"/>
              </w:rPr>
              <w:t>0</w:t>
            </w:r>
            <w:r>
              <w:rPr>
                <w:kern w:val="0"/>
                <w:sz w:val="24"/>
                <w:lang w:val="zh-CN"/>
              </w:rPr>
              <w:t>。</w:t>
            </w:r>
          </w:p>
          <w:p>
            <w:pPr>
              <w:widowControl/>
              <w:spacing w:line="360" w:lineRule="auto"/>
              <w:jc w:val="center"/>
              <w:rPr>
                <w:b/>
                <w:bCs/>
              </w:rPr>
            </w:pPr>
            <w:r>
              <w:rPr>
                <w:b/>
                <w:bCs/>
              </w:rPr>
              <w:t>表4-1</w:t>
            </w:r>
            <w:r>
              <w:rPr>
                <w:rFonts w:hint="eastAsia"/>
                <w:b/>
                <w:bCs/>
              </w:rPr>
              <w:t>0</w:t>
            </w:r>
            <w:r>
              <w:rPr>
                <w:b/>
                <w:bCs/>
              </w:rPr>
              <w:t xml:space="preserve">  危险物质储存情况</w:t>
            </w:r>
          </w:p>
          <w:tbl>
            <w:tblPr>
              <w:tblStyle w:val="22"/>
              <w:tblW w:w="484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6"/>
              <w:gridCol w:w="1705"/>
              <w:gridCol w:w="1594"/>
              <w:gridCol w:w="1284"/>
              <w:gridCol w:w="16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034" w:type="pct"/>
                  <w:vAlign w:val="center"/>
                </w:tcPr>
                <w:p>
                  <w:pPr>
                    <w:spacing w:line="280" w:lineRule="exact"/>
                    <w:jc w:val="center"/>
                  </w:pPr>
                  <w:r>
                    <w:t>危险物质名称</w:t>
                  </w:r>
                </w:p>
              </w:tc>
              <w:tc>
                <w:tcPr>
                  <w:tcW w:w="1091" w:type="pct"/>
                  <w:vAlign w:val="center"/>
                </w:tcPr>
                <w:p>
                  <w:pPr>
                    <w:spacing w:line="280" w:lineRule="exact"/>
                    <w:jc w:val="center"/>
                  </w:pPr>
                  <w:r>
                    <w:t>储存地点</w:t>
                  </w:r>
                </w:p>
              </w:tc>
              <w:tc>
                <w:tcPr>
                  <w:tcW w:w="1020" w:type="pct"/>
                  <w:vAlign w:val="center"/>
                </w:tcPr>
                <w:p>
                  <w:pPr>
                    <w:spacing w:line="280" w:lineRule="exact"/>
                    <w:jc w:val="center"/>
                  </w:pPr>
                  <w:r>
                    <w:t>最大储存量Qi</w:t>
                  </w:r>
                </w:p>
              </w:tc>
              <w:tc>
                <w:tcPr>
                  <w:tcW w:w="821" w:type="pct"/>
                  <w:vAlign w:val="center"/>
                </w:tcPr>
                <w:p>
                  <w:pPr>
                    <w:spacing w:line="280" w:lineRule="exact"/>
                    <w:jc w:val="center"/>
                  </w:pPr>
                  <w:r>
                    <w:t>临界量Qn</w:t>
                  </w:r>
                </w:p>
              </w:tc>
              <w:tc>
                <w:tcPr>
                  <w:tcW w:w="1034" w:type="pct"/>
                  <w:vAlign w:val="center"/>
                </w:tcPr>
                <w:p>
                  <w:pPr>
                    <w:spacing w:line="280" w:lineRule="exact"/>
                    <w:jc w:val="center"/>
                  </w:pPr>
                  <w:r>
                    <w:t>Qi/Qn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34" w:type="pct"/>
                  <w:vAlign w:val="center"/>
                </w:tcPr>
                <w:p>
                  <w:pPr>
                    <w:spacing w:line="280" w:lineRule="exact"/>
                    <w:jc w:val="center"/>
                  </w:pPr>
                  <w:r>
                    <w:t>废机油</w:t>
                  </w:r>
                </w:p>
              </w:tc>
              <w:tc>
                <w:tcPr>
                  <w:tcW w:w="1091" w:type="pct"/>
                  <w:vAlign w:val="center"/>
                </w:tcPr>
                <w:p>
                  <w:pPr>
                    <w:spacing w:line="280" w:lineRule="exact"/>
                    <w:jc w:val="center"/>
                  </w:pPr>
                  <w:r>
                    <w:t>危废贮存库</w:t>
                  </w:r>
                </w:p>
              </w:tc>
              <w:tc>
                <w:tcPr>
                  <w:tcW w:w="1020" w:type="pct"/>
                  <w:vAlign w:val="center"/>
                </w:tcPr>
                <w:p>
                  <w:pPr>
                    <w:spacing w:line="280" w:lineRule="exact"/>
                    <w:jc w:val="center"/>
                  </w:pPr>
                  <w:r>
                    <w:t>0.02t</w:t>
                  </w:r>
                </w:p>
              </w:tc>
              <w:tc>
                <w:tcPr>
                  <w:tcW w:w="821" w:type="pct"/>
                  <w:vAlign w:val="center"/>
                </w:tcPr>
                <w:p>
                  <w:pPr>
                    <w:spacing w:line="280" w:lineRule="exact"/>
                    <w:jc w:val="center"/>
                  </w:pPr>
                  <w:r>
                    <w:t>2500t</w:t>
                  </w:r>
                </w:p>
              </w:tc>
              <w:tc>
                <w:tcPr>
                  <w:tcW w:w="1034" w:type="pct"/>
                  <w:vAlign w:val="center"/>
                </w:tcPr>
                <w:p>
                  <w:pPr>
                    <w:spacing w:line="280" w:lineRule="exact"/>
                    <w:jc w:val="center"/>
                  </w:pPr>
                  <w:r>
                    <w:t>0.000008</w:t>
                  </w:r>
                </w:p>
              </w:tc>
            </w:tr>
          </w:tbl>
          <w:p>
            <w:pPr>
              <w:spacing w:line="360" w:lineRule="auto"/>
              <w:ind w:firstLine="480" w:firstLineChars="200"/>
              <w:rPr>
                <w:kern w:val="0"/>
                <w:sz w:val="24"/>
              </w:rPr>
            </w:pPr>
            <w:r>
              <w:rPr>
                <w:kern w:val="0"/>
                <w:sz w:val="24"/>
              </w:rPr>
              <w:t>根据《建设项目环境风险评价技术导则》（HJ169-2018），Q&lt;1，可开展简单分析。</w:t>
            </w:r>
          </w:p>
          <w:p>
            <w:pPr>
              <w:spacing w:line="360" w:lineRule="auto"/>
              <w:ind w:firstLine="480" w:firstLineChars="200"/>
              <w:rPr>
                <w:kern w:val="0"/>
                <w:sz w:val="24"/>
                <w:lang w:val="zh-CN"/>
              </w:rPr>
            </w:pPr>
            <w:r>
              <w:rPr>
                <w:kern w:val="0"/>
                <w:sz w:val="24"/>
                <w:lang w:val="zh-CN"/>
              </w:rPr>
              <w:t>2、环境风险影响的途径</w:t>
            </w:r>
          </w:p>
          <w:p>
            <w:pPr>
              <w:spacing w:line="360" w:lineRule="auto"/>
              <w:ind w:firstLine="480" w:firstLineChars="200"/>
              <w:rPr>
                <w:kern w:val="0"/>
                <w:sz w:val="24"/>
                <w:lang w:val="zh-CN"/>
              </w:rPr>
            </w:pPr>
            <w:r>
              <w:rPr>
                <w:rFonts w:ascii="Cambria Math" w:hAnsi="Cambria Math" w:cs="Cambria Math"/>
                <w:kern w:val="0"/>
                <w:sz w:val="24"/>
                <w:lang w:val="zh-CN"/>
              </w:rPr>
              <w:t>①</w:t>
            </w:r>
            <w:r>
              <w:rPr>
                <w:kern w:val="0"/>
                <w:sz w:val="24"/>
                <w:lang w:val="zh-CN"/>
              </w:rPr>
              <w:t>废机油泄漏后遇明火，引发火灾事故，火灾事故产生的CO等次生污染物对大气环境造成影响；</w:t>
            </w:r>
          </w:p>
          <w:p>
            <w:pPr>
              <w:spacing w:line="360" w:lineRule="auto"/>
              <w:ind w:firstLine="480" w:firstLineChars="200"/>
              <w:rPr>
                <w:kern w:val="0"/>
                <w:sz w:val="24"/>
                <w:lang w:val="zh-CN"/>
              </w:rPr>
            </w:pPr>
            <w:r>
              <w:rPr>
                <w:rFonts w:ascii="Cambria Math" w:hAnsi="Cambria Math" w:cs="Cambria Math"/>
                <w:kern w:val="0"/>
                <w:sz w:val="24"/>
                <w:lang w:val="zh-CN"/>
              </w:rPr>
              <w:t>②</w:t>
            </w:r>
            <w:r>
              <w:rPr>
                <w:kern w:val="0"/>
                <w:sz w:val="24"/>
                <w:lang w:val="zh-CN"/>
              </w:rPr>
              <w:t>废机油泄漏后通过地表下渗，对土壤环境和地下水环境造成影响；</w:t>
            </w:r>
          </w:p>
          <w:p>
            <w:pPr>
              <w:spacing w:line="360" w:lineRule="auto"/>
              <w:ind w:firstLine="480" w:firstLineChars="200"/>
              <w:rPr>
                <w:kern w:val="0"/>
                <w:sz w:val="24"/>
                <w:lang w:val="zh-CN"/>
              </w:rPr>
            </w:pPr>
            <w:r>
              <w:rPr>
                <w:rFonts w:ascii="Cambria Math" w:hAnsi="Cambria Math" w:cs="Cambria Math"/>
                <w:kern w:val="0"/>
                <w:sz w:val="24"/>
                <w:lang w:val="zh-CN"/>
              </w:rPr>
              <w:t>③</w:t>
            </w:r>
            <w:r>
              <w:rPr>
                <w:kern w:val="0"/>
                <w:sz w:val="24"/>
                <w:lang w:val="zh-CN"/>
              </w:rPr>
              <w:t>发生火灾事故后，消防废水外排，对区域地表水环境产生影响。</w:t>
            </w:r>
          </w:p>
          <w:p>
            <w:pPr>
              <w:spacing w:line="360" w:lineRule="auto"/>
              <w:ind w:firstLine="480" w:firstLineChars="200"/>
              <w:rPr>
                <w:kern w:val="0"/>
                <w:sz w:val="24"/>
                <w:lang w:val="zh-CN"/>
              </w:rPr>
            </w:pPr>
            <w:r>
              <w:rPr>
                <w:kern w:val="0"/>
                <w:sz w:val="24"/>
                <w:lang w:val="zh-CN"/>
              </w:rPr>
              <w:t>3、环境风险防范措施</w:t>
            </w:r>
          </w:p>
          <w:p>
            <w:pPr>
              <w:spacing w:line="360" w:lineRule="auto"/>
              <w:ind w:firstLine="480" w:firstLineChars="200"/>
              <w:rPr>
                <w:kern w:val="0"/>
                <w:sz w:val="24"/>
                <w:lang w:val="zh-CN"/>
              </w:rPr>
            </w:pPr>
            <w:r>
              <w:rPr>
                <w:rFonts w:ascii="Cambria Math" w:hAnsi="Cambria Math" w:cs="Cambria Math"/>
                <w:kern w:val="0"/>
                <w:sz w:val="24"/>
                <w:lang w:val="zh-CN"/>
              </w:rPr>
              <w:t>①</w:t>
            </w:r>
            <w:r>
              <w:rPr>
                <w:kern w:val="0"/>
                <w:sz w:val="24"/>
                <w:lang w:val="zh-CN"/>
              </w:rPr>
              <w:t>危险废物暂存间内设置围堰，地面进行防渗混凝土结构；</w:t>
            </w:r>
          </w:p>
          <w:p>
            <w:pPr>
              <w:spacing w:line="360" w:lineRule="auto"/>
              <w:ind w:firstLine="480" w:firstLineChars="200"/>
              <w:rPr>
                <w:kern w:val="0"/>
                <w:sz w:val="24"/>
                <w:lang w:val="zh-CN"/>
              </w:rPr>
            </w:pPr>
            <w:r>
              <w:rPr>
                <w:rFonts w:ascii="Cambria Math" w:hAnsi="Cambria Math" w:cs="Cambria Math"/>
                <w:kern w:val="0"/>
                <w:sz w:val="24"/>
                <w:lang w:val="zh-CN"/>
              </w:rPr>
              <w:t>②</w:t>
            </w:r>
            <w:r>
              <w:rPr>
                <w:kern w:val="0"/>
                <w:sz w:val="24"/>
                <w:lang w:val="zh-CN"/>
              </w:rPr>
              <w:t>危险废物暂存间周围配备干粉灭火器。发生少量泄漏采用砂土进行覆盖、吸收，含废矿物油的砂土集中收集后送环卫部门指定地点妥善处置。发生小面积火灾时采用干粉灭火器灭火，阻止事态进一步发展；</w:t>
            </w:r>
          </w:p>
          <w:p>
            <w:pPr>
              <w:spacing w:line="360" w:lineRule="auto"/>
              <w:ind w:firstLine="480" w:firstLineChars="200"/>
              <w:rPr>
                <w:kern w:val="0"/>
                <w:sz w:val="24"/>
                <w:lang w:val="zh-CN"/>
              </w:rPr>
            </w:pPr>
            <w:r>
              <w:rPr>
                <w:rFonts w:ascii="Cambria Math" w:hAnsi="Cambria Math" w:cs="Cambria Math"/>
                <w:kern w:val="0"/>
                <w:sz w:val="24"/>
                <w:lang w:val="zh-CN"/>
              </w:rPr>
              <w:t>③</w:t>
            </w:r>
            <w:r>
              <w:rPr>
                <w:kern w:val="0"/>
                <w:sz w:val="24"/>
                <w:lang w:val="zh-CN"/>
              </w:rPr>
              <w:t>加强管理，定期进行设备检修维护，从源头上防止事故发生；</w:t>
            </w:r>
          </w:p>
          <w:p>
            <w:pPr>
              <w:spacing w:line="360" w:lineRule="auto"/>
              <w:ind w:firstLine="480" w:firstLineChars="200"/>
              <w:rPr>
                <w:kern w:val="0"/>
                <w:sz w:val="24"/>
                <w:lang w:val="zh-CN"/>
              </w:rPr>
            </w:pPr>
            <w:r>
              <w:rPr>
                <w:rFonts w:ascii="Cambria Math" w:hAnsi="Cambria Math" w:cs="Cambria Math"/>
                <w:kern w:val="0"/>
                <w:sz w:val="24"/>
                <w:lang w:val="zh-CN"/>
              </w:rPr>
              <w:t>④</w:t>
            </w:r>
            <w:r>
              <w:rPr>
                <w:kern w:val="0"/>
                <w:sz w:val="24"/>
                <w:lang w:val="zh-CN"/>
              </w:rPr>
              <w:t>加强职工安全环保教育，增强操作人员的责任心，防止和减少因人为因素造成的事故；加强防火安全教育，配备足够的消防设施，落实安全管理责任。建立健全各种规章制度和岗位操作规程，落实安全责任。主要包括：安全生产责任制度、安全生产教育培训制度、安全生产检查制度、动火管理制度、防爆设备的安全管理制度、重大危险源点的管理制度、各岗位安全操作规程等；</w:t>
            </w:r>
          </w:p>
          <w:p>
            <w:pPr>
              <w:spacing w:line="360" w:lineRule="auto"/>
              <w:ind w:firstLine="480" w:firstLineChars="200"/>
              <w:rPr>
                <w:kern w:val="0"/>
                <w:sz w:val="24"/>
                <w:lang w:val="zh-CN"/>
              </w:rPr>
            </w:pPr>
            <w:r>
              <w:rPr>
                <w:rFonts w:ascii="Cambria Math" w:hAnsi="Cambria Math" w:cs="Cambria Math"/>
                <w:kern w:val="0"/>
                <w:sz w:val="24"/>
                <w:lang w:val="zh-CN"/>
              </w:rPr>
              <w:t>⑤</w:t>
            </w:r>
            <w:r>
              <w:rPr>
                <w:kern w:val="0"/>
                <w:sz w:val="24"/>
                <w:lang w:val="zh-CN"/>
              </w:rPr>
              <w:t>按照《建设项目环境风险评价技术导则》（HJ169-2018）中的规定并结合国家及地方应急预案法律法规制定企业突发环境事件应急预案，与园区应急预案衔接，同时到相关管理部门进行备案。</w:t>
            </w:r>
          </w:p>
          <w:p>
            <w:pPr>
              <w:spacing w:line="360" w:lineRule="auto"/>
              <w:ind w:firstLine="480" w:firstLineChars="200"/>
              <w:rPr>
                <w:kern w:val="0"/>
                <w:sz w:val="24"/>
                <w:lang w:val="zh-CN"/>
              </w:rPr>
            </w:pPr>
            <w:r>
              <w:rPr>
                <w:kern w:val="0"/>
                <w:sz w:val="24"/>
                <w:lang w:val="zh-CN"/>
              </w:rPr>
              <w:t>企业在采取上述环境风险防范措施后，风险事故的环境影响可控制在可接受范围内。</w:t>
            </w:r>
          </w:p>
          <w:p>
            <w:pPr>
              <w:spacing w:line="360" w:lineRule="auto"/>
              <w:ind w:firstLine="482" w:firstLineChars="200"/>
              <w:rPr>
                <w:b/>
                <w:kern w:val="0"/>
                <w:sz w:val="24"/>
                <w:lang w:val="zh-CN"/>
              </w:rPr>
            </w:pPr>
            <w:r>
              <w:rPr>
                <w:b/>
                <w:kern w:val="0"/>
                <w:sz w:val="24"/>
                <w:lang w:val="zh-CN"/>
              </w:rPr>
              <w:t>八、电磁辐射影响分析</w:t>
            </w:r>
          </w:p>
          <w:p>
            <w:pPr>
              <w:spacing w:line="360" w:lineRule="auto"/>
              <w:ind w:firstLine="480" w:firstLineChars="200"/>
              <w:rPr>
                <w:kern w:val="0"/>
                <w:sz w:val="24"/>
                <w:lang w:val="zh-CN"/>
              </w:rPr>
            </w:pPr>
            <w:r>
              <w:rPr>
                <w:kern w:val="0"/>
                <w:sz w:val="24"/>
                <w:lang w:val="zh-CN"/>
              </w:rPr>
              <w:t>本项目不属于电磁辐射类项目，本次评价不开展电磁辐射影响分析工作。</w:t>
            </w:r>
          </w:p>
          <w:p>
            <w:pPr>
              <w:spacing w:line="360" w:lineRule="auto"/>
              <w:ind w:firstLine="482" w:firstLineChars="200"/>
              <w:rPr>
                <w:b/>
                <w:kern w:val="0"/>
                <w:sz w:val="24"/>
                <w:lang w:val="zh-CN"/>
              </w:rPr>
            </w:pPr>
            <w:r>
              <w:rPr>
                <w:b/>
                <w:kern w:val="0"/>
                <w:sz w:val="24"/>
                <w:lang w:val="zh-CN"/>
              </w:rPr>
              <w:t>九、监测计划</w:t>
            </w:r>
          </w:p>
          <w:p>
            <w:pPr>
              <w:spacing w:line="360" w:lineRule="auto"/>
              <w:ind w:firstLine="480" w:firstLineChars="200"/>
              <w:rPr>
                <w:sz w:val="24"/>
              </w:rPr>
            </w:pPr>
            <w:r>
              <w:rPr>
                <w:sz w:val="24"/>
              </w:rPr>
              <w:t>项目扩建后全厂监测计划见表。</w:t>
            </w:r>
          </w:p>
          <w:p>
            <w:pPr>
              <w:widowControl/>
              <w:spacing w:line="360" w:lineRule="auto"/>
              <w:jc w:val="center"/>
              <w:rPr>
                <w:b/>
                <w:bCs/>
              </w:rPr>
            </w:pPr>
            <w:r>
              <w:rPr>
                <w:b/>
                <w:bCs/>
              </w:rPr>
              <w:t>表4-</w:t>
            </w:r>
            <w:r>
              <w:rPr>
                <w:rFonts w:hint="eastAsia"/>
                <w:b/>
                <w:bCs/>
              </w:rPr>
              <w:t>11</w:t>
            </w:r>
            <w:r>
              <w:rPr>
                <w:b/>
                <w:bCs/>
              </w:rPr>
              <w:t xml:space="preserve">  项目扩建后全厂监测计划一览表</w:t>
            </w:r>
          </w:p>
          <w:tbl>
            <w:tblPr>
              <w:tblStyle w:val="22"/>
              <w:tblW w:w="0" w:type="auto"/>
              <w:tblInd w:w="11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7"/>
              <w:gridCol w:w="2032"/>
              <w:gridCol w:w="1282"/>
              <w:gridCol w:w="649"/>
              <w:gridCol w:w="2050"/>
              <w:gridCol w:w="128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7" w:type="dxa"/>
                  <w:vAlign w:val="center"/>
                </w:tcPr>
                <w:p>
                  <w:pPr>
                    <w:jc w:val="center"/>
                  </w:pPr>
                  <w:r>
                    <w:t>排放类型</w:t>
                  </w:r>
                </w:p>
              </w:tc>
              <w:tc>
                <w:tcPr>
                  <w:tcW w:w="2032" w:type="dxa"/>
                  <w:vAlign w:val="center"/>
                </w:tcPr>
                <w:p>
                  <w:pPr>
                    <w:jc w:val="center"/>
                  </w:pPr>
                  <w:r>
                    <w:t>监测点位</w:t>
                  </w:r>
                </w:p>
              </w:tc>
              <w:tc>
                <w:tcPr>
                  <w:tcW w:w="1282" w:type="dxa"/>
                  <w:vAlign w:val="center"/>
                </w:tcPr>
                <w:p>
                  <w:pPr>
                    <w:jc w:val="center"/>
                  </w:pPr>
                  <w:r>
                    <w:t>监测因子</w:t>
                  </w:r>
                </w:p>
              </w:tc>
              <w:tc>
                <w:tcPr>
                  <w:tcW w:w="649" w:type="dxa"/>
                  <w:vAlign w:val="center"/>
                </w:tcPr>
                <w:p>
                  <w:pPr>
                    <w:jc w:val="center"/>
                  </w:pPr>
                  <w:r>
                    <w:t>排放浓度限值</w:t>
                  </w:r>
                </w:p>
              </w:tc>
              <w:tc>
                <w:tcPr>
                  <w:tcW w:w="2050" w:type="dxa"/>
                  <w:vAlign w:val="center"/>
                </w:tcPr>
                <w:p>
                  <w:pPr>
                    <w:jc w:val="center"/>
                  </w:pPr>
                  <w:r>
                    <w:t>排放类型</w:t>
                  </w:r>
                </w:p>
              </w:tc>
              <w:tc>
                <w:tcPr>
                  <w:tcW w:w="1282" w:type="dxa"/>
                  <w:vAlign w:val="center"/>
                </w:tcPr>
                <w:p>
                  <w:pPr>
                    <w:jc w:val="center"/>
                  </w:pPr>
                  <w:r>
                    <w:t>监测点位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657" w:type="dxa"/>
                  <w:vMerge w:val="restart"/>
                  <w:tcBorders>
                    <w:bottom w:val="single" w:color="000000" w:sz="4" w:space="0"/>
                  </w:tcBorders>
                  <w:vAlign w:val="center"/>
                </w:tcPr>
                <w:p>
                  <w:pPr>
                    <w:jc w:val="center"/>
                  </w:pPr>
                  <w:r>
                    <w:t>有组织</w:t>
                  </w:r>
                </w:p>
              </w:tc>
              <w:tc>
                <w:tcPr>
                  <w:tcW w:w="2032" w:type="dxa"/>
                  <w:tcBorders>
                    <w:bottom w:val="single" w:color="000000" w:sz="4" w:space="0"/>
                  </w:tcBorders>
                  <w:vAlign w:val="center"/>
                </w:tcPr>
                <w:p>
                  <w:pPr>
                    <w:jc w:val="center"/>
                  </w:pPr>
                  <w:r>
                    <w:t>有机废气排气筒</w:t>
                  </w:r>
                </w:p>
                <w:p>
                  <w:pPr>
                    <w:jc w:val="center"/>
                  </w:pPr>
                  <w:r>
                    <w:t>（DA001）</w:t>
                  </w:r>
                </w:p>
              </w:tc>
              <w:tc>
                <w:tcPr>
                  <w:tcW w:w="1282" w:type="dxa"/>
                  <w:tcBorders>
                    <w:bottom w:val="single" w:color="000000" w:sz="4" w:space="0"/>
                  </w:tcBorders>
                  <w:vAlign w:val="center"/>
                </w:tcPr>
                <w:p>
                  <w:pPr>
                    <w:jc w:val="center"/>
                  </w:pPr>
                  <w:r>
                    <w:t>非甲烷总烃</w:t>
                  </w:r>
                </w:p>
              </w:tc>
              <w:tc>
                <w:tcPr>
                  <w:tcW w:w="649" w:type="dxa"/>
                  <w:tcBorders>
                    <w:bottom w:val="single" w:color="000000" w:sz="4" w:space="0"/>
                  </w:tcBorders>
                  <w:vAlign w:val="center"/>
                </w:tcPr>
                <w:p>
                  <w:pPr>
                    <w:jc w:val="center"/>
                  </w:pPr>
                  <w:r>
                    <w:t>60</w:t>
                  </w:r>
                </w:p>
              </w:tc>
              <w:tc>
                <w:tcPr>
                  <w:tcW w:w="2050" w:type="dxa"/>
                  <w:vMerge w:val="restart"/>
                  <w:tcBorders>
                    <w:bottom w:val="single" w:color="000000" w:sz="4" w:space="0"/>
                  </w:tcBorders>
                  <w:vAlign w:val="center"/>
                </w:tcPr>
                <w:p>
                  <w:pPr>
                    <w:jc w:val="center"/>
                  </w:pPr>
                  <w:r>
                    <w:t>《合成树脂工业污染物排放标准》（GB31572-2015）表5中的相关规定</w:t>
                  </w:r>
                </w:p>
              </w:tc>
              <w:tc>
                <w:tcPr>
                  <w:tcW w:w="1282" w:type="dxa"/>
                  <w:tcBorders>
                    <w:bottom w:val="single" w:color="000000" w:sz="4" w:space="0"/>
                  </w:tcBorders>
                  <w:vAlign w:val="center"/>
                </w:tcPr>
                <w:p>
                  <w:pPr>
                    <w:jc w:val="center"/>
                  </w:pPr>
                  <w:r>
                    <w:t>1次/半年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657" w:type="dxa"/>
                  <w:vMerge w:val="continue"/>
                  <w:tcBorders>
                    <w:bottom w:val="single" w:color="000000" w:sz="4" w:space="0"/>
                  </w:tcBorders>
                  <w:vAlign w:val="center"/>
                </w:tcPr>
                <w:p>
                  <w:pPr>
                    <w:jc w:val="center"/>
                  </w:pPr>
                </w:p>
              </w:tc>
              <w:tc>
                <w:tcPr>
                  <w:tcW w:w="2032" w:type="dxa"/>
                  <w:tcBorders>
                    <w:bottom w:val="single" w:color="000000" w:sz="4" w:space="0"/>
                  </w:tcBorders>
                  <w:vAlign w:val="center"/>
                </w:tcPr>
                <w:p>
                  <w:pPr>
                    <w:jc w:val="center"/>
                  </w:pPr>
                  <w:r>
                    <w:t>破碎废气排气筒</w:t>
                  </w:r>
                </w:p>
                <w:p>
                  <w:pPr>
                    <w:jc w:val="center"/>
                  </w:pPr>
                  <w:r>
                    <w:t>（DA002）</w:t>
                  </w:r>
                </w:p>
              </w:tc>
              <w:tc>
                <w:tcPr>
                  <w:tcW w:w="1282" w:type="dxa"/>
                  <w:tcBorders>
                    <w:bottom w:val="single" w:color="000000" w:sz="4" w:space="0"/>
                  </w:tcBorders>
                  <w:vAlign w:val="center"/>
                </w:tcPr>
                <w:p>
                  <w:pPr>
                    <w:jc w:val="center"/>
                  </w:pPr>
                  <w:r>
                    <w:t>颗粒物</w:t>
                  </w:r>
                </w:p>
              </w:tc>
              <w:tc>
                <w:tcPr>
                  <w:tcW w:w="649" w:type="dxa"/>
                  <w:tcBorders>
                    <w:bottom w:val="single" w:color="000000" w:sz="4" w:space="0"/>
                  </w:tcBorders>
                  <w:vAlign w:val="center"/>
                </w:tcPr>
                <w:p>
                  <w:pPr>
                    <w:jc w:val="center"/>
                  </w:pPr>
                  <w:r>
                    <w:t>20</w:t>
                  </w:r>
                </w:p>
              </w:tc>
              <w:tc>
                <w:tcPr>
                  <w:tcW w:w="2050" w:type="dxa"/>
                  <w:vMerge w:val="continue"/>
                  <w:tcBorders>
                    <w:bottom w:val="single" w:color="000000" w:sz="4" w:space="0"/>
                  </w:tcBorders>
                  <w:vAlign w:val="center"/>
                </w:tcPr>
                <w:p>
                  <w:pPr>
                    <w:jc w:val="center"/>
                  </w:pPr>
                </w:p>
              </w:tc>
              <w:tc>
                <w:tcPr>
                  <w:tcW w:w="1282" w:type="dxa"/>
                  <w:tcBorders>
                    <w:bottom w:val="single" w:color="000000" w:sz="4" w:space="0"/>
                  </w:tcBorders>
                  <w:vAlign w:val="center"/>
                </w:tcPr>
                <w:p>
                  <w:pPr>
                    <w:jc w:val="center"/>
                  </w:pPr>
                  <w:r>
                    <w:t>1次/年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7" w:type="dxa"/>
                  <w:vMerge w:val="restart"/>
                  <w:vAlign w:val="center"/>
                </w:tcPr>
                <w:p>
                  <w:pPr>
                    <w:jc w:val="center"/>
                  </w:pPr>
                  <w:r>
                    <w:t>无组织</w:t>
                  </w:r>
                </w:p>
              </w:tc>
              <w:tc>
                <w:tcPr>
                  <w:tcW w:w="2032" w:type="dxa"/>
                  <w:vMerge w:val="restart"/>
                  <w:vAlign w:val="center"/>
                </w:tcPr>
                <w:p>
                  <w:pPr>
                    <w:jc w:val="center"/>
                  </w:pPr>
                  <w:r>
                    <w:t>厂界（上风向参照点</w:t>
                  </w:r>
                </w:p>
                <w:p>
                  <w:pPr>
                    <w:jc w:val="center"/>
                  </w:pPr>
                  <w:r>
                    <w:t>1#，下风向监控点</w:t>
                  </w:r>
                </w:p>
                <w:p>
                  <w:pPr>
                    <w:jc w:val="center"/>
                  </w:pPr>
                  <w:r>
                    <w:t>2#、3#、4#）</w:t>
                  </w:r>
                </w:p>
              </w:tc>
              <w:tc>
                <w:tcPr>
                  <w:tcW w:w="1282" w:type="dxa"/>
                  <w:vAlign w:val="center"/>
                </w:tcPr>
                <w:p>
                  <w:pPr>
                    <w:jc w:val="center"/>
                  </w:pPr>
                  <w:r>
                    <w:t>非甲烷总烃</w:t>
                  </w:r>
                </w:p>
              </w:tc>
              <w:tc>
                <w:tcPr>
                  <w:tcW w:w="649" w:type="dxa"/>
                  <w:vAlign w:val="center"/>
                </w:tcPr>
                <w:p>
                  <w:pPr>
                    <w:jc w:val="center"/>
                  </w:pPr>
                  <w:r>
                    <w:t>4</w:t>
                  </w:r>
                </w:p>
              </w:tc>
              <w:tc>
                <w:tcPr>
                  <w:tcW w:w="2050" w:type="dxa"/>
                  <w:vMerge w:val="restart"/>
                  <w:vAlign w:val="center"/>
                </w:tcPr>
                <w:p>
                  <w:pPr>
                    <w:jc w:val="center"/>
                  </w:pPr>
                  <w:r>
                    <w:t>《合成树脂工业污染物排放标准》（GB31572-2015）表9中的相关规定</w:t>
                  </w:r>
                </w:p>
              </w:tc>
              <w:tc>
                <w:tcPr>
                  <w:tcW w:w="1282" w:type="dxa"/>
                  <w:vAlign w:val="center"/>
                </w:tcPr>
                <w:p>
                  <w:pPr>
                    <w:jc w:val="center"/>
                  </w:pPr>
                  <w:r>
                    <w:t>1次/半年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7" w:type="dxa"/>
                  <w:vMerge w:val="continue"/>
                  <w:vAlign w:val="center"/>
                </w:tcPr>
                <w:p>
                  <w:pPr>
                    <w:jc w:val="center"/>
                  </w:pPr>
                </w:p>
              </w:tc>
              <w:tc>
                <w:tcPr>
                  <w:tcW w:w="2032" w:type="dxa"/>
                  <w:vMerge w:val="continue"/>
                  <w:vAlign w:val="center"/>
                </w:tcPr>
                <w:p>
                  <w:pPr>
                    <w:jc w:val="center"/>
                  </w:pPr>
                </w:p>
              </w:tc>
              <w:tc>
                <w:tcPr>
                  <w:tcW w:w="1282" w:type="dxa"/>
                  <w:vAlign w:val="center"/>
                </w:tcPr>
                <w:p>
                  <w:pPr>
                    <w:jc w:val="center"/>
                  </w:pPr>
                  <w:r>
                    <w:t>颗粒物</w:t>
                  </w:r>
                </w:p>
              </w:tc>
              <w:tc>
                <w:tcPr>
                  <w:tcW w:w="649" w:type="dxa"/>
                  <w:vAlign w:val="center"/>
                </w:tcPr>
                <w:p>
                  <w:pPr>
                    <w:jc w:val="center"/>
                  </w:pPr>
                  <w:r>
                    <w:t>1</w:t>
                  </w:r>
                </w:p>
              </w:tc>
              <w:tc>
                <w:tcPr>
                  <w:tcW w:w="2050" w:type="dxa"/>
                  <w:vMerge w:val="continue"/>
                  <w:vAlign w:val="center"/>
                </w:tcPr>
                <w:p>
                  <w:pPr>
                    <w:jc w:val="center"/>
                  </w:pPr>
                </w:p>
              </w:tc>
              <w:tc>
                <w:tcPr>
                  <w:tcW w:w="1282" w:type="dxa"/>
                  <w:vAlign w:val="center"/>
                </w:tcPr>
                <w:p>
                  <w:pPr>
                    <w:jc w:val="center"/>
                  </w:pPr>
                  <w:r>
                    <w:t>1次/年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657" w:type="dxa"/>
                  <w:vMerge w:val="continue"/>
                  <w:vAlign w:val="center"/>
                </w:tcPr>
                <w:p>
                  <w:pPr>
                    <w:jc w:val="center"/>
                  </w:pPr>
                </w:p>
              </w:tc>
              <w:tc>
                <w:tcPr>
                  <w:tcW w:w="2032" w:type="dxa"/>
                  <w:vAlign w:val="center"/>
                </w:tcPr>
                <w:p>
                  <w:pPr>
                    <w:jc w:val="center"/>
                  </w:pPr>
                  <w:r>
                    <w:t>厂房门窗或通风口外</w:t>
                  </w:r>
                </w:p>
                <w:p>
                  <w:pPr>
                    <w:jc w:val="center"/>
                  </w:pPr>
                  <w:r>
                    <w:t>1m，距离地面 1.5m</w:t>
                  </w:r>
                </w:p>
                <w:p>
                  <w:pPr>
                    <w:jc w:val="center"/>
                  </w:pPr>
                  <w:r>
                    <w:t>以上位置处进行检测</w:t>
                  </w:r>
                </w:p>
              </w:tc>
              <w:tc>
                <w:tcPr>
                  <w:tcW w:w="1282" w:type="dxa"/>
                  <w:vAlign w:val="center"/>
                </w:tcPr>
                <w:p>
                  <w:pPr>
                    <w:jc w:val="center"/>
                  </w:pPr>
                  <w:r>
                    <w:t>非甲烷总烃</w:t>
                  </w:r>
                </w:p>
              </w:tc>
              <w:tc>
                <w:tcPr>
                  <w:tcW w:w="649" w:type="dxa"/>
                  <w:vAlign w:val="center"/>
                </w:tcPr>
                <w:p>
                  <w:pPr>
                    <w:jc w:val="center"/>
                  </w:pPr>
                  <w:r>
                    <w:t>6</w:t>
                  </w:r>
                </w:p>
              </w:tc>
              <w:tc>
                <w:tcPr>
                  <w:tcW w:w="2050" w:type="dxa"/>
                  <w:vAlign w:val="center"/>
                </w:tcPr>
                <w:p>
                  <w:pPr>
                    <w:jc w:val="center"/>
                  </w:pPr>
                  <w:r>
                    <w:t>《挥发性有机物无组织排放控制标准》（GB37822-2019）</w:t>
                  </w:r>
                </w:p>
              </w:tc>
              <w:tc>
                <w:tcPr>
                  <w:tcW w:w="1282" w:type="dxa"/>
                  <w:vAlign w:val="center"/>
                </w:tcPr>
                <w:p>
                  <w:pPr>
                    <w:jc w:val="center"/>
                  </w:pPr>
                  <w:r>
                    <w:t>1次/半年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7" w:type="dxa"/>
                  <w:vAlign w:val="center"/>
                </w:tcPr>
                <w:p>
                  <w:pPr>
                    <w:jc w:val="center"/>
                  </w:pPr>
                  <w:r>
                    <w:t>噪声</w:t>
                  </w:r>
                </w:p>
              </w:tc>
              <w:tc>
                <w:tcPr>
                  <w:tcW w:w="2032" w:type="dxa"/>
                  <w:vAlign w:val="center"/>
                </w:tcPr>
                <w:p>
                  <w:pPr>
                    <w:jc w:val="center"/>
                  </w:pPr>
                  <w:r>
                    <w:t>厂界四周</w:t>
                  </w:r>
                </w:p>
              </w:tc>
              <w:tc>
                <w:tcPr>
                  <w:tcW w:w="1282" w:type="dxa"/>
                  <w:vAlign w:val="center"/>
                </w:tcPr>
                <w:p>
                  <w:pPr>
                    <w:jc w:val="center"/>
                  </w:pPr>
                  <w:r>
                    <w:t>等效连续A声级</w:t>
                  </w:r>
                </w:p>
              </w:tc>
              <w:tc>
                <w:tcPr>
                  <w:tcW w:w="649" w:type="dxa"/>
                  <w:vAlign w:val="center"/>
                </w:tcPr>
                <w:p>
                  <w:pPr>
                    <w:jc w:val="center"/>
                  </w:pPr>
                </w:p>
              </w:tc>
              <w:tc>
                <w:tcPr>
                  <w:tcW w:w="2050" w:type="dxa"/>
                  <w:vAlign w:val="center"/>
                </w:tcPr>
                <w:p>
                  <w:pPr>
                    <w:jc w:val="center"/>
                  </w:pPr>
                  <w:r>
                    <w:t>工业企业厂界环境噪声排放标准》（GB12348-2008）2类标准</w:t>
                  </w:r>
                </w:p>
              </w:tc>
              <w:tc>
                <w:tcPr>
                  <w:tcW w:w="1282" w:type="dxa"/>
                  <w:vAlign w:val="center"/>
                </w:tcPr>
                <w:p>
                  <w:pPr>
                    <w:jc w:val="center"/>
                  </w:pPr>
                  <w:r>
                    <w:t>1次/季度</w:t>
                  </w:r>
                </w:p>
              </w:tc>
            </w:tr>
          </w:tbl>
          <w:p>
            <w:pPr>
              <w:spacing w:line="360" w:lineRule="auto"/>
              <w:ind w:firstLine="480" w:firstLineChars="200"/>
              <w:rPr>
                <w:sz w:val="24"/>
              </w:rPr>
            </w:pPr>
          </w:p>
          <w:p>
            <w:pPr>
              <w:spacing w:line="360" w:lineRule="auto"/>
              <w:ind w:firstLine="480" w:firstLineChars="200"/>
              <w:rPr>
                <w:sz w:val="24"/>
              </w:rPr>
            </w:pPr>
          </w:p>
        </w:tc>
      </w:tr>
    </w:tbl>
    <w:p>
      <w:pPr>
        <w:sectPr>
          <w:pgSz w:w="11907" w:h="16840"/>
          <w:pgMar w:top="1440" w:right="1800" w:bottom="1440" w:left="1800" w:header="851" w:footer="851" w:gutter="0"/>
          <w:cols w:space="720" w:num="1"/>
          <w:docGrid w:type="lines" w:linePitch="312" w:charSpace="0"/>
        </w:sectPr>
      </w:pPr>
    </w:p>
    <w:p>
      <w:pPr>
        <w:pStyle w:val="18"/>
        <w:spacing w:before="156" w:beforeLines="50" w:beforeAutospacing="0" w:after="156" w:afterLines="50" w:afterAutospacing="0"/>
        <w:jc w:val="center"/>
        <w:outlineLvl w:val="0"/>
        <w:rPr>
          <w:rFonts w:ascii="Times New Roman" w:hAnsi="Times New Roman" w:eastAsia="黑体"/>
          <w:snapToGrid w:val="0"/>
          <w:sz w:val="30"/>
          <w:szCs w:val="30"/>
        </w:rPr>
      </w:pPr>
      <w:bookmarkStart w:id="9" w:name="_Toc196816304"/>
      <w:r>
        <w:rPr>
          <w:rFonts w:ascii="Times New Roman" w:hAnsi="Times New Roman" w:eastAsia="黑体"/>
          <w:snapToGrid w:val="0"/>
          <w:sz w:val="30"/>
          <w:szCs w:val="30"/>
        </w:rPr>
        <w:t>五、</w:t>
      </w:r>
      <w:bookmarkStart w:id="10" w:name="_Hlk54167917"/>
      <w:r>
        <w:rPr>
          <w:rFonts w:ascii="Times New Roman" w:hAnsi="Times New Roman" w:eastAsia="黑体"/>
          <w:snapToGrid w:val="0"/>
          <w:sz w:val="30"/>
          <w:szCs w:val="30"/>
        </w:rPr>
        <w:t>环境保护措施监督检查清单</w:t>
      </w:r>
      <w:bookmarkEnd w:id="9"/>
      <w:bookmarkEnd w:id="10"/>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411"/>
        <w:gridCol w:w="1383"/>
        <w:gridCol w:w="2461"/>
        <w:gridCol w:w="22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tcBorders>
              <w:top w:val="single" w:color="auto" w:sz="4" w:space="0"/>
              <w:left w:val="single" w:color="auto" w:sz="4" w:space="0"/>
              <w:bottom w:val="single" w:color="auto" w:sz="4" w:space="0"/>
              <w:tl2br w:val="single" w:color="auto" w:sz="4" w:space="0"/>
            </w:tcBorders>
            <w:vAlign w:val="center"/>
          </w:tcPr>
          <w:p>
            <w:pPr>
              <w:adjustRightInd w:val="0"/>
              <w:snapToGrid w:val="0"/>
              <w:jc w:val="center"/>
              <w:rPr>
                <w:sz w:val="24"/>
              </w:rPr>
            </w:pPr>
            <w:r>
              <w:rPr>
                <w:sz w:val="24"/>
              </w:rPr>
              <w:t xml:space="preserve">    内容</w:t>
            </w:r>
          </w:p>
          <w:p>
            <w:pPr>
              <w:adjustRightInd w:val="0"/>
              <w:snapToGrid w:val="0"/>
              <w:rPr>
                <w:sz w:val="24"/>
              </w:rPr>
            </w:pPr>
            <w:r>
              <w:rPr>
                <w:sz w:val="24"/>
              </w:rPr>
              <w:t>要素</w:t>
            </w:r>
          </w:p>
        </w:tc>
        <w:tc>
          <w:tcPr>
            <w:tcW w:w="1411" w:type="dxa"/>
            <w:tcBorders>
              <w:top w:val="single" w:color="auto" w:sz="4" w:space="0"/>
              <w:bottom w:val="single" w:color="auto" w:sz="4" w:space="0"/>
            </w:tcBorders>
            <w:vAlign w:val="center"/>
          </w:tcPr>
          <w:p>
            <w:pPr>
              <w:adjustRightInd w:val="0"/>
              <w:snapToGrid w:val="0"/>
              <w:jc w:val="center"/>
              <w:rPr>
                <w:sz w:val="24"/>
              </w:rPr>
            </w:pPr>
            <w:r>
              <w:rPr>
                <w:sz w:val="24"/>
              </w:rPr>
              <w:t>排放口(编号、名称)/污染源</w:t>
            </w:r>
          </w:p>
        </w:tc>
        <w:tc>
          <w:tcPr>
            <w:tcW w:w="1383" w:type="dxa"/>
            <w:tcBorders>
              <w:top w:val="single" w:color="auto" w:sz="4" w:space="0"/>
              <w:bottom w:val="single" w:color="auto" w:sz="4" w:space="0"/>
            </w:tcBorders>
            <w:vAlign w:val="center"/>
          </w:tcPr>
          <w:p>
            <w:pPr>
              <w:adjustRightInd w:val="0"/>
              <w:snapToGrid w:val="0"/>
              <w:jc w:val="center"/>
              <w:rPr>
                <w:sz w:val="24"/>
              </w:rPr>
            </w:pPr>
            <w:r>
              <w:rPr>
                <w:sz w:val="24"/>
              </w:rPr>
              <w:t>污染物项目</w:t>
            </w:r>
          </w:p>
        </w:tc>
        <w:tc>
          <w:tcPr>
            <w:tcW w:w="2461" w:type="dxa"/>
            <w:tcBorders>
              <w:top w:val="single" w:color="auto" w:sz="4" w:space="0"/>
              <w:bottom w:val="single" w:color="auto" w:sz="4" w:space="0"/>
            </w:tcBorders>
            <w:vAlign w:val="center"/>
          </w:tcPr>
          <w:p>
            <w:pPr>
              <w:adjustRightInd w:val="0"/>
              <w:snapToGrid w:val="0"/>
              <w:jc w:val="center"/>
              <w:rPr>
                <w:sz w:val="24"/>
              </w:rPr>
            </w:pPr>
            <w:r>
              <w:rPr>
                <w:sz w:val="24"/>
              </w:rPr>
              <w:t>环境保护措施</w:t>
            </w:r>
          </w:p>
        </w:tc>
        <w:tc>
          <w:tcPr>
            <w:tcW w:w="2284" w:type="dxa"/>
            <w:tcBorders>
              <w:top w:val="single" w:color="auto" w:sz="4" w:space="0"/>
              <w:bottom w:val="single" w:color="auto" w:sz="4" w:space="0"/>
              <w:right w:val="single" w:color="auto" w:sz="4" w:space="0"/>
            </w:tcBorders>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vMerge w:val="restart"/>
            <w:tcBorders>
              <w:top w:val="single" w:color="auto" w:sz="4" w:space="0"/>
              <w:left w:val="single" w:color="auto" w:sz="4" w:space="0"/>
            </w:tcBorders>
            <w:vAlign w:val="center"/>
          </w:tcPr>
          <w:p>
            <w:pPr>
              <w:adjustRightInd w:val="0"/>
              <w:snapToGrid w:val="0"/>
              <w:jc w:val="center"/>
              <w:rPr>
                <w:sz w:val="24"/>
              </w:rPr>
            </w:pPr>
            <w:r>
              <w:rPr>
                <w:sz w:val="24"/>
              </w:rPr>
              <w:t>大气环境</w:t>
            </w:r>
          </w:p>
        </w:tc>
        <w:tc>
          <w:tcPr>
            <w:tcW w:w="1411" w:type="dxa"/>
            <w:tcBorders>
              <w:top w:val="single" w:color="auto" w:sz="4" w:space="0"/>
              <w:bottom w:val="single" w:color="auto" w:sz="4" w:space="0"/>
            </w:tcBorders>
            <w:vAlign w:val="center"/>
          </w:tcPr>
          <w:p>
            <w:pPr>
              <w:adjustRightInd w:val="0"/>
              <w:snapToGrid w:val="0"/>
              <w:jc w:val="center"/>
              <w:rPr>
                <w:sz w:val="24"/>
              </w:rPr>
            </w:pPr>
            <w:r>
              <w:rPr>
                <w:sz w:val="24"/>
              </w:rPr>
              <w:t>注塑有机废气排放口（DA001）</w:t>
            </w:r>
          </w:p>
        </w:tc>
        <w:tc>
          <w:tcPr>
            <w:tcW w:w="1383" w:type="dxa"/>
            <w:tcBorders>
              <w:top w:val="single" w:color="auto" w:sz="4" w:space="0"/>
              <w:bottom w:val="single" w:color="auto" w:sz="4" w:space="0"/>
            </w:tcBorders>
            <w:vAlign w:val="center"/>
          </w:tcPr>
          <w:p>
            <w:pPr>
              <w:adjustRightInd w:val="0"/>
              <w:snapToGrid w:val="0"/>
              <w:jc w:val="center"/>
              <w:rPr>
                <w:sz w:val="24"/>
              </w:rPr>
            </w:pPr>
            <w:r>
              <w:rPr>
                <w:sz w:val="24"/>
              </w:rPr>
              <w:t>非甲烷总烃</w:t>
            </w:r>
          </w:p>
        </w:tc>
        <w:tc>
          <w:tcPr>
            <w:tcW w:w="2461" w:type="dxa"/>
            <w:tcBorders>
              <w:top w:val="single" w:color="auto" w:sz="4" w:space="0"/>
              <w:bottom w:val="single" w:color="auto" w:sz="4" w:space="0"/>
            </w:tcBorders>
            <w:vAlign w:val="center"/>
          </w:tcPr>
          <w:p>
            <w:pPr>
              <w:adjustRightInd w:val="0"/>
              <w:snapToGrid w:val="0"/>
              <w:jc w:val="center"/>
              <w:rPr>
                <w:sz w:val="24"/>
              </w:rPr>
            </w:pPr>
            <w:r>
              <w:rPr>
                <w:sz w:val="24"/>
              </w:rPr>
              <w:t>注塑机产生的废气进行密闭收集后引至</w:t>
            </w:r>
            <w:r>
              <w:rPr>
                <w:rFonts w:hint="eastAsia"/>
                <w:sz w:val="24"/>
              </w:rPr>
              <w:t>1套二级活性炭吸附装置</w:t>
            </w:r>
            <w:r>
              <w:rPr>
                <w:sz w:val="24"/>
              </w:rPr>
              <w:t>处理后通过</w:t>
            </w:r>
            <w:r>
              <w:rPr>
                <w:rFonts w:hint="eastAsia"/>
                <w:sz w:val="24"/>
              </w:rPr>
              <w:t>1根</w:t>
            </w:r>
            <w:r>
              <w:rPr>
                <w:sz w:val="24"/>
              </w:rPr>
              <w:t>15m高排气筒（DA001）排放</w:t>
            </w:r>
          </w:p>
        </w:tc>
        <w:tc>
          <w:tcPr>
            <w:tcW w:w="2284" w:type="dxa"/>
            <w:tcBorders>
              <w:right w:val="single" w:color="auto" w:sz="4" w:space="0"/>
            </w:tcBorders>
            <w:vAlign w:val="center"/>
          </w:tcPr>
          <w:p>
            <w:pPr>
              <w:pStyle w:val="75"/>
              <w:spacing w:before="77" w:line="321" w:lineRule="auto"/>
              <w:ind w:left="146" w:right="23" w:hanging="104"/>
              <w:jc w:val="center"/>
              <w:rPr>
                <w:rFonts w:ascii="Times New Roman" w:hAnsi="Times New Roman" w:cs="Times New Roman"/>
                <w:sz w:val="24"/>
                <w:szCs w:val="24"/>
                <w:lang w:eastAsia="zh-CN"/>
              </w:rPr>
            </w:pPr>
            <w:r>
              <w:rPr>
                <w:rFonts w:ascii="Times New Roman" w:hAnsi="Times New Roman" w:cs="Times New Roman"/>
                <w:kern w:val="2"/>
                <w:sz w:val="24"/>
                <w:szCs w:val="24"/>
                <w:lang w:eastAsia="zh-CN"/>
              </w:rPr>
              <w:t>《合成树脂工业污染物排放标准》（GB31572-2015）</w:t>
            </w:r>
            <w:r>
              <w:rPr>
                <w:rFonts w:ascii="Times New Roman" w:hAnsi="Times New Roman" w:cs="Times New Roman"/>
                <w:sz w:val="24"/>
                <w:szCs w:val="24"/>
                <w:lang w:eastAsia="zh-CN"/>
              </w:rPr>
              <w:t>及修改单中标准限值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vMerge w:val="continue"/>
            <w:tcBorders>
              <w:left w:val="single" w:color="auto" w:sz="4" w:space="0"/>
              <w:bottom w:val="single" w:color="auto" w:sz="4" w:space="0"/>
            </w:tcBorders>
            <w:vAlign w:val="center"/>
          </w:tcPr>
          <w:p>
            <w:pPr>
              <w:adjustRightInd w:val="0"/>
              <w:snapToGrid w:val="0"/>
              <w:jc w:val="center"/>
              <w:rPr>
                <w:sz w:val="24"/>
              </w:rPr>
            </w:pPr>
          </w:p>
        </w:tc>
        <w:tc>
          <w:tcPr>
            <w:tcW w:w="1411" w:type="dxa"/>
            <w:tcBorders>
              <w:top w:val="single" w:color="auto" w:sz="4" w:space="0"/>
              <w:bottom w:val="single" w:color="auto" w:sz="4" w:space="0"/>
            </w:tcBorders>
            <w:vAlign w:val="center"/>
          </w:tcPr>
          <w:p>
            <w:pPr>
              <w:adjustRightInd w:val="0"/>
              <w:snapToGrid w:val="0"/>
              <w:jc w:val="center"/>
              <w:rPr>
                <w:sz w:val="24"/>
              </w:rPr>
            </w:pPr>
            <w:r>
              <w:rPr>
                <w:rFonts w:hint="eastAsia"/>
                <w:sz w:val="24"/>
              </w:rPr>
              <w:t>破碎粉尘排放口</w:t>
            </w:r>
            <w:r>
              <w:rPr>
                <w:sz w:val="24"/>
              </w:rPr>
              <w:t>（DA00</w:t>
            </w:r>
            <w:r>
              <w:rPr>
                <w:rFonts w:hint="eastAsia"/>
                <w:sz w:val="24"/>
              </w:rPr>
              <w:t>2</w:t>
            </w:r>
            <w:r>
              <w:rPr>
                <w:sz w:val="24"/>
              </w:rPr>
              <w:t>）</w:t>
            </w:r>
          </w:p>
        </w:tc>
        <w:tc>
          <w:tcPr>
            <w:tcW w:w="1383" w:type="dxa"/>
            <w:tcBorders>
              <w:top w:val="single" w:color="auto" w:sz="4" w:space="0"/>
              <w:bottom w:val="single" w:color="auto" w:sz="4" w:space="0"/>
            </w:tcBorders>
            <w:vAlign w:val="center"/>
          </w:tcPr>
          <w:p>
            <w:pPr>
              <w:adjustRightInd w:val="0"/>
              <w:snapToGrid w:val="0"/>
              <w:jc w:val="center"/>
              <w:rPr>
                <w:sz w:val="24"/>
              </w:rPr>
            </w:pPr>
            <w:r>
              <w:rPr>
                <w:rFonts w:hint="eastAsia"/>
                <w:sz w:val="24"/>
              </w:rPr>
              <w:t>颗粒物</w:t>
            </w:r>
          </w:p>
        </w:tc>
        <w:tc>
          <w:tcPr>
            <w:tcW w:w="2461" w:type="dxa"/>
            <w:tcBorders>
              <w:top w:val="single" w:color="auto" w:sz="4" w:space="0"/>
              <w:bottom w:val="single" w:color="auto" w:sz="4" w:space="0"/>
            </w:tcBorders>
            <w:vAlign w:val="center"/>
          </w:tcPr>
          <w:p>
            <w:pPr>
              <w:adjustRightInd w:val="0"/>
              <w:snapToGrid w:val="0"/>
              <w:jc w:val="center"/>
              <w:rPr>
                <w:sz w:val="24"/>
              </w:rPr>
            </w:pPr>
            <w:r>
              <w:rPr>
                <w:rFonts w:hint="eastAsia"/>
                <w:sz w:val="24"/>
              </w:rPr>
              <w:t>破碎</w:t>
            </w:r>
            <w:r>
              <w:rPr>
                <w:sz w:val="24"/>
              </w:rPr>
              <w:t>机产生的</w:t>
            </w:r>
            <w:r>
              <w:rPr>
                <w:rFonts w:hint="eastAsia"/>
                <w:sz w:val="24"/>
              </w:rPr>
              <w:t>粉尘</w:t>
            </w:r>
            <w:r>
              <w:rPr>
                <w:sz w:val="24"/>
              </w:rPr>
              <w:t>进行密闭收集后引至</w:t>
            </w:r>
            <w:r>
              <w:rPr>
                <w:rFonts w:hint="eastAsia"/>
                <w:sz w:val="24"/>
              </w:rPr>
              <w:t>1套布袋除尘器</w:t>
            </w:r>
            <w:r>
              <w:rPr>
                <w:sz w:val="24"/>
              </w:rPr>
              <w:t>处理后通过</w:t>
            </w:r>
            <w:r>
              <w:rPr>
                <w:rFonts w:hint="eastAsia"/>
                <w:sz w:val="24"/>
              </w:rPr>
              <w:t>1根</w:t>
            </w:r>
            <w:r>
              <w:rPr>
                <w:sz w:val="24"/>
              </w:rPr>
              <w:t>15m高排气筒（DA00</w:t>
            </w:r>
            <w:r>
              <w:rPr>
                <w:rFonts w:hint="eastAsia"/>
                <w:sz w:val="24"/>
              </w:rPr>
              <w:t>2</w:t>
            </w:r>
            <w:r>
              <w:rPr>
                <w:sz w:val="24"/>
              </w:rPr>
              <w:t>）排放</w:t>
            </w:r>
          </w:p>
        </w:tc>
        <w:tc>
          <w:tcPr>
            <w:tcW w:w="2284" w:type="dxa"/>
            <w:tcBorders>
              <w:right w:val="single" w:color="auto" w:sz="4" w:space="0"/>
            </w:tcBorders>
            <w:vAlign w:val="center"/>
          </w:tcPr>
          <w:p>
            <w:pPr>
              <w:pStyle w:val="75"/>
              <w:spacing w:before="77" w:line="321" w:lineRule="auto"/>
              <w:ind w:left="146" w:right="23" w:hanging="104"/>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《合成树脂工业污染物排放标准》（GB31572-2015）</w:t>
            </w:r>
            <w:r>
              <w:rPr>
                <w:rFonts w:ascii="Times New Roman" w:hAnsi="Times New Roman" w:cs="Times New Roman"/>
                <w:sz w:val="24"/>
                <w:szCs w:val="24"/>
                <w:lang w:eastAsia="zh-CN"/>
              </w:rPr>
              <w:t>及修改单中标准限值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vMerge w:val="restart"/>
            <w:tcBorders>
              <w:top w:val="single" w:color="auto" w:sz="4" w:space="0"/>
              <w:left w:val="single" w:color="auto" w:sz="4" w:space="0"/>
              <w:bottom w:val="single" w:color="auto" w:sz="4" w:space="0"/>
            </w:tcBorders>
            <w:vAlign w:val="center"/>
          </w:tcPr>
          <w:p>
            <w:pPr>
              <w:adjustRightInd w:val="0"/>
              <w:snapToGrid w:val="0"/>
              <w:jc w:val="center"/>
              <w:rPr>
                <w:sz w:val="24"/>
              </w:rPr>
            </w:pPr>
            <w:r>
              <w:rPr>
                <w:sz w:val="24"/>
              </w:rPr>
              <w:t>地表水环境</w:t>
            </w:r>
          </w:p>
        </w:tc>
        <w:tc>
          <w:tcPr>
            <w:tcW w:w="1411" w:type="dxa"/>
            <w:tcBorders>
              <w:top w:val="single" w:color="auto" w:sz="4" w:space="0"/>
              <w:bottom w:val="single" w:color="auto" w:sz="4" w:space="0"/>
            </w:tcBorders>
            <w:vAlign w:val="center"/>
          </w:tcPr>
          <w:p>
            <w:pPr>
              <w:adjustRightInd w:val="0"/>
              <w:snapToGrid w:val="0"/>
              <w:jc w:val="center"/>
              <w:rPr>
                <w:sz w:val="24"/>
              </w:rPr>
            </w:pPr>
            <w:r>
              <w:rPr>
                <w:sz w:val="24"/>
              </w:rPr>
              <w:t>冷却水</w:t>
            </w:r>
          </w:p>
        </w:tc>
        <w:tc>
          <w:tcPr>
            <w:tcW w:w="1383" w:type="dxa"/>
            <w:tcBorders>
              <w:top w:val="single" w:color="auto" w:sz="4" w:space="0"/>
              <w:bottom w:val="single" w:color="auto" w:sz="4" w:space="0"/>
            </w:tcBorders>
            <w:vAlign w:val="center"/>
          </w:tcPr>
          <w:p>
            <w:pPr>
              <w:adjustRightInd w:val="0"/>
              <w:snapToGrid w:val="0"/>
              <w:jc w:val="center"/>
              <w:rPr>
                <w:sz w:val="24"/>
              </w:rPr>
            </w:pPr>
            <w:r>
              <w:rPr>
                <w:sz w:val="24"/>
              </w:rPr>
              <w:t>SS</w:t>
            </w:r>
          </w:p>
          <w:p>
            <w:pPr>
              <w:adjustRightInd w:val="0"/>
              <w:snapToGrid w:val="0"/>
              <w:jc w:val="center"/>
              <w:rPr>
                <w:sz w:val="24"/>
              </w:rPr>
            </w:pPr>
            <w:r>
              <w:rPr>
                <w:sz w:val="24"/>
              </w:rPr>
              <w:t>COD</w:t>
            </w:r>
          </w:p>
          <w:p>
            <w:pPr>
              <w:adjustRightInd w:val="0"/>
              <w:snapToGrid w:val="0"/>
              <w:jc w:val="center"/>
              <w:rPr>
                <w:sz w:val="24"/>
              </w:rPr>
            </w:pPr>
            <w:r>
              <w:rPr>
                <w:sz w:val="24"/>
              </w:rPr>
              <w:t>BOD</w:t>
            </w:r>
            <w:r>
              <w:rPr>
                <w:sz w:val="24"/>
                <w:vertAlign w:val="subscript"/>
              </w:rPr>
              <w:t>5</w:t>
            </w:r>
          </w:p>
          <w:p>
            <w:pPr>
              <w:adjustRightInd w:val="0"/>
              <w:snapToGrid w:val="0"/>
              <w:jc w:val="center"/>
              <w:rPr>
                <w:sz w:val="24"/>
              </w:rPr>
            </w:pPr>
            <w:r>
              <w:rPr>
                <w:sz w:val="24"/>
              </w:rPr>
              <w:t>氨氮</w:t>
            </w:r>
          </w:p>
        </w:tc>
        <w:tc>
          <w:tcPr>
            <w:tcW w:w="2461" w:type="dxa"/>
            <w:tcBorders>
              <w:top w:val="single" w:color="auto" w:sz="4" w:space="0"/>
              <w:bottom w:val="single" w:color="auto" w:sz="4" w:space="0"/>
            </w:tcBorders>
            <w:vAlign w:val="center"/>
          </w:tcPr>
          <w:p>
            <w:pPr>
              <w:adjustRightInd w:val="0"/>
              <w:snapToGrid w:val="0"/>
              <w:jc w:val="center"/>
              <w:rPr>
                <w:sz w:val="24"/>
              </w:rPr>
            </w:pPr>
            <w:r>
              <w:rPr>
                <w:sz w:val="24"/>
              </w:rPr>
              <w:t>循环水池</w:t>
            </w:r>
          </w:p>
        </w:tc>
        <w:tc>
          <w:tcPr>
            <w:tcW w:w="2284" w:type="dxa"/>
            <w:tcBorders>
              <w:top w:val="single" w:color="auto" w:sz="4" w:space="0"/>
              <w:right w:val="single" w:color="auto" w:sz="4" w:space="0"/>
            </w:tcBorders>
            <w:vAlign w:val="center"/>
          </w:tcPr>
          <w:p>
            <w:pPr>
              <w:adjustRightInd w:val="0"/>
              <w:snapToGrid w:val="0"/>
              <w:jc w:val="center"/>
              <w:rPr>
                <w:sz w:val="24"/>
              </w:rPr>
            </w:pPr>
            <w:r>
              <w:rPr>
                <w:sz w:val="24"/>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vMerge w:val="continue"/>
            <w:tcBorders>
              <w:top w:val="single" w:color="auto" w:sz="4" w:space="0"/>
              <w:left w:val="single" w:color="auto" w:sz="4" w:space="0"/>
              <w:bottom w:val="single" w:color="auto" w:sz="4" w:space="0"/>
            </w:tcBorders>
            <w:vAlign w:val="center"/>
          </w:tcPr>
          <w:p>
            <w:pPr>
              <w:adjustRightInd w:val="0"/>
              <w:snapToGrid w:val="0"/>
              <w:jc w:val="center"/>
              <w:rPr>
                <w:sz w:val="24"/>
              </w:rPr>
            </w:pPr>
          </w:p>
        </w:tc>
        <w:tc>
          <w:tcPr>
            <w:tcW w:w="1411" w:type="dxa"/>
            <w:tcBorders>
              <w:top w:val="single" w:color="auto" w:sz="4" w:space="0"/>
              <w:bottom w:val="single" w:color="auto" w:sz="4" w:space="0"/>
            </w:tcBorders>
            <w:vAlign w:val="center"/>
          </w:tcPr>
          <w:p>
            <w:pPr>
              <w:adjustRightInd w:val="0"/>
              <w:snapToGrid w:val="0"/>
              <w:jc w:val="center"/>
              <w:rPr>
                <w:sz w:val="24"/>
              </w:rPr>
            </w:pPr>
            <w:r>
              <w:rPr>
                <w:sz w:val="24"/>
              </w:rPr>
              <w:t>职工生活污水</w:t>
            </w:r>
          </w:p>
        </w:tc>
        <w:tc>
          <w:tcPr>
            <w:tcW w:w="1383" w:type="dxa"/>
            <w:tcBorders>
              <w:top w:val="single" w:color="auto" w:sz="4" w:space="0"/>
              <w:bottom w:val="single" w:color="auto" w:sz="4" w:space="0"/>
            </w:tcBorders>
            <w:vAlign w:val="center"/>
          </w:tcPr>
          <w:p>
            <w:pPr>
              <w:pStyle w:val="75"/>
              <w:spacing w:before="79"/>
              <w:ind w:right="85"/>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pH</w:t>
            </w:r>
          </w:p>
          <w:p>
            <w:pPr>
              <w:pStyle w:val="75"/>
              <w:spacing w:before="79"/>
              <w:ind w:right="85"/>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SS</w:t>
            </w:r>
          </w:p>
          <w:p>
            <w:pPr>
              <w:pStyle w:val="75"/>
              <w:spacing w:before="79"/>
              <w:ind w:right="85"/>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COD</w:t>
            </w:r>
          </w:p>
          <w:p>
            <w:pPr>
              <w:pStyle w:val="75"/>
              <w:spacing w:before="79"/>
              <w:ind w:right="85"/>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BOD</w:t>
            </w:r>
            <w:r>
              <w:rPr>
                <w:rFonts w:ascii="Times New Roman" w:hAnsi="Times New Roman" w:cs="Times New Roman"/>
                <w:kern w:val="2"/>
                <w:sz w:val="24"/>
                <w:szCs w:val="24"/>
                <w:vertAlign w:val="subscript"/>
                <w:lang w:eastAsia="zh-CN"/>
              </w:rPr>
              <w:t>5</w:t>
            </w:r>
          </w:p>
          <w:p>
            <w:pPr>
              <w:pStyle w:val="75"/>
              <w:spacing w:before="79"/>
              <w:ind w:right="85"/>
              <w:jc w:val="center"/>
              <w:rPr>
                <w:rFonts w:ascii="Times New Roman" w:hAnsi="Times New Roman" w:cs="Times New Roman"/>
                <w:sz w:val="24"/>
                <w:szCs w:val="24"/>
              </w:rPr>
            </w:pPr>
            <w:r>
              <w:rPr>
                <w:rFonts w:ascii="Times New Roman" w:hAnsi="Times New Roman" w:cs="Times New Roman"/>
                <w:sz w:val="24"/>
                <w:szCs w:val="24"/>
              </w:rPr>
              <w:t>氨氮</w:t>
            </w:r>
          </w:p>
        </w:tc>
        <w:tc>
          <w:tcPr>
            <w:tcW w:w="2461" w:type="dxa"/>
            <w:tcBorders>
              <w:top w:val="single" w:color="auto" w:sz="4" w:space="0"/>
              <w:bottom w:val="single" w:color="auto" w:sz="4" w:space="0"/>
            </w:tcBorders>
            <w:vAlign w:val="center"/>
          </w:tcPr>
          <w:p>
            <w:pPr>
              <w:pStyle w:val="75"/>
              <w:spacing w:before="80" w:line="225" w:lineRule="exact"/>
              <w:ind w:left="-106"/>
              <w:jc w:val="center"/>
              <w:rPr>
                <w:rFonts w:ascii="Times New Roman" w:hAnsi="Times New Roman" w:cs="Times New Roman"/>
                <w:sz w:val="24"/>
                <w:szCs w:val="24"/>
              </w:rPr>
            </w:pPr>
            <w:r>
              <w:rPr>
                <w:rFonts w:hint="eastAsia" w:ascii="Times New Roman" w:hAnsi="Times New Roman" w:cs="Times New Roman"/>
                <w:sz w:val="24"/>
                <w:szCs w:val="24"/>
                <w:lang w:eastAsia="zh-CN"/>
              </w:rPr>
              <w:t>泼洒抑尘</w:t>
            </w:r>
          </w:p>
        </w:tc>
        <w:tc>
          <w:tcPr>
            <w:tcW w:w="2284" w:type="dxa"/>
            <w:tcBorders>
              <w:top w:val="single" w:color="auto" w:sz="4" w:space="0"/>
              <w:right w:val="single" w:color="auto" w:sz="4" w:space="0"/>
            </w:tcBorders>
            <w:vAlign w:val="center"/>
          </w:tcPr>
          <w:p>
            <w:pPr>
              <w:adjustRightInd w:val="0"/>
              <w:snapToGrid w:val="0"/>
              <w:jc w:val="center"/>
              <w:rPr>
                <w:sz w:val="24"/>
              </w:rPr>
            </w:pPr>
            <w:r>
              <w:rPr>
                <w:sz w:val="24"/>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1" w:type="dxa"/>
            <w:tcBorders>
              <w:top w:val="single" w:color="auto" w:sz="4" w:space="0"/>
              <w:left w:val="single" w:color="auto" w:sz="4" w:space="0"/>
              <w:bottom w:val="single" w:color="auto" w:sz="4" w:space="0"/>
            </w:tcBorders>
            <w:vAlign w:val="center"/>
          </w:tcPr>
          <w:p>
            <w:pPr>
              <w:adjustRightInd w:val="0"/>
              <w:snapToGrid w:val="0"/>
              <w:jc w:val="center"/>
              <w:rPr>
                <w:sz w:val="24"/>
              </w:rPr>
            </w:pPr>
            <w:r>
              <w:rPr>
                <w:sz w:val="24"/>
              </w:rPr>
              <w:t>声环境</w:t>
            </w:r>
          </w:p>
        </w:tc>
        <w:tc>
          <w:tcPr>
            <w:tcW w:w="1411" w:type="dxa"/>
            <w:tcBorders>
              <w:top w:val="single" w:color="auto" w:sz="4" w:space="0"/>
              <w:bottom w:val="single" w:color="auto" w:sz="4" w:space="0"/>
            </w:tcBorders>
            <w:vAlign w:val="center"/>
          </w:tcPr>
          <w:p>
            <w:pPr>
              <w:adjustRightInd w:val="0"/>
              <w:snapToGrid w:val="0"/>
              <w:jc w:val="center"/>
              <w:rPr>
                <w:sz w:val="24"/>
              </w:rPr>
            </w:pPr>
            <w:r>
              <w:rPr>
                <w:sz w:val="24"/>
              </w:rPr>
              <w:t>注塑机</w:t>
            </w:r>
          </w:p>
          <w:p>
            <w:pPr>
              <w:adjustRightInd w:val="0"/>
              <w:snapToGrid w:val="0"/>
              <w:jc w:val="center"/>
              <w:rPr>
                <w:sz w:val="24"/>
              </w:rPr>
            </w:pPr>
            <w:r>
              <w:rPr>
                <w:sz w:val="24"/>
              </w:rPr>
              <w:t>风机等</w:t>
            </w:r>
          </w:p>
        </w:tc>
        <w:tc>
          <w:tcPr>
            <w:tcW w:w="1383" w:type="dxa"/>
            <w:tcBorders>
              <w:top w:val="single" w:color="auto" w:sz="4" w:space="0"/>
              <w:bottom w:val="single" w:color="auto" w:sz="4" w:space="0"/>
            </w:tcBorders>
            <w:vAlign w:val="center"/>
          </w:tcPr>
          <w:p>
            <w:pPr>
              <w:adjustRightInd w:val="0"/>
              <w:snapToGrid w:val="0"/>
              <w:jc w:val="center"/>
              <w:rPr>
                <w:sz w:val="24"/>
              </w:rPr>
            </w:pPr>
            <w:r>
              <w:rPr>
                <w:sz w:val="24"/>
              </w:rPr>
              <w:t>机械噪声、空气动力噪声</w:t>
            </w:r>
          </w:p>
        </w:tc>
        <w:tc>
          <w:tcPr>
            <w:tcW w:w="2461" w:type="dxa"/>
            <w:tcBorders>
              <w:top w:val="single" w:color="auto" w:sz="4" w:space="0"/>
              <w:bottom w:val="single" w:color="auto" w:sz="4" w:space="0"/>
            </w:tcBorders>
            <w:vAlign w:val="center"/>
          </w:tcPr>
          <w:p>
            <w:pPr>
              <w:adjustRightInd w:val="0"/>
              <w:snapToGrid w:val="0"/>
              <w:ind w:left="59" w:right="-90"/>
              <w:jc w:val="center"/>
              <w:rPr>
                <w:sz w:val="24"/>
              </w:rPr>
            </w:pPr>
            <w:r>
              <w:rPr>
                <w:sz w:val="24"/>
              </w:rPr>
              <w:t>基础减震，厂房隔声</w:t>
            </w:r>
          </w:p>
        </w:tc>
        <w:tc>
          <w:tcPr>
            <w:tcW w:w="2284" w:type="dxa"/>
            <w:tcBorders>
              <w:top w:val="single" w:color="auto" w:sz="4" w:space="0"/>
              <w:bottom w:val="single" w:color="auto" w:sz="4" w:space="0"/>
              <w:right w:val="single" w:color="auto" w:sz="4" w:space="0"/>
            </w:tcBorders>
            <w:vAlign w:val="center"/>
          </w:tcPr>
          <w:p>
            <w:pPr>
              <w:pStyle w:val="75"/>
              <w:spacing w:before="82" w:line="321" w:lineRule="auto"/>
              <w:ind w:left="31" w:right="35" w:hanging="27"/>
              <w:jc w:val="center"/>
              <w:rPr>
                <w:rFonts w:ascii="Times New Roman" w:hAnsi="Times New Roman" w:cs="Times New Roman"/>
                <w:sz w:val="24"/>
                <w:szCs w:val="24"/>
                <w:lang w:eastAsia="zh-CN"/>
              </w:rPr>
            </w:pPr>
            <w:r>
              <w:rPr>
                <w:rFonts w:ascii="Times New Roman" w:hAnsi="Times New Roman" w:cs="Times New Roman"/>
                <w:kern w:val="2"/>
                <w:sz w:val="24"/>
                <w:szCs w:val="24"/>
                <w:lang w:eastAsia="zh-CN"/>
              </w:rPr>
              <w:t>《工业企业厂界环境噪声排放标准》（GB12348）中2</w:t>
            </w:r>
            <w:r>
              <w:rPr>
                <w:rFonts w:ascii="Times New Roman" w:hAnsi="Times New Roman" w:cs="Times New Roman"/>
                <w:sz w:val="24"/>
                <w:szCs w:val="24"/>
                <w:lang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固体废物</w:t>
            </w:r>
          </w:p>
        </w:tc>
        <w:tc>
          <w:tcPr>
            <w:tcW w:w="7539" w:type="dxa"/>
            <w:gridSpan w:val="4"/>
            <w:tcBorders>
              <w:top w:val="single" w:color="000000" w:sz="4" w:space="0"/>
              <w:left w:val="single" w:color="000000" w:sz="4" w:space="0"/>
              <w:bottom w:val="single" w:color="000000" w:sz="4" w:space="0"/>
            </w:tcBorders>
            <w:vAlign w:val="center"/>
          </w:tcPr>
          <w:p>
            <w:pPr>
              <w:adjustRightInd w:val="0"/>
              <w:snapToGrid w:val="0"/>
              <w:rPr>
                <w:sz w:val="24"/>
              </w:rPr>
            </w:pPr>
            <w:r>
              <w:rPr>
                <w:sz w:val="24"/>
              </w:rPr>
              <w:t>残次品、边角料：收集后外售；废包装袋：外售废品回收站；</w:t>
            </w:r>
          </w:p>
          <w:p>
            <w:pPr>
              <w:adjustRightInd w:val="0"/>
              <w:snapToGrid w:val="0"/>
              <w:rPr>
                <w:sz w:val="24"/>
              </w:rPr>
            </w:pPr>
            <w:r>
              <w:rPr>
                <w:sz w:val="24"/>
              </w:rPr>
              <w:t>废润滑油、废润滑油桶：设置一座10m</w:t>
            </w:r>
            <w:r>
              <w:rPr>
                <w:sz w:val="24"/>
                <w:vertAlign w:val="superscript"/>
              </w:rPr>
              <w:t>2</w:t>
            </w:r>
            <w:r>
              <w:rPr>
                <w:sz w:val="24"/>
              </w:rPr>
              <w:t>危废贮存库，收集后交有资质单位进行处置生活垃圾：设垃圾收集桶，定期交由环卫部门负责处置；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土壤及地下水污染防治措施</w:t>
            </w:r>
          </w:p>
        </w:tc>
        <w:tc>
          <w:tcPr>
            <w:tcW w:w="7539" w:type="dxa"/>
            <w:gridSpan w:val="4"/>
            <w:tcBorders>
              <w:top w:val="single" w:color="000000" w:sz="4" w:space="0"/>
              <w:left w:val="single" w:color="000000" w:sz="4" w:space="0"/>
              <w:bottom w:val="single" w:color="000000" w:sz="4" w:space="0"/>
            </w:tcBorders>
            <w:vAlign w:val="center"/>
          </w:tcPr>
          <w:p>
            <w:pPr>
              <w:adjustRightInd w:val="0"/>
              <w:snapToGrid w:val="0"/>
              <w:rPr>
                <w:sz w:val="24"/>
              </w:rPr>
            </w:pPr>
            <w:r>
              <w:rPr>
                <w:sz w:val="24"/>
              </w:rPr>
              <w:t>（1）重点防渗区：危险废物暂存间，底层采用黏土夯实，地面底层为水泥砂浆，上面铺设为2mm厚高密度聚乙烯防渗布，最后以防渗混凝土做地面，地面及裙脚防腐防渗处理，渗透系数≤1×10</w:t>
            </w:r>
            <w:r>
              <w:rPr>
                <w:sz w:val="24"/>
                <w:vertAlign w:val="superscript"/>
              </w:rPr>
              <w:t>-10</w:t>
            </w:r>
            <w:r>
              <w:rPr>
                <w:sz w:val="24"/>
              </w:rPr>
              <w:t>cm/s；</w:t>
            </w:r>
          </w:p>
          <w:p>
            <w:pPr>
              <w:adjustRightInd w:val="0"/>
              <w:snapToGrid w:val="0"/>
              <w:rPr>
                <w:sz w:val="24"/>
              </w:rPr>
            </w:pPr>
            <w:r>
              <w:rPr>
                <w:sz w:val="24"/>
              </w:rPr>
              <w:t>（2）一般防渗区：生产车间、循环水池，采用三合土铺底，上层15cm水泥硬化，渗透系数小于10</w:t>
            </w:r>
            <w:r>
              <w:rPr>
                <w:sz w:val="24"/>
                <w:vertAlign w:val="superscript"/>
              </w:rPr>
              <w:t>-7</w:t>
            </w:r>
            <w:r>
              <w:rPr>
                <w:sz w:val="24"/>
              </w:rPr>
              <w:t>cm/s；</w:t>
            </w:r>
          </w:p>
          <w:p>
            <w:pPr>
              <w:adjustRightInd w:val="0"/>
              <w:snapToGrid w:val="0"/>
              <w:rPr>
                <w:sz w:val="24"/>
              </w:rPr>
            </w:pPr>
            <w:r>
              <w:rPr>
                <w:sz w:val="24"/>
              </w:rPr>
              <w:t>（3）简单防渗区：办公区、道路，一般地面硬化；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生态保护措施</w:t>
            </w:r>
          </w:p>
        </w:tc>
        <w:tc>
          <w:tcPr>
            <w:tcW w:w="7539" w:type="dxa"/>
            <w:gridSpan w:val="4"/>
            <w:tcBorders>
              <w:top w:val="single" w:color="000000" w:sz="4" w:space="0"/>
              <w:left w:val="single" w:color="000000" w:sz="4" w:space="0"/>
              <w:bottom w:val="single" w:color="000000" w:sz="4" w:space="0"/>
            </w:tcBorders>
            <w:vAlign w:val="center"/>
          </w:tcPr>
          <w:p>
            <w:pPr>
              <w:adjustRightInd w:val="0"/>
              <w:snapToGrid w:val="0"/>
              <w:rPr>
                <w:sz w:val="24"/>
              </w:rPr>
            </w:pPr>
            <w:r>
              <w:rPr>
                <w:sz w:val="24"/>
              </w:rPr>
              <w:t>厂区绿化、硬化及边坡防护等生态保护措施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环境风险</w:t>
            </w:r>
          </w:p>
          <w:p>
            <w:pPr>
              <w:adjustRightInd w:val="0"/>
              <w:snapToGrid w:val="0"/>
              <w:jc w:val="center"/>
              <w:rPr>
                <w:sz w:val="24"/>
              </w:rPr>
            </w:pPr>
            <w:r>
              <w:rPr>
                <w:sz w:val="24"/>
              </w:rPr>
              <w:t>防范措施</w:t>
            </w:r>
          </w:p>
        </w:tc>
        <w:tc>
          <w:tcPr>
            <w:tcW w:w="7539" w:type="dxa"/>
            <w:gridSpan w:val="4"/>
            <w:tcBorders>
              <w:top w:val="single" w:color="000000" w:sz="4" w:space="0"/>
              <w:left w:val="single" w:color="000000" w:sz="4" w:space="0"/>
              <w:bottom w:val="single" w:color="000000" w:sz="4" w:space="0"/>
            </w:tcBorders>
            <w:vAlign w:val="center"/>
          </w:tcPr>
          <w:p>
            <w:pPr>
              <w:adjustRightInd w:val="0"/>
              <w:snapToGrid w:val="0"/>
              <w:rPr>
                <w:sz w:val="24"/>
              </w:rPr>
            </w:pPr>
            <w:r>
              <w:rPr>
                <w:sz w:val="24"/>
              </w:rPr>
              <w:t>（1）严禁火源进入危险废物暂存间，对明火严格控制，在危险废物暂存间附近20m内不准有明火。</w:t>
            </w:r>
          </w:p>
          <w:p>
            <w:pPr>
              <w:adjustRightInd w:val="0"/>
              <w:snapToGrid w:val="0"/>
              <w:rPr>
                <w:sz w:val="24"/>
              </w:rPr>
            </w:pPr>
            <w:r>
              <w:rPr>
                <w:sz w:val="24"/>
              </w:rPr>
              <w:t>（2）建立完善的消防系统，配套一定数量的干粉灭火器和消防沙。</w:t>
            </w:r>
          </w:p>
          <w:p>
            <w:pPr>
              <w:adjustRightInd w:val="0"/>
              <w:snapToGrid w:val="0"/>
              <w:rPr>
                <w:sz w:val="24"/>
              </w:rPr>
            </w:pPr>
            <w:r>
              <w:rPr>
                <w:sz w:val="24"/>
              </w:rPr>
              <w:t>（3）强化安全生产及环境保护意识的教育，提高职工的素质，加强操作人的上岗前的培训，进行安全生产、消防、环保、工业卫生等方面的技术培训教育。</w:t>
            </w:r>
          </w:p>
          <w:p>
            <w:pPr>
              <w:adjustRightInd w:val="0"/>
              <w:snapToGrid w:val="0"/>
            </w:pPr>
            <w:r>
              <w:rPr>
                <w:sz w:val="24"/>
              </w:rPr>
              <w:t>（4）必须经常检查安全消防设施的完好性，使其处于即用状态，以备在事故发生时能及时、高效率的发挥作用。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55"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其他环境</w:t>
            </w:r>
          </w:p>
          <w:p>
            <w:pPr>
              <w:adjustRightInd w:val="0"/>
              <w:snapToGrid w:val="0"/>
              <w:jc w:val="center"/>
              <w:rPr>
                <w:sz w:val="24"/>
              </w:rPr>
            </w:pPr>
            <w:r>
              <w:rPr>
                <w:sz w:val="24"/>
              </w:rPr>
              <w:t>管理要求</w:t>
            </w:r>
          </w:p>
        </w:tc>
        <w:tc>
          <w:tcPr>
            <w:tcW w:w="753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sz w:val="24"/>
              </w:rPr>
            </w:pPr>
            <w:r>
              <w:rPr>
                <w:sz w:val="24"/>
              </w:rPr>
              <w:t>在公司应设专人负责环境管理工作，使各项环保措施，制度得以贯彻落实。做好环保设施运行管理和维修工作，保证各项环保设施正常运行，确保治理效果，建立并管理好环保资料。</w:t>
            </w:r>
          </w:p>
        </w:tc>
      </w:tr>
    </w:tbl>
    <w:p>
      <w:pPr>
        <w:pStyle w:val="18"/>
        <w:spacing w:before="156" w:beforeLines="50" w:beforeAutospacing="0" w:after="156" w:afterLines="5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bookmarkStart w:id="11" w:name="_Toc196816305"/>
      <w:r>
        <w:rPr>
          <w:rFonts w:ascii="Times New Roman" w:hAnsi="Times New Roman" w:eastAsia="黑体"/>
          <w:snapToGrid w:val="0"/>
          <w:sz w:val="30"/>
          <w:szCs w:val="30"/>
        </w:rPr>
        <w:t>六、结论</w:t>
      </w:r>
      <w:bookmarkEnd w:id="1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9" w:hRule="atLeast"/>
          <w:jc w:val="center"/>
        </w:trPr>
        <w:tc>
          <w:tcPr>
            <w:tcW w:w="8865" w:type="dxa"/>
            <w:vAlign w:val="center"/>
          </w:tcPr>
          <w:p>
            <w:pPr>
              <w:spacing w:line="360" w:lineRule="auto"/>
              <w:ind w:firstLine="480" w:firstLineChars="200"/>
              <w:rPr>
                <w:bCs/>
                <w:sz w:val="24"/>
              </w:rPr>
            </w:pPr>
            <w:r>
              <w:rPr>
                <w:bCs/>
                <w:sz w:val="24"/>
              </w:rPr>
              <w:t>翼城县祥怡塑业有限公司扩建年产塑料果品包装框6万只建设项目选址、规模、性质和工艺路线等符合产业政策的要求，符合翼城县国土空间规划的要求，满足“三线一单”的要求。</w:t>
            </w:r>
          </w:p>
          <w:p>
            <w:pPr>
              <w:spacing w:line="360" w:lineRule="auto"/>
              <w:ind w:firstLine="480" w:firstLineChars="200"/>
              <w:rPr>
                <w:bCs/>
                <w:sz w:val="24"/>
              </w:rPr>
            </w:pPr>
            <w:r>
              <w:rPr>
                <w:bCs/>
                <w:sz w:val="24"/>
              </w:rPr>
              <w:t>建设项目采取的废气防治措施能够确保污染物达标排放，大气</w:t>
            </w:r>
            <w:r>
              <w:rPr>
                <w:rFonts w:hint="eastAsia"/>
                <w:bCs/>
                <w:sz w:val="24"/>
                <w:lang w:eastAsia="zh-CN"/>
              </w:rPr>
              <w:t>环</w:t>
            </w:r>
            <w:r>
              <w:rPr>
                <w:bCs/>
                <w:sz w:val="24"/>
              </w:rPr>
              <w:t>境影响可接受；废水全部回用不外排，不会对地表水体造成影响。厂界噪声达标排放，周边无声环境保护目标。固体废物得到综合利用和妥善处置。在采取相应源头控制、分区防渗的情况下，项目不会对地下水、土壤环境造成影响。</w:t>
            </w:r>
          </w:p>
          <w:p>
            <w:pPr>
              <w:spacing w:line="360" w:lineRule="auto"/>
              <w:ind w:firstLine="480" w:firstLineChars="200"/>
              <w:rPr>
                <w:sz w:val="24"/>
              </w:rPr>
            </w:pPr>
            <w:r>
              <w:rPr>
                <w:bCs/>
                <w:sz w:val="24"/>
              </w:rPr>
              <w:t>因此，从环境保护的角度出发，项目建设是可行的。</w:t>
            </w:r>
          </w:p>
        </w:tc>
      </w:tr>
    </w:tbl>
    <w:p>
      <w:pPr>
        <w:sectPr>
          <w:pgSz w:w="11906" w:h="16838"/>
          <w:pgMar w:top="1440" w:right="1800" w:bottom="1440" w:left="1800" w:header="851" w:footer="851" w:gutter="0"/>
          <w:cols w:space="720" w:num="1"/>
          <w:docGrid w:type="lines" w:linePitch="312" w:charSpace="0"/>
        </w:sectPr>
      </w:pPr>
    </w:p>
    <w:p>
      <w:pPr>
        <w:pStyle w:val="18"/>
        <w:spacing w:before="0" w:beforeAutospacing="0" w:after="0" w:afterAutospacing="0" w:line="648" w:lineRule="auto"/>
        <w:jc w:val="both"/>
        <w:outlineLvl w:val="0"/>
        <w:rPr>
          <w:rFonts w:ascii="Times New Roman" w:hAnsi="Times New Roman" w:eastAsia="黑体"/>
          <w:snapToGrid w:val="0"/>
          <w:sz w:val="32"/>
          <w:szCs w:val="32"/>
        </w:rPr>
      </w:pPr>
      <w:bookmarkStart w:id="12" w:name="_Toc196816306"/>
      <w:r>
        <w:rPr>
          <w:rFonts w:ascii="Times New Roman" w:hAnsi="Times New Roman" w:eastAsia="黑体"/>
          <w:snapToGrid w:val="0"/>
          <w:sz w:val="32"/>
          <w:szCs w:val="32"/>
        </w:rPr>
        <w:t>附表</w:t>
      </w:r>
      <w:bookmarkEnd w:id="12"/>
    </w:p>
    <w:p>
      <w:pPr>
        <w:pStyle w:val="18"/>
        <w:adjustRightInd w:val="0"/>
        <w:snapToGrid w:val="0"/>
        <w:spacing w:before="0" w:beforeAutospacing="0" w:after="0" w:afterAutospacing="0" w:line="360" w:lineRule="auto"/>
        <w:jc w:val="center"/>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701"/>
        <w:gridCol w:w="1559"/>
        <w:gridCol w:w="1418"/>
        <w:gridCol w:w="1701"/>
        <w:gridCol w:w="1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46"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kern w:val="21"/>
                <w:szCs w:val="21"/>
              </w:rPr>
            </w:pPr>
            <w:r>
              <w:rPr>
                <w:rFonts w:ascii="Times New Roman" w:eastAsia="黑体"/>
                <w:snapToGrid w:val="0"/>
                <w:kern w:val="21"/>
                <w:szCs w:val="21"/>
              </w:rPr>
              <w:t>项目</w:t>
            </w:r>
          </w:p>
          <w:p>
            <w:pPr>
              <w:pStyle w:val="46"/>
              <w:spacing w:beforeLines="0" w:afterLines="0" w:line="240" w:lineRule="auto"/>
              <w:jc w:val="left"/>
              <w:rPr>
                <w:rFonts w:ascii="Times New Roman" w:eastAsia="黑体"/>
                <w:snapToGrid w:val="0"/>
                <w:kern w:val="21"/>
                <w:szCs w:val="21"/>
              </w:rPr>
            </w:pPr>
            <w:r>
              <w:rPr>
                <w:rFonts w:ascii="Times New Roman" w:eastAsia="黑体"/>
                <w:snapToGrid w:val="0"/>
                <w:kern w:val="21"/>
                <w:szCs w:val="21"/>
              </w:rPr>
              <w:t>分类</w:t>
            </w:r>
          </w:p>
        </w:tc>
        <w:tc>
          <w:tcPr>
            <w:tcW w:w="1559"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污染物名称</w:t>
            </w:r>
          </w:p>
        </w:tc>
        <w:tc>
          <w:tcPr>
            <w:tcW w:w="1701"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现有工程</w:t>
            </w:r>
          </w:p>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1 \* GB3 \* MERGEFORMAT </w:instrText>
            </w:r>
            <w:r>
              <w:rPr>
                <w:rFonts w:ascii="Times New Roman" w:eastAsia="黑体"/>
                <w:snapToGrid w:val="0"/>
                <w:kern w:val="21"/>
                <w:szCs w:val="21"/>
              </w:rPr>
              <w:fldChar w:fldCharType="separate"/>
            </w:r>
            <w:r>
              <w:rPr>
                <w:rFonts w:ascii="Cambria Math" w:hAnsi="Cambria Math" w:cs="Cambria Math"/>
                <w:kern w:val="2"/>
                <w:szCs w:val="21"/>
              </w:rPr>
              <w:t>①</w:t>
            </w:r>
            <w:r>
              <w:rPr>
                <w:rFonts w:ascii="Times New Roman" w:eastAsia="黑体"/>
                <w:snapToGrid w:val="0"/>
                <w:kern w:val="21"/>
                <w:szCs w:val="21"/>
              </w:rPr>
              <w:fldChar w:fldCharType="end"/>
            </w:r>
          </w:p>
        </w:tc>
        <w:tc>
          <w:tcPr>
            <w:tcW w:w="1276"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现有工程</w:t>
            </w:r>
          </w:p>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许可排放量</w:t>
            </w:r>
          </w:p>
          <w:p>
            <w:pPr>
              <w:pStyle w:val="46"/>
              <w:spacing w:beforeLines="0" w:afterLines="0"/>
              <w:rPr>
                <w:rFonts w:ascii="Times New Roman" w:eastAsia="黑体"/>
                <w:snapToGrid w:val="0"/>
                <w:kern w:val="21"/>
                <w:szCs w:val="21"/>
              </w:rPr>
            </w:pPr>
            <w:r>
              <w:rPr>
                <w:rFonts w:ascii="Times New Roman" w:eastAsia="黑体"/>
                <w:snapToGrid w:val="0"/>
                <w:kern w:val="21"/>
                <w:szCs w:val="21"/>
              </w:rPr>
              <w:fldChar w:fldCharType="begin"/>
            </w:r>
            <w:r>
              <w:rPr>
                <w:rFonts w:ascii="Times New Roman" w:eastAsia="黑体"/>
                <w:snapToGrid w:val="0"/>
                <w:kern w:val="21"/>
                <w:szCs w:val="21"/>
              </w:rPr>
              <w:instrText xml:space="preserve"> = 2 \* GB3 \* MERGEFORMAT </w:instrText>
            </w:r>
            <w:r>
              <w:rPr>
                <w:rFonts w:ascii="Times New Roman" w:eastAsia="黑体"/>
                <w:snapToGrid w:val="0"/>
                <w:kern w:val="21"/>
                <w:szCs w:val="21"/>
              </w:rPr>
              <w:fldChar w:fldCharType="separate"/>
            </w:r>
            <w:r>
              <w:rPr>
                <w:rFonts w:ascii="Cambria Math" w:hAnsi="Cambria Math" w:cs="Cambria Math"/>
                <w:snapToGrid w:val="0"/>
                <w:kern w:val="21"/>
                <w:szCs w:val="21"/>
              </w:rPr>
              <w:t>②</w:t>
            </w:r>
            <w:r>
              <w:rPr>
                <w:rFonts w:ascii="Times New Roman" w:eastAsia="黑体"/>
                <w:snapToGrid w:val="0"/>
                <w:kern w:val="21"/>
                <w:szCs w:val="21"/>
              </w:rPr>
              <w:fldChar w:fldCharType="end"/>
            </w:r>
          </w:p>
        </w:tc>
        <w:tc>
          <w:tcPr>
            <w:tcW w:w="1701"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在建工程</w:t>
            </w:r>
          </w:p>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3 \* GB3 \* MERGEFORMAT </w:instrText>
            </w:r>
            <w:r>
              <w:rPr>
                <w:rFonts w:ascii="Times New Roman" w:eastAsia="黑体"/>
                <w:snapToGrid w:val="0"/>
                <w:kern w:val="21"/>
                <w:szCs w:val="21"/>
              </w:rPr>
              <w:fldChar w:fldCharType="separate"/>
            </w:r>
            <w:r>
              <w:rPr>
                <w:rFonts w:ascii="Cambria Math" w:hAnsi="Cambria Math" w:cs="Cambria Math"/>
                <w:kern w:val="2"/>
                <w:szCs w:val="21"/>
              </w:rPr>
              <w:t>③</w:t>
            </w:r>
            <w:r>
              <w:rPr>
                <w:rFonts w:ascii="Times New Roman" w:eastAsia="黑体"/>
                <w:snapToGrid w:val="0"/>
                <w:kern w:val="21"/>
                <w:szCs w:val="21"/>
              </w:rPr>
              <w:fldChar w:fldCharType="end"/>
            </w:r>
          </w:p>
        </w:tc>
        <w:tc>
          <w:tcPr>
            <w:tcW w:w="1559"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本项目</w:t>
            </w:r>
          </w:p>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4 \* GB3 \* MERGEFORMAT </w:instrText>
            </w:r>
            <w:r>
              <w:rPr>
                <w:rFonts w:ascii="Times New Roman" w:eastAsia="黑体"/>
                <w:snapToGrid w:val="0"/>
                <w:kern w:val="21"/>
                <w:szCs w:val="21"/>
              </w:rPr>
              <w:fldChar w:fldCharType="separate"/>
            </w:r>
            <w:r>
              <w:rPr>
                <w:rFonts w:ascii="Cambria Math" w:hAnsi="Cambria Math" w:cs="Cambria Math"/>
                <w:kern w:val="2"/>
                <w:szCs w:val="21"/>
              </w:rPr>
              <w:t>④</w:t>
            </w:r>
            <w:r>
              <w:rPr>
                <w:rFonts w:ascii="Times New Roman" w:eastAsia="黑体"/>
                <w:snapToGrid w:val="0"/>
                <w:kern w:val="21"/>
                <w:szCs w:val="21"/>
              </w:rPr>
              <w:fldChar w:fldCharType="end"/>
            </w:r>
          </w:p>
        </w:tc>
        <w:tc>
          <w:tcPr>
            <w:tcW w:w="1418"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以新带老削减量（新建项目不填）</w:t>
            </w:r>
            <w:r>
              <w:rPr>
                <w:rFonts w:ascii="Times New Roman" w:eastAsia="黑体"/>
                <w:snapToGrid w:val="0"/>
                <w:kern w:val="21"/>
                <w:szCs w:val="21"/>
              </w:rPr>
              <w:fldChar w:fldCharType="begin"/>
            </w:r>
            <w:r>
              <w:rPr>
                <w:rFonts w:ascii="Times New Roman" w:eastAsia="黑体"/>
                <w:snapToGrid w:val="0"/>
                <w:kern w:val="21"/>
                <w:szCs w:val="21"/>
              </w:rPr>
              <w:instrText xml:space="preserve"> = 5 \* GB3 \* MERGEFORMAT </w:instrText>
            </w:r>
            <w:r>
              <w:rPr>
                <w:rFonts w:ascii="Times New Roman" w:eastAsia="黑体"/>
                <w:snapToGrid w:val="0"/>
                <w:kern w:val="21"/>
                <w:szCs w:val="21"/>
              </w:rPr>
              <w:fldChar w:fldCharType="separate"/>
            </w:r>
            <w:r>
              <w:rPr>
                <w:rFonts w:ascii="Cambria Math" w:hAnsi="Cambria Math" w:cs="Cambria Math"/>
                <w:kern w:val="2"/>
                <w:szCs w:val="21"/>
              </w:rPr>
              <w:t>⑤</w:t>
            </w:r>
            <w:r>
              <w:rPr>
                <w:rFonts w:ascii="Times New Roman" w:eastAsia="黑体"/>
                <w:snapToGrid w:val="0"/>
                <w:kern w:val="21"/>
                <w:szCs w:val="21"/>
              </w:rPr>
              <w:fldChar w:fldCharType="end"/>
            </w:r>
          </w:p>
        </w:tc>
        <w:tc>
          <w:tcPr>
            <w:tcW w:w="1701"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本项目建成后全厂排放量（固体废物产生量）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6 \* GB3 \* MERGEFORMAT </w:instrText>
            </w:r>
            <w:r>
              <w:rPr>
                <w:rFonts w:ascii="Times New Roman" w:eastAsia="黑体"/>
                <w:snapToGrid w:val="0"/>
                <w:kern w:val="21"/>
                <w:szCs w:val="21"/>
              </w:rPr>
              <w:fldChar w:fldCharType="separate"/>
            </w:r>
            <w:r>
              <w:rPr>
                <w:rFonts w:ascii="Cambria Math" w:hAnsi="Cambria Math" w:cs="Cambria Math"/>
                <w:kern w:val="2"/>
                <w:szCs w:val="21"/>
              </w:rPr>
              <w:t>⑥</w:t>
            </w:r>
            <w:r>
              <w:rPr>
                <w:rFonts w:ascii="Times New Roman" w:eastAsia="黑体"/>
                <w:snapToGrid w:val="0"/>
                <w:kern w:val="21"/>
                <w:szCs w:val="21"/>
              </w:rPr>
              <w:fldChar w:fldCharType="end"/>
            </w:r>
          </w:p>
        </w:tc>
        <w:tc>
          <w:tcPr>
            <w:tcW w:w="1427" w:type="dxa"/>
            <w:tcMar>
              <w:left w:w="28" w:type="dxa"/>
              <w:right w:w="28" w:type="dxa"/>
            </w:tcMar>
            <w:vAlign w:val="center"/>
          </w:tcPr>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t>变化量</w:t>
            </w:r>
          </w:p>
          <w:p>
            <w:pPr>
              <w:pStyle w:val="46"/>
              <w:spacing w:beforeLines="0" w:afterLines="0" w:line="240" w:lineRule="auto"/>
              <w:rPr>
                <w:rFonts w:ascii="Times New Roman" w:eastAsia="黑体"/>
                <w:snapToGrid w:val="0"/>
                <w:kern w:val="21"/>
                <w:szCs w:val="21"/>
              </w:rPr>
            </w:pPr>
            <w:r>
              <w:rPr>
                <w:rFonts w:ascii="Times New Roman" w:eastAsia="黑体"/>
                <w:snapToGrid w:val="0"/>
                <w:kern w:val="21"/>
                <w:szCs w:val="21"/>
              </w:rPr>
              <w:fldChar w:fldCharType="begin"/>
            </w:r>
            <w:r>
              <w:rPr>
                <w:rFonts w:ascii="Times New Roman" w:eastAsia="黑体"/>
                <w:snapToGrid w:val="0"/>
                <w:kern w:val="21"/>
                <w:szCs w:val="21"/>
              </w:rPr>
              <w:instrText xml:space="preserve"> = 7 \* GB3 \* MERGEFORMAT </w:instrText>
            </w:r>
            <w:r>
              <w:rPr>
                <w:rFonts w:ascii="Times New Roman" w:eastAsia="黑体"/>
                <w:snapToGrid w:val="0"/>
                <w:kern w:val="21"/>
                <w:szCs w:val="21"/>
              </w:rPr>
              <w:fldChar w:fldCharType="separate"/>
            </w:r>
            <w:r>
              <w:rPr>
                <w:rFonts w:ascii="Cambria Math" w:hAnsi="Cambria Math" w:cs="Cambria Math"/>
                <w:kern w:val="2"/>
                <w:szCs w:val="21"/>
              </w:rPr>
              <w:t>⑦</w:t>
            </w:r>
            <w:r>
              <w:rPr>
                <w:rFonts w:ascii="Times New Roman" w:eastAsia="黑体"/>
                <w:snapToGrid w:val="0"/>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restart"/>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废气</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非甲烷总烃</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0.016</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0.016</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r>
              <w:rPr>
                <w:rFonts w:hint="eastAsia" w:ascii="Times New Roman"/>
                <w:snapToGrid w:val="0"/>
                <w:kern w:val="21"/>
                <w:szCs w:val="21"/>
              </w:rPr>
              <w:t>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颗粒物(烟尘)</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二氧化硫</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氮氧化物</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粉尘</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0.0001</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0.0001</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restart"/>
            <w:vAlign w:val="center"/>
          </w:tcPr>
          <w:p>
            <w:pPr>
              <w:pStyle w:val="46"/>
              <w:spacing w:before="31" w:after="31" w:line="240" w:lineRule="auto"/>
              <w:rPr>
                <w:rFonts w:ascii="Times New Roman"/>
                <w:snapToGrid w:val="0"/>
                <w:kern w:val="21"/>
                <w:szCs w:val="21"/>
              </w:rPr>
            </w:pPr>
            <w:r>
              <w:rPr>
                <w:rFonts w:ascii="Times New Roman"/>
                <w:snapToGrid w:val="0"/>
                <w:kern w:val="21"/>
                <w:szCs w:val="21"/>
              </w:rPr>
              <w:t>废水</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COD</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NH3-N</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restart"/>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一般工业</w:t>
            </w:r>
          </w:p>
          <w:p>
            <w:pPr>
              <w:pStyle w:val="46"/>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残次品、边</w:t>
            </w:r>
          </w:p>
          <w:p>
            <w:pPr>
              <w:pStyle w:val="46"/>
              <w:spacing w:beforeLines="0" w:afterLines="0" w:line="240" w:lineRule="auto"/>
              <w:rPr>
                <w:rFonts w:ascii="Times New Roman"/>
                <w:snapToGrid w:val="0"/>
                <w:kern w:val="21"/>
                <w:szCs w:val="21"/>
              </w:rPr>
            </w:pPr>
            <w:r>
              <w:rPr>
                <w:rFonts w:ascii="Times New Roman"/>
                <w:snapToGrid w:val="0"/>
                <w:kern w:val="21"/>
                <w:szCs w:val="21"/>
              </w:rPr>
              <w:t>角料</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4</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4</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废包装袋</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restart"/>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废润滑油</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0.02</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0.02</w:t>
            </w:r>
          </w:p>
        </w:tc>
        <w:tc>
          <w:tcPr>
            <w:tcW w:w="1427" w:type="dxa"/>
            <w:tcBorders>
              <w:top w:val="single" w:color="000000" w:sz="4" w:space="0"/>
              <w:left w:val="single" w:color="000000" w:sz="4" w:space="0"/>
              <w:bottom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6" w:type="dxa"/>
            <w:vMerge w:val="continue"/>
            <w:vAlign w:val="center"/>
          </w:tcPr>
          <w:p>
            <w:pPr>
              <w:pStyle w:val="46"/>
              <w:spacing w:beforeLines="0" w:afterLines="0" w:line="240" w:lineRule="auto"/>
              <w:rPr>
                <w:rFonts w:ascii="Times New Roman"/>
                <w:snapToGrid w:val="0"/>
                <w:kern w:val="21"/>
                <w:szCs w:val="21"/>
              </w:rPr>
            </w:pPr>
          </w:p>
        </w:tc>
        <w:tc>
          <w:tcPr>
            <w:tcW w:w="1559"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废润滑油桶</w:t>
            </w:r>
          </w:p>
        </w:tc>
        <w:tc>
          <w:tcPr>
            <w:tcW w:w="1701"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0.001</w:t>
            </w:r>
          </w:p>
        </w:tc>
        <w:tc>
          <w:tcPr>
            <w:tcW w:w="1418"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000000" w:sz="4" w:space="0"/>
              <w:left w:val="single" w:color="000000" w:sz="4" w:space="0"/>
              <w:righ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0.001</w:t>
            </w:r>
          </w:p>
        </w:tc>
        <w:tc>
          <w:tcPr>
            <w:tcW w:w="1427" w:type="dxa"/>
            <w:tcBorders>
              <w:top w:val="single" w:color="000000" w:sz="4" w:space="0"/>
              <w:left w:val="single" w:color="000000" w:sz="4" w:space="0"/>
            </w:tcBorders>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+0.001</w:t>
            </w:r>
          </w:p>
        </w:tc>
      </w:tr>
    </w:tbl>
    <w:p>
      <w:pPr>
        <w:pStyle w:val="46"/>
        <w:spacing w:before="249" w:beforeLines="80" w:after="31"/>
        <w:jc w:val="left"/>
        <w:rPr>
          <w:rFonts w:ascii="Times New Roman"/>
          <w:snapToGrid w:val="0"/>
          <w:kern w:val="21"/>
          <w:szCs w:val="21"/>
        </w:rPr>
        <w:sectPr>
          <w:pgSz w:w="16838" w:h="11906" w:orient="landscape"/>
          <w:pgMar w:top="1440" w:right="1800" w:bottom="1440" w:left="1800" w:header="851" w:footer="851" w:gutter="0"/>
          <w:cols w:space="720" w:num="1"/>
          <w:docGrid w:type="lines" w:linePitch="312" w:charSpace="0"/>
        </w:sectPr>
      </w:pPr>
      <w:r>
        <w:rPr>
          <w:rFonts w:ascii="Times New Roman"/>
          <w:snapToGrid w:val="0"/>
          <w:kern w:val="21"/>
          <w:szCs w:val="21"/>
        </w:rPr>
        <w:t>注：</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ascii="Cambria Math" w:hAnsi="Cambria Math" w:cs="Cambria Math"/>
          <w:szCs w:val="21"/>
        </w:rPr>
        <w:t>⑥</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ascii="Cambria Math" w:hAnsi="Cambria Math" w:cs="Cambria Math"/>
          <w:szCs w:val="21"/>
        </w:rPr>
        <w:t>①</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3 \* GB3 \* MERGEFORMAT </w:instrText>
      </w:r>
      <w:r>
        <w:rPr>
          <w:rFonts w:ascii="Times New Roman"/>
          <w:snapToGrid w:val="0"/>
          <w:kern w:val="21"/>
          <w:szCs w:val="21"/>
        </w:rPr>
        <w:fldChar w:fldCharType="separate"/>
      </w:r>
      <w:r>
        <w:rPr>
          <w:rFonts w:ascii="Cambria Math" w:hAnsi="Cambria Math" w:cs="Cambria Math"/>
          <w:szCs w:val="21"/>
        </w:rPr>
        <w:t>③</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4 \* GB3 \* MERGEFORMAT </w:instrText>
      </w:r>
      <w:r>
        <w:rPr>
          <w:rFonts w:ascii="Times New Roman"/>
          <w:snapToGrid w:val="0"/>
          <w:kern w:val="21"/>
          <w:szCs w:val="21"/>
        </w:rPr>
        <w:fldChar w:fldCharType="separate"/>
      </w:r>
      <w:r>
        <w:rPr>
          <w:rFonts w:ascii="Cambria Math" w:hAnsi="Cambria Math" w:cs="Cambria Math"/>
          <w:szCs w:val="21"/>
        </w:rPr>
        <w:t>④</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5 \* GB3 \* MERGEFORMAT </w:instrText>
      </w:r>
      <w:r>
        <w:rPr>
          <w:rFonts w:ascii="Times New Roman"/>
          <w:snapToGrid w:val="0"/>
          <w:kern w:val="21"/>
          <w:szCs w:val="21"/>
        </w:rPr>
        <w:fldChar w:fldCharType="separate"/>
      </w:r>
      <w:r>
        <w:rPr>
          <w:rFonts w:ascii="Cambria Math" w:hAnsi="Cambria Math" w:cs="Cambria Math"/>
          <w:szCs w:val="21"/>
        </w:rPr>
        <w:t>⑤</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7 \* GB3 \* MERGEFORMAT </w:instrText>
      </w:r>
      <w:r>
        <w:rPr>
          <w:rFonts w:ascii="Times New Roman"/>
          <w:snapToGrid w:val="0"/>
          <w:kern w:val="21"/>
          <w:szCs w:val="21"/>
        </w:rPr>
        <w:fldChar w:fldCharType="separate"/>
      </w:r>
      <w:r>
        <w:rPr>
          <w:rFonts w:ascii="Cambria Math" w:hAnsi="Cambria Math" w:cs="Cambria Math"/>
          <w:szCs w:val="21"/>
        </w:rPr>
        <w:t>⑦</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ascii="Cambria Math" w:hAnsi="Cambria Math" w:cs="Cambria Math"/>
          <w:szCs w:val="21"/>
        </w:rPr>
        <w:t>⑥</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ascii="Cambria Math" w:hAnsi="Cambria Math" w:cs="Cambria Math"/>
          <w:szCs w:val="21"/>
        </w:rPr>
        <w:t>①</w:t>
      </w:r>
      <w:r>
        <w:rPr>
          <w:rFonts w:ascii="Times New Roman"/>
          <w:snapToGrid w:val="0"/>
          <w:kern w:val="21"/>
          <w:szCs w:val="21"/>
        </w:rPr>
        <w:fldChar w:fldCharType="end"/>
      </w:r>
    </w:p>
    <w:p>
      <w:pPr>
        <w:pStyle w:val="4"/>
        <w:spacing w:before="0" w:after="0" w:line="360" w:lineRule="auto"/>
        <w:rPr>
          <w:snapToGrid w:val="0"/>
          <w:sz w:val="24"/>
          <w:szCs w:val="24"/>
        </w:rPr>
      </w:pPr>
      <w:r>
        <w:rPr>
          <w:snapToGrid w:val="0"/>
          <w:sz w:val="24"/>
          <w:szCs w:val="24"/>
        </w:rPr>
        <w:t>附件1  委托书</w:t>
      </w:r>
    </w:p>
    <w:p>
      <w:pPr>
        <w:spacing w:line="360" w:lineRule="auto"/>
        <w:jc w:val="center"/>
        <w:rPr>
          <w:b/>
          <w:bCs/>
          <w:snapToGrid w:val="0"/>
        </w:rPr>
      </w:pPr>
      <w:r>
        <w:rPr>
          <w:sz w:val="36"/>
          <w:szCs w:val="36"/>
        </w:rPr>
        <w:drawing>
          <wp:inline distT="0" distB="0" distL="0" distR="0">
            <wp:extent cx="5762625" cy="8324850"/>
            <wp:effectExtent l="0" t="0" r="9525" b="0"/>
            <wp:docPr id="14228978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97879"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2625" cy="8324850"/>
                    </a:xfrm>
                    <a:prstGeom prst="rect">
                      <a:avLst/>
                    </a:prstGeom>
                    <a:noFill/>
                    <a:ln>
                      <a:noFill/>
                    </a:ln>
                  </pic:spPr>
                </pic:pic>
              </a:graphicData>
            </a:graphic>
          </wp:inline>
        </w:drawing>
      </w:r>
    </w:p>
    <w:p>
      <w:pPr>
        <w:pStyle w:val="18"/>
        <w:spacing w:before="0" w:beforeAutospacing="0" w:after="0" w:afterAutospacing="0" w:line="360" w:lineRule="auto"/>
        <w:jc w:val="both"/>
        <w:rPr>
          <w:rFonts w:ascii="Times New Roman" w:hAnsi="Times New Roman"/>
          <w:b/>
          <w:bCs/>
          <w:snapToGrid w:val="0"/>
          <w:szCs w:val="24"/>
        </w:rPr>
        <w:sectPr>
          <w:footerReference r:id="rId7" w:type="default"/>
          <w:pgSz w:w="11906" w:h="16838"/>
          <w:pgMar w:top="1418" w:right="1418" w:bottom="1418" w:left="1418" w:header="851" w:footer="851" w:gutter="0"/>
          <w:cols w:space="720" w:num="1"/>
          <w:docGrid w:type="lines" w:linePitch="312" w:charSpace="0"/>
        </w:sectPr>
      </w:pPr>
    </w:p>
    <w:p>
      <w:pPr>
        <w:pStyle w:val="4"/>
        <w:spacing w:before="0" w:after="0" w:line="360" w:lineRule="auto"/>
        <w:rPr>
          <w:snapToGrid w:val="0"/>
          <w:sz w:val="24"/>
          <w:szCs w:val="24"/>
        </w:rPr>
      </w:pPr>
      <w:r>
        <w:rPr>
          <w:snapToGrid w:val="0"/>
          <w:sz w:val="24"/>
          <w:szCs w:val="24"/>
        </w:rPr>
        <w:t>附件2  企业投资项目备案表</w:t>
      </w:r>
    </w:p>
    <w:p>
      <w:pPr>
        <w:pStyle w:val="18"/>
        <w:spacing w:before="0" w:beforeAutospacing="0" w:after="0" w:afterAutospacing="0" w:line="360" w:lineRule="auto"/>
        <w:jc w:val="center"/>
        <w:rPr>
          <w:snapToGrid w:val="0"/>
          <w:szCs w:val="24"/>
        </w:rPr>
      </w:pPr>
      <w:r>
        <w:rPr>
          <w:rFonts w:ascii="Times New Roman" w:hAnsi="Times New Roman"/>
        </w:rPr>
        <w:drawing>
          <wp:inline distT="0" distB="0" distL="0" distR="0">
            <wp:extent cx="7377430" cy="5200650"/>
            <wp:effectExtent l="0" t="0" r="0" b="0"/>
            <wp:docPr id="1451185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85910" name="图片 1"/>
                    <pic:cNvPicPr>
                      <a:picLocks noChangeAspect="1"/>
                    </pic:cNvPicPr>
                  </pic:nvPicPr>
                  <pic:blipFill>
                    <a:blip r:embed="rId25"/>
                    <a:stretch>
                      <a:fillRect/>
                    </a:stretch>
                  </pic:blipFill>
                  <pic:spPr>
                    <a:xfrm>
                      <a:off x="0" y="0"/>
                      <a:ext cx="7387116" cy="5208017"/>
                    </a:xfrm>
                    <a:prstGeom prst="rect">
                      <a:avLst/>
                    </a:prstGeom>
                  </pic:spPr>
                </pic:pic>
              </a:graphicData>
            </a:graphic>
          </wp:inline>
        </w:drawing>
      </w:r>
    </w:p>
    <w:sectPr>
      <w:pgSz w:w="16838" w:h="11906" w:orient="landscape"/>
      <w:pgMar w:top="1418" w:right="1418" w:bottom="1418" w:left="1418"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ascii="宋体" w:hAnsi="宋体"/>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Cs w:val="18"/>
      </w:rPr>
    </w:pPr>
    <w:r>
      <w:rPr>
        <w:szCs w:val="18"/>
      </w:rPr>
      <w:fldChar w:fldCharType="begin"/>
    </w:r>
    <w:r>
      <w:rPr>
        <w:szCs w:val="18"/>
      </w:rPr>
      <w:instrText xml:space="preserve">PAGE   \* MERGEFORMAT</w:instrText>
    </w:r>
    <w:r>
      <w:rPr>
        <w:szCs w:val="18"/>
      </w:rPr>
      <w:fldChar w:fldCharType="separate"/>
    </w:r>
    <w:r>
      <w:rPr>
        <w:szCs w:val="18"/>
        <w:lang w:val="zh-CN"/>
      </w:rPr>
      <w:t>45</w:t>
    </w:r>
    <w:r>
      <w:rPr>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406A5"/>
    <w:multiLevelType w:val="multilevel"/>
    <w:tmpl w:val="011406A5"/>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5YWM4OGMzMzY0NGVjOTFmN2UwNmUzODUxMjIwN2IifQ=="/>
    <w:docVar w:name="KSO_WPS_MARK_KEY" w:val="651d509d-6935-43b7-8097-e0bb3fa2410f"/>
  </w:docVars>
  <w:rsids>
    <w:rsidRoot w:val="00A14947"/>
    <w:rsid w:val="000008AD"/>
    <w:rsid w:val="00000BF7"/>
    <w:rsid w:val="00001C5C"/>
    <w:rsid w:val="00002A7F"/>
    <w:rsid w:val="00002BE3"/>
    <w:rsid w:val="00005F45"/>
    <w:rsid w:val="000060B3"/>
    <w:rsid w:val="000119E8"/>
    <w:rsid w:val="00011D1B"/>
    <w:rsid w:val="00013871"/>
    <w:rsid w:val="00015094"/>
    <w:rsid w:val="000155FC"/>
    <w:rsid w:val="0001563C"/>
    <w:rsid w:val="00020564"/>
    <w:rsid w:val="00022091"/>
    <w:rsid w:val="00023394"/>
    <w:rsid w:val="000244DC"/>
    <w:rsid w:val="00024A91"/>
    <w:rsid w:val="00025DA7"/>
    <w:rsid w:val="000307C8"/>
    <w:rsid w:val="00030F02"/>
    <w:rsid w:val="00034B10"/>
    <w:rsid w:val="0003666D"/>
    <w:rsid w:val="00036C21"/>
    <w:rsid w:val="00036D11"/>
    <w:rsid w:val="00036FF9"/>
    <w:rsid w:val="00037469"/>
    <w:rsid w:val="00037BF6"/>
    <w:rsid w:val="00040535"/>
    <w:rsid w:val="00040DA2"/>
    <w:rsid w:val="0004364B"/>
    <w:rsid w:val="00044130"/>
    <w:rsid w:val="00045CF4"/>
    <w:rsid w:val="00045E06"/>
    <w:rsid w:val="000463AB"/>
    <w:rsid w:val="00046B00"/>
    <w:rsid w:val="00050875"/>
    <w:rsid w:val="000529E8"/>
    <w:rsid w:val="00053780"/>
    <w:rsid w:val="00053CA4"/>
    <w:rsid w:val="00053E7C"/>
    <w:rsid w:val="000560B4"/>
    <w:rsid w:val="00060517"/>
    <w:rsid w:val="00060B02"/>
    <w:rsid w:val="00061B1F"/>
    <w:rsid w:val="0006223F"/>
    <w:rsid w:val="00064355"/>
    <w:rsid w:val="00065BBC"/>
    <w:rsid w:val="000667F4"/>
    <w:rsid w:val="00066C8A"/>
    <w:rsid w:val="00067F5B"/>
    <w:rsid w:val="0007099A"/>
    <w:rsid w:val="000717BC"/>
    <w:rsid w:val="00071C70"/>
    <w:rsid w:val="0007227C"/>
    <w:rsid w:val="00072421"/>
    <w:rsid w:val="00072ABC"/>
    <w:rsid w:val="00072AC9"/>
    <w:rsid w:val="000733C4"/>
    <w:rsid w:val="000739D5"/>
    <w:rsid w:val="00074783"/>
    <w:rsid w:val="000758C8"/>
    <w:rsid w:val="00077827"/>
    <w:rsid w:val="00077B62"/>
    <w:rsid w:val="0008070B"/>
    <w:rsid w:val="000810AC"/>
    <w:rsid w:val="00081A02"/>
    <w:rsid w:val="00082231"/>
    <w:rsid w:val="00082B4B"/>
    <w:rsid w:val="00083651"/>
    <w:rsid w:val="00083A60"/>
    <w:rsid w:val="000860C1"/>
    <w:rsid w:val="000868A9"/>
    <w:rsid w:val="00092747"/>
    <w:rsid w:val="00092D38"/>
    <w:rsid w:val="0009377B"/>
    <w:rsid w:val="00096AF7"/>
    <w:rsid w:val="00096C57"/>
    <w:rsid w:val="00097100"/>
    <w:rsid w:val="000979F9"/>
    <w:rsid w:val="000A0810"/>
    <w:rsid w:val="000A0BA0"/>
    <w:rsid w:val="000A20C9"/>
    <w:rsid w:val="000A3368"/>
    <w:rsid w:val="000A3DD4"/>
    <w:rsid w:val="000A4743"/>
    <w:rsid w:val="000A517D"/>
    <w:rsid w:val="000A5BCB"/>
    <w:rsid w:val="000A6BCD"/>
    <w:rsid w:val="000A7B2C"/>
    <w:rsid w:val="000A7B9E"/>
    <w:rsid w:val="000B058F"/>
    <w:rsid w:val="000B3DB8"/>
    <w:rsid w:val="000B4467"/>
    <w:rsid w:val="000B4DB9"/>
    <w:rsid w:val="000B53B2"/>
    <w:rsid w:val="000B5473"/>
    <w:rsid w:val="000B5B54"/>
    <w:rsid w:val="000B7925"/>
    <w:rsid w:val="000C09AC"/>
    <w:rsid w:val="000C0E18"/>
    <w:rsid w:val="000C2CF9"/>
    <w:rsid w:val="000C2DD2"/>
    <w:rsid w:val="000C3119"/>
    <w:rsid w:val="000C5D14"/>
    <w:rsid w:val="000C663D"/>
    <w:rsid w:val="000C767F"/>
    <w:rsid w:val="000D1855"/>
    <w:rsid w:val="000D23AB"/>
    <w:rsid w:val="000D352F"/>
    <w:rsid w:val="000D5A44"/>
    <w:rsid w:val="000D5F13"/>
    <w:rsid w:val="000D6537"/>
    <w:rsid w:val="000E08EE"/>
    <w:rsid w:val="000E2411"/>
    <w:rsid w:val="000E258E"/>
    <w:rsid w:val="000E28DD"/>
    <w:rsid w:val="000E3ED2"/>
    <w:rsid w:val="000E4AAC"/>
    <w:rsid w:val="000E5438"/>
    <w:rsid w:val="000E7B93"/>
    <w:rsid w:val="000F01B8"/>
    <w:rsid w:val="000F18F3"/>
    <w:rsid w:val="000F1EE2"/>
    <w:rsid w:val="000F242B"/>
    <w:rsid w:val="000F3DA6"/>
    <w:rsid w:val="000F3DB4"/>
    <w:rsid w:val="000F4BC2"/>
    <w:rsid w:val="000F4D35"/>
    <w:rsid w:val="000F4FF8"/>
    <w:rsid w:val="000F5A93"/>
    <w:rsid w:val="00101E70"/>
    <w:rsid w:val="00102047"/>
    <w:rsid w:val="001038A2"/>
    <w:rsid w:val="00104565"/>
    <w:rsid w:val="00105C29"/>
    <w:rsid w:val="00106310"/>
    <w:rsid w:val="00107DC1"/>
    <w:rsid w:val="00113F5F"/>
    <w:rsid w:val="00114518"/>
    <w:rsid w:val="00114A01"/>
    <w:rsid w:val="001236DD"/>
    <w:rsid w:val="00124080"/>
    <w:rsid w:val="00125FE1"/>
    <w:rsid w:val="00126AA2"/>
    <w:rsid w:val="00126D1D"/>
    <w:rsid w:val="00127EA8"/>
    <w:rsid w:val="00131F42"/>
    <w:rsid w:val="00132733"/>
    <w:rsid w:val="001330ED"/>
    <w:rsid w:val="00134567"/>
    <w:rsid w:val="001357F1"/>
    <w:rsid w:val="00136656"/>
    <w:rsid w:val="0013770C"/>
    <w:rsid w:val="00140ED9"/>
    <w:rsid w:val="00140FA8"/>
    <w:rsid w:val="00141146"/>
    <w:rsid w:val="00141C38"/>
    <w:rsid w:val="00141CD0"/>
    <w:rsid w:val="00142FEB"/>
    <w:rsid w:val="00143A2D"/>
    <w:rsid w:val="00145127"/>
    <w:rsid w:val="00145A41"/>
    <w:rsid w:val="00147163"/>
    <w:rsid w:val="00147ACA"/>
    <w:rsid w:val="00151675"/>
    <w:rsid w:val="00151AB7"/>
    <w:rsid w:val="00151C18"/>
    <w:rsid w:val="001525B8"/>
    <w:rsid w:val="00152EBD"/>
    <w:rsid w:val="0015370E"/>
    <w:rsid w:val="0015489B"/>
    <w:rsid w:val="00154A53"/>
    <w:rsid w:val="00155E3C"/>
    <w:rsid w:val="00155FFC"/>
    <w:rsid w:val="001564A9"/>
    <w:rsid w:val="00157435"/>
    <w:rsid w:val="00160C2C"/>
    <w:rsid w:val="001631BB"/>
    <w:rsid w:val="0016392D"/>
    <w:rsid w:val="00163A8E"/>
    <w:rsid w:val="00165C36"/>
    <w:rsid w:val="00165E67"/>
    <w:rsid w:val="0016796D"/>
    <w:rsid w:val="001679B3"/>
    <w:rsid w:val="001679E0"/>
    <w:rsid w:val="00172032"/>
    <w:rsid w:val="00174200"/>
    <w:rsid w:val="0017504D"/>
    <w:rsid w:val="0017582D"/>
    <w:rsid w:val="0017671A"/>
    <w:rsid w:val="00176E96"/>
    <w:rsid w:val="00177422"/>
    <w:rsid w:val="00177608"/>
    <w:rsid w:val="001779BA"/>
    <w:rsid w:val="001815F8"/>
    <w:rsid w:val="00182013"/>
    <w:rsid w:val="00184590"/>
    <w:rsid w:val="00184723"/>
    <w:rsid w:val="0018564E"/>
    <w:rsid w:val="00185FE2"/>
    <w:rsid w:val="00186551"/>
    <w:rsid w:val="001870D1"/>
    <w:rsid w:val="0018781E"/>
    <w:rsid w:val="00187E3B"/>
    <w:rsid w:val="00190003"/>
    <w:rsid w:val="00191086"/>
    <w:rsid w:val="0019112E"/>
    <w:rsid w:val="001914C1"/>
    <w:rsid w:val="0019262D"/>
    <w:rsid w:val="00192EB5"/>
    <w:rsid w:val="001931F8"/>
    <w:rsid w:val="00194FF0"/>
    <w:rsid w:val="00195467"/>
    <w:rsid w:val="00195AC2"/>
    <w:rsid w:val="001A1B35"/>
    <w:rsid w:val="001A1E02"/>
    <w:rsid w:val="001A348C"/>
    <w:rsid w:val="001A48A2"/>
    <w:rsid w:val="001A662F"/>
    <w:rsid w:val="001A6F61"/>
    <w:rsid w:val="001B1797"/>
    <w:rsid w:val="001B24D8"/>
    <w:rsid w:val="001B2F0A"/>
    <w:rsid w:val="001B36F9"/>
    <w:rsid w:val="001B403C"/>
    <w:rsid w:val="001B5A9F"/>
    <w:rsid w:val="001B65C1"/>
    <w:rsid w:val="001B6AE3"/>
    <w:rsid w:val="001B6DF0"/>
    <w:rsid w:val="001B71CB"/>
    <w:rsid w:val="001B7222"/>
    <w:rsid w:val="001B72B8"/>
    <w:rsid w:val="001B7966"/>
    <w:rsid w:val="001C0526"/>
    <w:rsid w:val="001C08AC"/>
    <w:rsid w:val="001C27AF"/>
    <w:rsid w:val="001C2C11"/>
    <w:rsid w:val="001C39AC"/>
    <w:rsid w:val="001C3B08"/>
    <w:rsid w:val="001C63CF"/>
    <w:rsid w:val="001C6992"/>
    <w:rsid w:val="001C69B3"/>
    <w:rsid w:val="001C6A48"/>
    <w:rsid w:val="001C6C19"/>
    <w:rsid w:val="001C7876"/>
    <w:rsid w:val="001C7B9E"/>
    <w:rsid w:val="001D07D7"/>
    <w:rsid w:val="001D2ECB"/>
    <w:rsid w:val="001D4124"/>
    <w:rsid w:val="001D486C"/>
    <w:rsid w:val="001D5595"/>
    <w:rsid w:val="001D618E"/>
    <w:rsid w:val="001D7874"/>
    <w:rsid w:val="001D7F22"/>
    <w:rsid w:val="001E00BF"/>
    <w:rsid w:val="001E4025"/>
    <w:rsid w:val="001E4363"/>
    <w:rsid w:val="001E58F3"/>
    <w:rsid w:val="001E723E"/>
    <w:rsid w:val="001E7F5B"/>
    <w:rsid w:val="001F0166"/>
    <w:rsid w:val="001F0F17"/>
    <w:rsid w:val="001F1786"/>
    <w:rsid w:val="001F17D9"/>
    <w:rsid w:val="001F3347"/>
    <w:rsid w:val="001F473B"/>
    <w:rsid w:val="001F54B2"/>
    <w:rsid w:val="001F5729"/>
    <w:rsid w:val="001F67C1"/>
    <w:rsid w:val="001F69E4"/>
    <w:rsid w:val="001F770B"/>
    <w:rsid w:val="00200AA0"/>
    <w:rsid w:val="002014B7"/>
    <w:rsid w:val="00201BCA"/>
    <w:rsid w:val="002031EA"/>
    <w:rsid w:val="00207C55"/>
    <w:rsid w:val="002103E3"/>
    <w:rsid w:val="0021056B"/>
    <w:rsid w:val="002121C8"/>
    <w:rsid w:val="002125B4"/>
    <w:rsid w:val="00212710"/>
    <w:rsid w:val="002138A7"/>
    <w:rsid w:val="002142A1"/>
    <w:rsid w:val="00214420"/>
    <w:rsid w:val="002155B8"/>
    <w:rsid w:val="00220997"/>
    <w:rsid w:val="00221FF3"/>
    <w:rsid w:val="002245D1"/>
    <w:rsid w:val="00224839"/>
    <w:rsid w:val="002249B2"/>
    <w:rsid w:val="00225686"/>
    <w:rsid w:val="00225E7A"/>
    <w:rsid w:val="00226504"/>
    <w:rsid w:val="00226574"/>
    <w:rsid w:val="002278EC"/>
    <w:rsid w:val="00227A67"/>
    <w:rsid w:val="00230967"/>
    <w:rsid w:val="00231297"/>
    <w:rsid w:val="0023280E"/>
    <w:rsid w:val="002328CE"/>
    <w:rsid w:val="002337A8"/>
    <w:rsid w:val="002377D1"/>
    <w:rsid w:val="00237BAC"/>
    <w:rsid w:val="002412A9"/>
    <w:rsid w:val="002420D5"/>
    <w:rsid w:val="002422F2"/>
    <w:rsid w:val="00243551"/>
    <w:rsid w:val="00244053"/>
    <w:rsid w:val="00245A55"/>
    <w:rsid w:val="002506BC"/>
    <w:rsid w:val="00251948"/>
    <w:rsid w:val="0025244F"/>
    <w:rsid w:val="002530FD"/>
    <w:rsid w:val="00254345"/>
    <w:rsid w:val="002611C2"/>
    <w:rsid w:val="00263450"/>
    <w:rsid w:val="00263B74"/>
    <w:rsid w:val="00263E78"/>
    <w:rsid w:val="00264557"/>
    <w:rsid w:val="00264C6A"/>
    <w:rsid w:val="00265734"/>
    <w:rsid w:val="00266697"/>
    <w:rsid w:val="00271124"/>
    <w:rsid w:val="002727E7"/>
    <w:rsid w:val="00273AB7"/>
    <w:rsid w:val="0027489C"/>
    <w:rsid w:val="0027513A"/>
    <w:rsid w:val="002758A9"/>
    <w:rsid w:val="002804D2"/>
    <w:rsid w:val="002805AB"/>
    <w:rsid w:val="00280EA9"/>
    <w:rsid w:val="00282A0E"/>
    <w:rsid w:val="00282D73"/>
    <w:rsid w:val="00284204"/>
    <w:rsid w:val="0028446A"/>
    <w:rsid w:val="00284DAD"/>
    <w:rsid w:val="002852BF"/>
    <w:rsid w:val="00285B8E"/>
    <w:rsid w:val="00290072"/>
    <w:rsid w:val="00290A06"/>
    <w:rsid w:val="00291773"/>
    <w:rsid w:val="00291D2D"/>
    <w:rsid w:val="00292DB3"/>
    <w:rsid w:val="0029552B"/>
    <w:rsid w:val="00295D35"/>
    <w:rsid w:val="002A168C"/>
    <w:rsid w:val="002A2735"/>
    <w:rsid w:val="002A3DC7"/>
    <w:rsid w:val="002A47F6"/>
    <w:rsid w:val="002A4A4F"/>
    <w:rsid w:val="002A4BB4"/>
    <w:rsid w:val="002A503B"/>
    <w:rsid w:val="002A779F"/>
    <w:rsid w:val="002B025C"/>
    <w:rsid w:val="002B0521"/>
    <w:rsid w:val="002B202B"/>
    <w:rsid w:val="002B20C1"/>
    <w:rsid w:val="002B2E75"/>
    <w:rsid w:val="002B48E4"/>
    <w:rsid w:val="002B49E2"/>
    <w:rsid w:val="002B6953"/>
    <w:rsid w:val="002B738D"/>
    <w:rsid w:val="002B73B9"/>
    <w:rsid w:val="002B7B00"/>
    <w:rsid w:val="002B7C44"/>
    <w:rsid w:val="002C049C"/>
    <w:rsid w:val="002C111E"/>
    <w:rsid w:val="002C1D7D"/>
    <w:rsid w:val="002C219C"/>
    <w:rsid w:val="002C2B17"/>
    <w:rsid w:val="002C2B7B"/>
    <w:rsid w:val="002C2E2F"/>
    <w:rsid w:val="002C4E50"/>
    <w:rsid w:val="002C664C"/>
    <w:rsid w:val="002C773C"/>
    <w:rsid w:val="002D12BC"/>
    <w:rsid w:val="002D1954"/>
    <w:rsid w:val="002D32EC"/>
    <w:rsid w:val="002D3CB3"/>
    <w:rsid w:val="002D3DD0"/>
    <w:rsid w:val="002D4C94"/>
    <w:rsid w:val="002D7534"/>
    <w:rsid w:val="002D7E88"/>
    <w:rsid w:val="002E0A5D"/>
    <w:rsid w:val="002E1F3A"/>
    <w:rsid w:val="002E298A"/>
    <w:rsid w:val="002E39E0"/>
    <w:rsid w:val="002E4000"/>
    <w:rsid w:val="002E4204"/>
    <w:rsid w:val="002E4401"/>
    <w:rsid w:val="002E4424"/>
    <w:rsid w:val="002E6089"/>
    <w:rsid w:val="002E7224"/>
    <w:rsid w:val="002E7D9E"/>
    <w:rsid w:val="002F079E"/>
    <w:rsid w:val="002F3B6A"/>
    <w:rsid w:val="002F4AC6"/>
    <w:rsid w:val="002F50B5"/>
    <w:rsid w:val="002F779F"/>
    <w:rsid w:val="002F7C38"/>
    <w:rsid w:val="00300150"/>
    <w:rsid w:val="00301978"/>
    <w:rsid w:val="00301F2B"/>
    <w:rsid w:val="00302BDB"/>
    <w:rsid w:val="0030332C"/>
    <w:rsid w:val="00303B29"/>
    <w:rsid w:val="003051C2"/>
    <w:rsid w:val="00305645"/>
    <w:rsid w:val="00306C60"/>
    <w:rsid w:val="00306D84"/>
    <w:rsid w:val="00310BBA"/>
    <w:rsid w:val="00311648"/>
    <w:rsid w:val="00312296"/>
    <w:rsid w:val="00314F0E"/>
    <w:rsid w:val="0031630D"/>
    <w:rsid w:val="00321D8E"/>
    <w:rsid w:val="00322826"/>
    <w:rsid w:val="0032441A"/>
    <w:rsid w:val="00325928"/>
    <w:rsid w:val="00325C4E"/>
    <w:rsid w:val="00325EDD"/>
    <w:rsid w:val="0032613C"/>
    <w:rsid w:val="0033187E"/>
    <w:rsid w:val="00332863"/>
    <w:rsid w:val="003333D6"/>
    <w:rsid w:val="003346EF"/>
    <w:rsid w:val="00334940"/>
    <w:rsid w:val="00334B29"/>
    <w:rsid w:val="0033684D"/>
    <w:rsid w:val="00337B42"/>
    <w:rsid w:val="00337D3F"/>
    <w:rsid w:val="003414EC"/>
    <w:rsid w:val="00341B42"/>
    <w:rsid w:val="003426AA"/>
    <w:rsid w:val="003428EF"/>
    <w:rsid w:val="0034348F"/>
    <w:rsid w:val="003448B5"/>
    <w:rsid w:val="00345F85"/>
    <w:rsid w:val="00347E44"/>
    <w:rsid w:val="00351F9B"/>
    <w:rsid w:val="00352147"/>
    <w:rsid w:val="003538B0"/>
    <w:rsid w:val="00355734"/>
    <w:rsid w:val="00356653"/>
    <w:rsid w:val="0035743F"/>
    <w:rsid w:val="00357BE2"/>
    <w:rsid w:val="00360C9E"/>
    <w:rsid w:val="003610A6"/>
    <w:rsid w:val="00361587"/>
    <w:rsid w:val="0036170C"/>
    <w:rsid w:val="00363636"/>
    <w:rsid w:val="0036535D"/>
    <w:rsid w:val="0036569C"/>
    <w:rsid w:val="00366E0F"/>
    <w:rsid w:val="00370716"/>
    <w:rsid w:val="00370A28"/>
    <w:rsid w:val="00370D46"/>
    <w:rsid w:val="00370FC4"/>
    <w:rsid w:val="00371436"/>
    <w:rsid w:val="00371A75"/>
    <w:rsid w:val="003745A4"/>
    <w:rsid w:val="00375A8A"/>
    <w:rsid w:val="00375F49"/>
    <w:rsid w:val="00376445"/>
    <w:rsid w:val="00380325"/>
    <w:rsid w:val="00381A72"/>
    <w:rsid w:val="00381B2E"/>
    <w:rsid w:val="00381E12"/>
    <w:rsid w:val="00382871"/>
    <w:rsid w:val="00382B5D"/>
    <w:rsid w:val="00382F02"/>
    <w:rsid w:val="00383065"/>
    <w:rsid w:val="00384676"/>
    <w:rsid w:val="00384CC7"/>
    <w:rsid w:val="003867D6"/>
    <w:rsid w:val="00386AD1"/>
    <w:rsid w:val="0038757C"/>
    <w:rsid w:val="0038769D"/>
    <w:rsid w:val="00387DA5"/>
    <w:rsid w:val="00390857"/>
    <w:rsid w:val="00390EDF"/>
    <w:rsid w:val="00391948"/>
    <w:rsid w:val="00392B48"/>
    <w:rsid w:val="0039419F"/>
    <w:rsid w:val="0039716C"/>
    <w:rsid w:val="003979BA"/>
    <w:rsid w:val="003A0678"/>
    <w:rsid w:val="003A096E"/>
    <w:rsid w:val="003A1A0E"/>
    <w:rsid w:val="003A1AD1"/>
    <w:rsid w:val="003A25AC"/>
    <w:rsid w:val="003A2921"/>
    <w:rsid w:val="003A2A44"/>
    <w:rsid w:val="003A359F"/>
    <w:rsid w:val="003A4942"/>
    <w:rsid w:val="003A4BF3"/>
    <w:rsid w:val="003A6B04"/>
    <w:rsid w:val="003A6F57"/>
    <w:rsid w:val="003A7E46"/>
    <w:rsid w:val="003B25CA"/>
    <w:rsid w:val="003B26AC"/>
    <w:rsid w:val="003B2E31"/>
    <w:rsid w:val="003B3A3B"/>
    <w:rsid w:val="003B420D"/>
    <w:rsid w:val="003B4311"/>
    <w:rsid w:val="003B4D43"/>
    <w:rsid w:val="003B59DF"/>
    <w:rsid w:val="003B601B"/>
    <w:rsid w:val="003B6CBD"/>
    <w:rsid w:val="003B7F8D"/>
    <w:rsid w:val="003C0B5B"/>
    <w:rsid w:val="003C2C69"/>
    <w:rsid w:val="003C34E3"/>
    <w:rsid w:val="003C3787"/>
    <w:rsid w:val="003C37E7"/>
    <w:rsid w:val="003C4A4B"/>
    <w:rsid w:val="003C6846"/>
    <w:rsid w:val="003C6C16"/>
    <w:rsid w:val="003C742F"/>
    <w:rsid w:val="003C7BD2"/>
    <w:rsid w:val="003D003C"/>
    <w:rsid w:val="003D21AC"/>
    <w:rsid w:val="003D3E19"/>
    <w:rsid w:val="003D4C53"/>
    <w:rsid w:val="003D5CA7"/>
    <w:rsid w:val="003D6BD0"/>
    <w:rsid w:val="003D6C2B"/>
    <w:rsid w:val="003D794D"/>
    <w:rsid w:val="003E2572"/>
    <w:rsid w:val="003E270A"/>
    <w:rsid w:val="003E3058"/>
    <w:rsid w:val="003E447C"/>
    <w:rsid w:val="003E76A9"/>
    <w:rsid w:val="003E7C36"/>
    <w:rsid w:val="003F051D"/>
    <w:rsid w:val="003F0809"/>
    <w:rsid w:val="003F0D01"/>
    <w:rsid w:val="003F1C1C"/>
    <w:rsid w:val="003F3F84"/>
    <w:rsid w:val="003F4C88"/>
    <w:rsid w:val="003F5D73"/>
    <w:rsid w:val="003F5EF9"/>
    <w:rsid w:val="003F60E7"/>
    <w:rsid w:val="003F6A8C"/>
    <w:rsid w:val="003F6FE8"/>
    <w:rsid w:val="003F755C"/>
    <w:rsid w:val="00400C48"/>
    <w:rsid w:val="00402245"/>
    <w:rsid w:val="00402343"/>
    <w:rsid w:val="00403E83"/>
    <w:rsid w:val="00404F76"/>
    <w:rsid w:val="00406E5B"/>
    <w:rsid w:val="00406F01"/>
    <w:rsid w:val="0041161D"/>
    <w:rsid w:val="00414E28"/>
    <w:rsid w:val="004152C7"/>
    <w:rsid w:val="00416682"/>
    <w:rsid w:val="00416D50"/>
    <w:rsid w:val="00416FD5"/>
    <w:rsid w:val="00417772"/>
    <w:rsid w:val="00420A49"/>
    <w:rsid w:val="00420C53"/>
    <w:rsid w:val="00420E6A"/>
    <w:rsid w:val="00422888"/>
    <w:rsid w:val="00422EEA"/>
    <w:rsid w:val="00423A99"/>
    <w:rsid w:val="00425A9E"/>
    <w:rsid w:val="00426D6B"/>
    <w:rsid w:val="00427DE9"/>
    <w:rsid w:val="00430036"/>
    <w:rsid w:val="00430B14"/>
    <w:rsid w:val="00430F9A"/>
    <w:rsid w:val="00431C08"/>
    <w:rsid w:val="00431E6C"/>
    <w:rsid w:val="00432F32"/>
    <w:rsid w:val="00433263"/>
    <w:rsid w:val="00433CE7"/>
    <w:rsid w:val="00434DCC"/>
    <w:rsid w:val="004361F8"/>
    <w:rsid w:val="00436811"/>
    <w:rsid w:val="004402CD"/>
    <w:rsid w:val="00442238"/>
    <w:rsid w:val="00442282"/>
    <w:rsid w:val="00443768"/>
    <w:rsid w:val="004440DE"/>
    <w:rsid w:val="004448EE"/>
    <w:rsid w:val="00444DE0"/>
    <w:rsid w:val="004452ED"/>
    <w:rsid w:val="004455A0"/>
    <w:rsid w:val="00450106"/>
    <w:rsid w:val="00451951"/>
    <w:rsid w:val="004523A9"/>
    <w:rsid w:val="00452738"/>
    <w:rsid w:val="00452CD3"/>
    <w:rsid w:val="004546DC"/>
    <w:rsid w:val="00456091"/>
    <w:rsid w:val="00456113"/>
    <w:rsid w:val="004561D8"/>
    <w:rsid w:val="004628CF"/>
    <w:rsid w:val="00462B08"/>
    <w:rsid w:val="00463537"/>
    <w:rsid w:val="00464D5A"/>
    <w:rsid w:val="00466321"/>
    <w:rsid w:val="004708FC"/>
    <w:rsid w:val="00473442"/>
    <w:rsid w:val="004757EF"/>
    <w:rsid w:val="00476178"/>
    <w:rsid w:val="00476455"/>
    <w:rsid w:val="00477C28"/>
    <w:rsid w:val="004806C4"/>
    <w:rsid w:val="00482CDD"/>
    <w:rsid w:val="00484B9B"/>
    <w:rsid w:val="00484E3F"/>
    <w:rsid w:val="004855F6"/>
    <w:rsid w:val="0048661E"/>
    <w:rsid w:val="0048797C"/>
    <w:rsid w:val="00487BBB"/>
    <w:rsid w:val="0049316E"/>
    <w:rsid w:val="00494670"/>
    <w:rsid w:val="00494BDF"/>
    <w:rsid w:val="0049538E"/>
    <w:rsid w:val="0049547F"/>
    <w:rsid w:val="004954F7"/>
    <w:rsid w:val="004958DD"/>
    <w:rsid w:val="004A093C"/>
    <w:rsid w:val="004A0D3B"/>
    <w:rsid w:val="004A12E9"/>
    <w:rsid w:val="004A16C0"/>
    <w:rsid w:val="004A2E71"/>
    <w:rsid w:val="004A3823"/>
    <w:rsid w:val="004A623D"/>
    <w:rsid w:val="004A7897"/>
    <w:rsid w:val="004A7D4C"/>
    <w:rsid w:val="004B0AA2"/>
    <w:rsid w:val="004B2928"/>
    <w:rsid w:val="004B29C2"/>
    <w:rsid w:val="004B3B58"/>
    <w:rsid w:val="004B4038"/>
    <w:rsid w:val="004B4AFD"/>
    <w:rsid w:val="004B50BF"/>
    <w:rsid w:val="004B714B"/>
    <w:rsid w:val="004B7CE2"/>
    <w:rsid w:val="004C06E9"/>
    <w:rsid w:val="004C0B4E"/>
    <w:rsid w:val="004C1E64"/>
    <w:rsid w:val="004C340E"/>
    <w:rsid w:val="004C483F"/>
    <w:rsid w:val="004C4D7A"/>
    <w:rsid w:val="004C535D"/>
    <w:rsid w:val="004C61D9"/>
    <w:rsid w:val="004D06EA"/>
    <w:rsid w:val="004D0985"/>
    <w:rsid w:val="004D5561"/>
    <w:rsid w:val="004D6F78"/>
    <w:rsid w:val="004D77EE"/>
    <w:rsid w:val="004D7AC2"/>
    <w:rsid w:val="004E16AB"/>
    <w:rsid w:val="004E17A6"/>
    <w:rsid w:val="004E2F3B"/>
    <w:rsid w:val="004E3D80"/>
    <w:rsid w:val="004E50FE"/>
    <w:rsid w:val="004E6007"/>
    <w:rsid w:val="004E6946"/>
    <w:rsid w:val="004E7093"/>
    <w:rsid w:val="004F1609"/>
    <w:rsid w:val="004F18AD"/>
    <w:rsid w:val="004F1AD8"/>
    <w:rsid w:val="004F2E33"/>
    <w:rsid w:val="004F36B0"/>
    <w:rsid w:val="004F4FEF"/>
    <w:rsid w:val="004F5DAD"/>
    <w:rsid w:val="004F734F"/>
    <w:rsid w:val="004F7A40"/>
    <w:rsid w:val="004F7A78"/>
    <w:rsid w:val="004F7AC1"/>
    <w:rsid w:val="004F7EE8"/>
    <w:rsid w:val="005002D3"/>
    <w:rsid w:val="00501318"/>
    <w:rsid w:val="005033B1"/>
    <w:rsid w:val="005039CB"/>
    <w:rsid w:val="00504364"/>
    <w:rsid w:val="00504F98"/>
    <w:rsid w:val="0050558F"/>
    <w:rsid w:val="00506286"/>
    <w:rsid w:val="005079F0"/>
    <w:rsid w:val="00507E53"/>
    <w:rsid w:val="00510813"/>
    <w:rsid w:val="00511990"/>
    <w:rsid w:val="00511DE0"/>
    <w:rsid w:val="0051477B"/>
    <w:rsid w:val="00514870"/>
    <w:rsid w:val="00514B9B"/>
    <w:rsid w:val="005157B2"/>
    <w:rsid w:val="005167BA"/>
    <w:rsid w:val="00517F02"/>
    <w:rsid w:val="005220B8"/>
    <w:rsid w:val="00524303"/>
    <w:rsid w:val="005256F6"/>
    <w:rsid w:val="005258A2"/>
    <w:rsid w:val="00526E45"/>
    <w:rsid w:val="00527A10"/>
    <w:rsid w:val="00530C12"/>
    <w:rsid w:val="00530C9B"/>
    <w:rsid w:val="0053116C"/>
    <w:rsid w:val="00531FF1"/>
    <w:rsid w:val="0053330A"/>
    <w:rsid w:val="00533526"/>
    <w:rsid w:val="00533AE6"/>
    <w:rsid w:val="0053512C"/>
    <w:rsid w:val="00536F73"/>
    <w:rsid w:val="005372CB"/>
    <w:rsid w:val="005401AE"/>
    <w:rsid w:val="0054035A"/>
    <w:rsid w:val="0054041E"/>
    <w:rsid w:val="00542E07"/>
    <w:rsid w:val="005430F6"/>
    <w:rsid w:val="0054316D"/>
    <w:rsid w:val="005435F3"/>
    <w:rsid w:val="005438B0"/>
    <w:rsid w:val="00544055"/>
    <w:rsid w:val="00544207"/>
    <w:rsid w:val="005443B8"/>
    <w:rsid w:val="00544DBB"/>
    <w:rsid w:val="005452D9"/>
    <w:rsid w:val="00545424"/>
    <w:rsid w:val="00545B32"/>
    <w:rsid w:val="005469C4"/>
    <w:rsid w:val="00547D3F"/>
    <w:rsid w:val="0055087A"/>
    <w:rsid w:val="00554A7B"/>
    <w:rsid w:val="00554D26"/>
    <w:rsid w:val="0055572C"/>
    <w:rsid w:val="00555917"/>
    <w:rsid w:val="00556D41"/>
    <w:rsid w:val="00557CB5"/>
    <w:rsid w:val="00557E18"/>
    <w:rsid w:val="0056106A"/>
    <w:rsid w:val="00561316"/>
    <w:rsid w:val="005637A0"/>
    <w:rsid w:val="00563E46"/>
    <w:rsid w:val="005641C1"/>
    <w:rsid w:val="0056571E"/>
    <w:rsid w:val="00565C28"/>
    <w:rsid w:val="00565FE4"/>
    <w:rsid w:val="00567A94"/>
    <w:rsid w:val="005720AE"/>
    <w:rsid w:val="00574B13"/>
    <w:rsid w:val="00574B94"/>
    <w:rsid w:val="00574EB2"/>
    <w:rsid w:val="005755A8"/>
    <w:rsid w:val="00576AD2"/>
    <w:rsid w:val="005774A4"/>
    <w:rsid w:val="00580647"/>
    <w:rsid w:val="00580654"/>
    <w:rsid w:val="005815C5"/>
    <w:rsid w:val="00584F5D"/>
    <w:rsid w:val="005855B1"/>
    <w:rsid w:val="00586B46"/>
    <w:rsid w:val="005946B2"/>
    <w:rsid w:val="00594D77"/>
    <w:rsid w:val="00595F6F"/>
    <w:rsid w:val="005969E4"/>
    <w:rsid w:val="00596CF4"/>
    <w:rsid w:val="0059724A"/>
    <w:rsid w:val="00597396"/>
    <w:rsid w:val="005A06B7"/>
    <w:rsid w:val="005A0DBD"/>
    <w:rsid w:val="005A1759"/>
    <w:rsid w:val="005A243F"/>
    <w:rsid w:val="005A2FA6"/>
    <w:rsid w:val="005A46A5"/>
    <w:rsid w:val="005A51E2"/>
    <w:rsid w:val="005A68A7"/>
    <w:rsid w:val="005B068C"/>
    <w:rsid w:val="005B3402"/>
    <w:rsid w:val="005B3539"/>
    <w:rsid w:val="005B38C4"/>
    <w:rsid w:val="005B510D"/>
    <w:rsid w:val="005B5408"/>
    <w:rsid w:val="005B6DF4"/>
    <w:rsid w:val="005B7A4C"/>
    <w:rsid w:val="005C0504"/>
    <w:rsid w:val="005C0A4D"/>
    <w:rsid w:val="005C3A47"/>
    <w:rsid w:val="005C4BE1"/>
    <w:rsid w:val="005C4C3C"/>
    <w:rsid w:val="005D0F25"/>
    <w:rsid w:val="005D36AB"/>
    <w:rsid w:val="005D4B6F"/>
    <w:rsid w:val="005D5514"/>
    <w:rsid w:val="005D5CF3"/>
    <w:rsid w:val="005D6BA9"/>
    <w:rsid w:val="005D6E7F"/>
    <w:rsid w:val="005D732B"/>
    <w:rsid w:val="005D7FEA"/>
    <w:rsid w:val="005E1E61"/>
    <w:rsid w:val="005E2ADF"/>
    <w:rsid w:val="005E473C"/>
    <w:rsid w:val="005E48A7"/>
    <w:rsid w:val="005E544A"/>
    <w:rsid w:val="005F005E"/>
    <w:rsid w:val="005F0245"/>
    <w:rsid w:val="005F2D18"/>
    <w:rsid w:val="005F3EBA"/>
    <w:rsid w:val="005F3F10"/>
    <w:rsid w:val="005F4579"/>
    <w:rsid w:val="005F575F"/>
    <w:rsid w:val="005F7277"/>
    <w:rsid w:val="005F78B3"/>
    <w:rsid w:val="005F7EF8"/>
    <w:rsid w:val="00602F01"/>
    <w:rsid w:val="00603AE6"/>
    <w:rsid w:val="00603E4B"/>
    <w:rsid w:val="006055E2"/>
    <w:rsid w:val="006108A9"/>
    <w:rsid w:val="00611B13"/>
    <w:rsid w:val="006124F6"/>
    <w:rsid w:val="00612ED0"/>
    <w:rsid w:val="00615644"/>
    <w:rsid w:val="006161FF"/>
    <w:rsid w:val="006169F9"/>
    <w:rsid w:val="00617A75"/>
    <w:rsid w:val="00617C13"/>
    <w:rsid w:val="00617CC3"/>
    <w:rsid w:val="006204CB"/>
    <w:rsid w:val="00622843"/>
    <w:rsid w:val="00622896"/>
    <w:rsid w:val="006237E3"/>
    <w:rsid w:val="00624951"/>
    <w:rsid w:val="00626307"/>
    <w:rsid w:val="0062677F"/>
    <w:rsid w:val="00630DC2"/>
    <w:rsid w:val="006313FE"/>
    <w:rsid w:val="00631680"/>
    <w:rsid w:val="006333C6"/>
    <w:rsid w:val="00633630"/>
    <w:rsid w:val="00633F9B"/>
    <w:rsid w:val="006348FA"/>
    <w:rsid w:val="00635538"/>
    <w:rsid w:val="0063588B"/>
    <w:rsid w:val="006377A6"/>
    <w:rsid w:val="00637A3D"/>
    <w:rsid w:val="006400A6"/>
    <w:rsid w:val="006406CD"/>
    <w:rsid w:val="006411EF"/>
    <w:rsid w:val="00641441"/>
    <w:rsid w:val="0064152C"/>
    <w:rsid w:val="00642A05"/>
    <w:rsid w:val="00643899"/>
    <w:rsid w:val="00644E5E"/>
    <w:rsid w:val="00645F04"/>
    <w:rsid w:val="00646BDD"/>
    <w:rsid w:val="006478E4"/>
    <w:rsid w:val="0065230E"/>
    <w:rsid w:val="0065315A"/>
    <w:rsid w:val="00653449"/>
    <w:rsid w:val="0065379C"/>
    <w:rsid w:val="00653D6E"/>
    <w:rsid w:val="0065522F"/>
    <w:rsid w:val="006555A1"/>
    <w:rsid w:val="006563F2"/>
    <w:rsid w:val="0065682A"/>
    <w:rsid w:val="00657676"/>
    <w:rsid w:val="00660FCA"/>
    <w:rsid w:val="0066191A"/>
    <w:rsid w:val="00663AA2"/>
    <w:rsid w:val="006653DF"/>
    <w:rsid w:val="00666868"/>
    <w:rsid w:val="00666F5E"/>
    <w:rsid w:val="00671527"/>
    <w:rsid w:val="00671FDD"/>
    <w:rsid w:val="00672D3B"/>
    <w:rsid w:val="006748B8"/>
    <w:rsid w:val="006748E9"/>
    <w:rsid w:val="00674EF9"/>
    <w:rsid w:val="006750FC"/>
    <w:rsid w:val="006775C3"/>
    <w:rsid w:val="00683844"/>
    <w:rsid w:val="006851C2"/>
    <w:rsid w:val="0068545C"/>
    <w:rsid w:val="00686C1D"/>
    <w:rsid w:val="00690125"/>
    <w:rsid w:val="0069036E"/>
    <w:rsid w:val="00690C25"/>
    <w:rsid w:val="00690EA5"/>
    <w:rsid w:val="0069209D"/>
    <w:rsid w:val="0069290A"/>
    <w:rsid w:val="0069299F"/>
    <w:rsid w:val="00693536"/>
    <w:rsid w:val="00694378"/>
    <w:rsid w:val="00694DD1"/>
    <w:rsid w:val="00695740"/>
    <w:rsid w:val="00696547"/>
    <w:rsid w:val="006967CE"/>
    <w:rsid w:val="0069775A"/>
    <w:rsid w:val="00697813"/>
    <w:rsid w:val="006A0470"/>
    <w:rsid w:val="006A0E50"/>
    <w:rsid w:val="006A0E81"/>
    <w:rsid w:val="006A3C2B"/>
    <w:rsid w:val="006A3EE8"/>
    <w:rsid w:val="006A6D8F"/>
    <w:rsid w:val="006A6E60"/>
    <w:rsid w:val="006A72BF"/>
    <w:rsid w:val="006B030F"/>
    <w:rsid w:val="006B03F2"/>
    <w:rsid w:val="006B0A68"/>
    <w:rsid w:val="006B1E90"/>
    <w:rsid w:val="006B37DC"/>
    <w:rsid w:val="006B4578"/>
    <w:rsid w:val="006B473C"/>
    <w:rsid w:val="006B4F68"/>
    <w:rsid w:val="006B7613"/>
    <w:rsid w:val="006B7FD3"/>
    <w:rsid w:val="006C0592"/>
    <w:rsid w:val="006C272E"/>
    <w:rsid w:val="006C3A76"/>
    <w:rsid w:val="006C3F57"/>
    <w:rsid w:val="006C4184"/>
    <w:rsid w:val="006C4197"/>
    <w:rsid w:val="006C4544"/>
    <w:rsid w:val="006C4F93"/>
    <w:rsid w:val="006C5479"/>
    <w:rsid w:val="006C6FCB"/>
    <w:rsid w:val="006C7DF4"/>
    <w:rsid w:val="006D0C9F"/>
    <w:rsid w:val="006D13B5"/>
    <w:rsid w:val="006D1CDC"/>
    <w:rsid w:val="006D216A"/>
    <w:rsid w:val="006D2469"/>
    <w:rsid w:val="006D2AB1"/>
    <w:rsid w:val="006D42AA"/>
    <w:rsid w:val="006D7473"/>
    <w:rsid w:val="006D79B8"/>
    <w:rsid w:val="006E12FF"/>
    <w:rsid w:val="006E1636"/>
    <w:rsid w:val="006E1B80"/>
    <w:rsid w:val="006E27A9"/>
    <w:rsid w:val="006E2D52"/>
    <w:rsid w:val="006E5E2A"/>
    <w:rsid w:val="006E607E"/>
    <w:rsid w:val="006E63C0"/>
    <w:rsid w:val="006E6BB7"/>
    <w:rsid w:val="006E6FB1"/>
    <w:rsid w:val="006F010C"/>
    <w:rsid w:val="006F01BA"/>
    <w:rsid w:val="006F5007"/>
    <w:rsid w:val="006F5C5B"/>
    <w:rsid w:val="006F6938"/>
    <w:rsid w:val="007001BA"/>
    <w:rsid w:val="0070169C"/>
    <w:rsid w:val="00702ADE"/>
    <w:rsid w:val="00703879"/>
    <w:rsid w:val="00703A8E"/>
    <w:rsid w:val="00704708"/>
    <w:rsid w:val="00705566"/>
    <w:rsid w:val="00705650"/>
    <w:rsid w:val="007064A4"/>
    <w:rsid w:val="00706C5D"/>
    <w:rsid w:val="00706E45"/>
    <w:rsid w:val="00707B2B"/>
    <w:rsid w:val="007104AF"/>
    <w:rsid w:val="00710962"/>
    <w:rsid w:val="0071111C"/>
    <w:rsid w:val="0071116D"/>
    <w:rsid w:val="00713A68"/>
    <w:rsid w:val="00714558"/>
    <w:rsid w:val="007156D7"/>
    <w:rsid w:val="00716AED"/>
    <w:rsid w:val="00717EED"/>
    <w:rsid w:val="0072011A"/>
    <w:rsid w:val="00720158"/>
    <w:rsid w:val="007206E0"/>
    <w:rsid w:val="00721D0A"/>
    <w:rsid w:val="00722654"/>
    <w:rsid w:val="00723510"/>
    <w:rsid w:val="007235E7"/>
    <w:rsid w:val="00724953"/>
    <w:rsid w:val="00727158"/>
    <w:rsid w:val="007305BD"/>
    <w:rsid w:val="0073078F"/>
    <w:rsid w:val="00731A56"/>
    <w:rsid w:val="00732268"/>
    <w:rsid w:val="00732922"/>
    <w:rsid w:val="00734B6C"/>
    <w:rsid w:val="00736558"/>
    <w:rsid w:val="00736663"/>
    <w:rsid w:val="00736C63"/>
    <w:rsid w:val="0074042F"/>
    <w:rsid w:val="00742196"/>
    <w:rsid w:val="00743017"/>
    <w:rsid w:val="00743B45"/>
    <w:rsid w:val="00744726"/>
    <w:rsid w:val="00745589"/>
    <w:rsid w:val="00746938"/>
    <w:rsid w:val="007473FA"/>
    <w:rsid w:val="007478CB"/>
    <w:rsid w:val="0075162E"/>
    <w:rsid w:val="00752A9A"/>
    <w:rsid w:val="00753115"/>
    <w:rsid w:val="00753606"/>
    <w:rsid w:val="00754034"/>
    <w:rsid w:val="00756556"/>
    <w:rsid w:val="0075763A"/>
    <w:rsid w:val="007579A5"/>
    <w:rsid w:val="00760BE9"/>
    <w:rsid w:val="007618C4"/>
    <w:rsid w:val="007622EA"/>
    <w:rsid w:val="007639C8"/>
    <w:rsid w:val="00764D5E"/>
    <w:rsid w:val="00764DF5"/>
    <w:rsid w:val="00765345"/>
    <w:rsid w:val="00766700"/>
    <w:rsid w:val="00767980"/>
    <w:rsid w:val="007679FC"/>
    <w:rsid w:val="00767C60"/>
    <w:rsid w:val="00770B19"/>
    <w:rsid w:val="007729F9"/>
    <w:rsid w:val="00772C94"/>
    <w:rsid w:val="007735F2"/>
    <w:rsid w:val="00774575"/>
    <w:rsid w:val="0077463F"/>
    <w:rsid w:val="00775EB3"/>
    <w:rsid w:val="00776ED6"/>
    <w:rsid w:val="00780716"/>
    <w:rsid w:val="007819F1"/>
    <w:rsid w:val="00782629"/>
    <w:rsid w:val="00782F51"/>
    <w:rsid w:val="007836EA"/>
    <w:rsid w:val="00783CE5"/>
    <w:rsid w:val="007840A7"/>
    <w:rsid w:val="007841FE"/>
    <w:rsid w:val="00784CDA"/>
    <w:rsid w:val="007857BD"/>
    <w:rsid w:val="0078598A"/>
    <w:rsid w:val="007865F4"/>
    <w:rsid w:val="007869B5"/>
    <w:rsid w:val="0079013C"/>
    <w:rsid w:val="007906C4"/>
    <w:rsid w:val="007940EA"/>
    <w:rsid w:val="007967E8"/>
    <w:rsid w:val="007968F7"/>
    <w:rsid w:val="00796C43"/>
    <w:rsid w:val="00797C00"/>
    <w:rsid w:val="007A03D6"/>
    <w:rsid w:val="007A2170"/>
    <w:rsid w:val="007A22BF"/>
    <w:rsid w:val="007A3323"/>
    <w:rsid w:val="007A38F6"/>
    <w:rsid w:val="007A4500"/>
    <w:rsid w:val="007A473D"/>
    <w:rsid w:val="007A499A"/>
    <w:rsid w:val="007A7153"/>
    <w:rsid w:val="007B16DD"/>
    <w:rsid w:val="007B1FF0"/>
    <w:rsid w:val="007B3C92"/>
    <w:rsid w:val="007B3F37"/>
    <w:rsid w:val="007B5704"/>
    <w:rsid w:val="007B6ABF"/>
    <w:rsid w:val="007B72B8"/>
    <w:rsid w:val="007B7A58"/>
    <w:rsid w:val="007B7F77"/>
    <w:rsid w:val="007C13E0"/>
    <w:rsid w:val="007C1A67"/>
    <w:rsid w:val="007C21B5"/>
    <w:rsid w:val="007C42F5"/>
    <w:rsid w:val="007C5002"/>
    <w:rsid w:val="007C55E9"/>
    <w:rsid w:val="007C5975"/>
    <w:rsid w:val="007C59CF"/>
    <w:rsid w:val="007C60FB"/>
    <w:rsid w:val="007C6D2E"/>
    <w:rsid w:val="007D2957"/>
    <w:rsid w:val="007D2F7F"/>
    <w:rsid w:val="007D3BC0"/>
    <w:rsid w:val="007D4654"/>
    <w:rsid w:val="007D4D2D"/>
    <w:rsid w:val="007D6A1A"/>
    <w:rsid w:val="007D6B86"/>
    <w:rsid w:val="007E0680"/>
    <w:rsid w:val="007E0894"/>
    <w:rsid w:val="007E4BD2"/>
    <w:rsid w:val="007E4BEF"/>
    <w:rsid w:val="007E6052"/>
    <w:rsid w:val="007E6C6F"/>
    <w:rsid w:val="007F0B6B"/>
    <w:rsid w:val="007F0FBA"/>
    <w:rsid w:val="007F1A7C"/>
    <w:rsid w:val="007F3078"/>
    <w:rsid w:val="007F4354"/>
    <w:rsid w:val="007F5694"/>
    <w:rsid w:val="007F5DFB"/>
    <w:rsid w:val="00801393"/>
    <w:rsid w:val="0080164F"/>
    <w:rsid w:val="00802F88"/>
    <w:rsid w:val="00804221"/>
    <w:rsid w:val="0080563F"/>
    <w:rsid w:val="00805EE0"/>
    <w:rsid w:val="0080618B"/>
    <w:rsid w:val="00810989"/>
    <w:rsid w:val="00811A34"/>
    <w:rsid w:val="0081293E"/>
    <w:rsid w:val="00812DD6"/>
    <w:rsid w:val="00815465"/>
    <w:rsid w:val="00815672"/>
    <w:rsid w:val="00817E9A"/>
    <w:rsid w:val="0082010B"/>
    <w:rsid w:val="00820893"/>
    <w:rsid w:val="0082146D"/>
    <w:rsid w:val="00821B82"/>
    <w:rsid w:val="0082218D"/>
    <w:rsid w:val="008226FE"/>
    <w:rsid w:val="0082357F"/>
    <w:rsid w:val="008235D0"/>
    <w:rsid w:val="0082415C"/>
    <w:rsid w:val="00824820"/>
    <w:rsid w:val="00824CCE"/>
    <w:rsid w:val="008256DC"/>
    <w:rsid w:val="008260CC"/>
    <w:rsid w:val="00826B7A"/>
    <w:rsid w:val="00827EC6"/>
    <w:rsid w:val="00830650"/>
    <w:rsid w:val="008306BD"/>
    <w:rsid w:val="00830914"/>
    <w:rsid w:val="00830958"/>
    <w:rsid w:val="00830C84"/>
    <w:rsid w:val="00831A80"/>
    <w:rsid w:val="00832F48"/>
    <w:rsid w:val="0083349B"/>
    <w:rsid w:val="00833743"/>
    <w:rsid w:val="008340A4"/>
    <w:rsid w:val="0083429E"/>
    <w:rsid w:val="008345D7"/>
    <w:rsid w:val="00834A78"/>
    <w:rsid w:val="0083568C"/>
    <w:rsid w:val="00836338"/>
    <w:rsid w:val="00836528"/>
    <w:rsid w:val="00836CB1"/>
    <w:rsid w:val="00837001"/>
    <w:rsid w:val="00837099"/>
    <w:rsid w:val="0084038F"/>
    <w:rsid w:val="00840531"/>
    <w:rsid w:val="008406A8"/>
    <w:rsid w:val="00840C08"/>
    <w:rsid w:val="00843AF0"/>
    <w:rsid w:val="00844F80"/>
    <w:rsid w:val="00845E3B"/>
    <w:rsid w:val="00847724"/>
    <w:rsid w:val="008502C6"/>
    <w:rsid w:val="008504B6"/>
    <w:rsid w:val="00852210"/>
    <w:rsid w:val="008526BA"/>
    <w:rsid w:val="00855DBA"/>
    <w:rsid w:val="00860EEF"/>
    <w:rsid w:val="008616AE"/>
    <w:rsid w:val="008617A9"/>
    <w:rsid w:val="00861F8B"/>
    <w:rsid w:val="00865372"/>
    <w:rsid w:val="008654F7"/>
    <w:rsid w:val="008658A5"/>
    <w:rsid w:val="00866726"/>
    <w:rsid w:val="00866CFB"/>
    <w:rsid w:val="0087135F"/>
    <w:rsid w:val="008721BB"/>
    <w:rsid w:val="00872713"/>
    <w:rsid w:val="00872D94"/>
    <w:rsid w:val="00873ACE"/>
    <w:rsid w:val="008758C9"/>
    <w:rsid w:val="00875BB8"/>
    <w:rsid w:val="00876966"/>
    <w:rsid w:val="00876A46"/>
    <w:rsid w:val="00880364"/>
    <w:rsid w:val="0088163C"/>
    <w:rsid w:val="00881899"/>
    <w:rsid w:val="0088393F"/>
    <w:rsid w:val="00884309"/>
    <w:rsid w:val="00884D48"/>
    <w:rsid w:val="00884EBB"/>
    <w:rsid w:val="00885068"/>
    <w:rsid w:val="008860F3"/>
    <w:rsid w:val="00886BDF"/>
    <w:rsid w:val="00886C24"/>
    <w:rsid w:val="00886DD9"/>
    <w:rsid w:val="00891592"/>
    <w:rsid w:val="00891E9E"/>
    <w:rsid w:val="00892D0D"/>
    <w:rsid w:val="00893B0D"/>
    <w:rsid w:val="00893B6D"/>
    <w:rsid w:val="00896148"/>
    <w:rsid w:val="00896F05"/>
    <w:rsid w:val="00897A8C"/>
    <w:rsid w:val="008A0C15"/>
    <w:rsid w:val="008A2F68"/>
    <w:rsid w:val="008A5243"/>
    <w:rsid w:val="008A607C"/>
    <w:rsid w:val="008B1F57"/>
    <w:rsid w:val="008B244E"/>
    <w:rsid w:val="008B3C16"/>
    <w:rsid w:val="008B4FA6"/>
    <w:rsid w:val="008B5282"/>
    <w:rsid w:val="008B7469"/>
    <w:rsid w:val="008B7B34"/>
    <w:rsid w:val="008B7C17"/>
    <w:rsid w:val="008B7E0A"/>
    <w:rsid w:val="008C054B"/>
    <w:rsid w:val="008C18FF"/>
    <w:rsid w:val="008C1AE6"/>
    <w:rsid w:val="008C1B6B"/>
    <w:rsid w:val="008C244B"/>
    <w:rsid w:val="008C2D01"/>
    <w:rsid w:val="008C3823"/>
    <w:rsid w:val="008C40E6"/>
    <w:rsid w:val="008C7B48"/>
    <w:rsid w:val="008D0811"/>
    <w:rsid w:val="008D0ECE"/>
    <w:rsid w:val="008D0F7A"/>
    <w:rsid w:val="008D1344"/>
    <w:rsid w:val="008D17CD"/>
    <w:rsid w:val="008D1887"/>
    <w:rsid w:val="008D4172"/>
    <w:rsid w:val="008D4929"/>
    <w:rsid w:val="008D68E4"/>
    <w:rsid w:val="008E0506"/>
    <w:rsid w:val="008E0CFF"/>
    <w:rsid w:val="008E1074"/>
    <w:rsid w:val="008E11F3"/>
    <w:rsid w:val="008E4EBC"/>
    <w:rsid w:val="008E4FCF"/>
    <w:rsid w:val="008E5D6B"/>
    <w:rsid w:val="008E76F0"/>
    <w:rsid w:val="008F12E7"/>
    <w:rsid w:val="008F15FE"/>
    <w:rsid w:val="008F2311"/>
    <w:rsid w:val="008F2D29"/>
    <w:rsid w:val="008F33A6"/>
    <w:rsid w:val="008F4EB3"/>
    <w:rsid w:val="008F5187"/>
    <w:rsid w:val="008F60D8"/>
    <w:rsid w:val="008F6496"/>
    <w:rsid w:val="008F6D4B"/>
    <w:rsid w:val="008F6FEA"/>
    <w:rsid w:val="008F74D6"/>
    <w:rsid w:val="008F7889"/>
    <w:rsid w:val="008F7D3F"/>
    <w:rsid w:val="00900E21"/>
    <w:rsid w:val="00902727"/>
    <w:rsid w:val="0090312B"/>
    <w:rsid w:val="009040C3"/>
    <w:rsid w:val="009055A6"/>
    <w:rsid w:val="009075AE"/>
    <w:rsid w:val="00907A30"/>
    <w:rsid w:val="009136D8"/>
    <w:rsid w:val="0091736D"/>
    <w:rsid w:val="00917732"/>
    <w:rsid w:val="0092041F"/>
    <w:rsid w:val="00920FBE"/>
    <w:rsid w:val="0092198D"/>
    <w:rsid w:val="00921A62"/>
    <w:rsid w:val="00922444"/>
    <w:rsid w:val="009243CD"/>
    <w:rsid w:val="009243D2"/>
    <w:rsid w:val="0092558F"/>
    <w:rsid w:val="00925B04"/>
    <w:rsid w:val="00926B81"/>
    <w:rsid w:val="00927B34"/>
    <w:rsid w:val="00927F3E"/>
    <w:rsid w:val="0093037A"/>
    <w:rsid w:val="009306A0"/>
    <w:rsid w:val="00931E33"/>
    <w:rsid w:val="0093335C"/>
    <w:rsid w:val="009346A4"/>
    <w:rsid w:val="00934A2A"/>
    <w:rsid w:val="00935E7E"/>
    <w:rsid w:val="00936095"/>
    <w:rsid w:val="009413EA"/>
    <w:rsid w:val="0094154D"/>
    <w:rsid w:val="009452E5"/>
    <w:rsid w:val="009512A6"/>
    <w:rsid w:val="0095155F"/>
    <w:rsid w:val="00951FC0"/>
    <w:rsid w:val="00953F0D"/>
    <w:rsid w:val="00954429"/>
    <w:rsid w:val="00954DAF"/>
    <w:rsid w:val="009558D6"/>
    <w:rsid w:val="00955B7E"/>
    <w:rsid w:val="009563CE"/>
    <w:rsid w:val="00964079"/>
    <w:rsid w:val="0096456D"/>
    <w:rsid w:val="00964D0F"/>
    <w:rsid w:val="00966D8A"/>
    <w:rsid w:val="00966F74"/>
    <w:rsid w:val="0096752D"/>
    <w:rsid w:val="009702C6"/>
    <w:rsid w:val="0097068F"/>
    <w:rsid w:val="00971783"/>
    <w:rsid w:val="00972592"/>
    <w:rsid w:val="00974DCD"/>
    <w:rsid w:val="00974F15"/>
    <w:rsid w:val="009755C3"/>
    <w:rsid w:val="00975D87"/>
    <w:rsid w:val="00976328"/>
    <w:rsid w:val="0097680D"/>
    <w:rsid w:val="00976AD2"/>
    <w:rsid w:val="00977916"/>
    <w:rsid w:val="00977C4E"/>
    <w:rsid w:val="00980AAF"/>
    <w:rsid w:val="00980F77"/>
    <w:rsid w:val="00981D3A"/>
    <w:rsid w:val="00982438"/>
    <w:rsid w:val="00983404"/>
    <w:rsid w:val="00983B85"/>
    <w:rsid w:val="0098404C"/>
    <w:rsid w:val="00985283"/>
    <w:rsid w:val="00986385"/>
    <w:rsid w:val="009863C7"/>
    <w:rsid w:val="00987EEE"/>
    <w:rsid w:val="00990C5D"/>
    <w:rsid w:val="009928ED"/>
    <w:rsid w:val="0099352F"/>
    <w:rsid w:val="009943CA"/>
    <w:rsid w:val="00995992"/>
    <w:rsid w:val="00996289"/>
    <w:rsid w:val="009969D3"/>
    <w:rsid w:val="009A026A"/>
    <w:rsid w:val="009A03E5"/>
    <w:rsid w:val="009A0F3B"/>
    <w:rsid w:val="009A1B27"/>
    <w:rsid w:val="009A1BB4"/>
    <w:rsid w:val="009A2628"/>
    <w:rsid w:val="009A3200"/>
    <w:rsid w:val="009A377E"/>
    <w:rsid w:val="009A3988"/>
    <w:rsid w:val="009A414B"/>
    <w:rsid w:val="009A539D"/>
    <w:rsid w:val="009A57FA"/>
    <w:rsid w:val="009A7FCC"/>
    <w:rsid w:val="009B0897"/>
    <w:rsid w:val="009B4ACA"/>
    <w:rsid w:val="009B52D8"/>
    <w:rsid w:val="009B631C"/>
    <w:rsid w:val="009B6852"/>
    <w:rsid w:val="009B7BD9"/>
    <w:rsid w:val="009C0054"/>
    <w:rsid w:val="009C0215"/>
    <w:rsid w:val="009C09E6"/>
    <w:rsid w:val="009C1790"/>
    <w:rsid w:val="009C1EDB"/>
    <w:rsid w:val="009C67FA"/>
    <w:rsid w:val="009C7DD5"/>
    <w:rsid w:val="009D026A"/>
    <w:rsid w:val="009D1D2C"/>
    <w:rsid w:val="009D1DDC"/>
    <w:rsid w:val="009D2278"/>
    <w:rsid w:val="009D2420"/>
    <w:rsid w:val="009D3C79"/>
    <w:rsid w:val="009D5A12"/>
    <w:rsid w:val="009D5E7E"/>
    <w:rsid w:val="009D5EB0"/>
    <w:rsid w:val="009E0725"/>
    <w:rsid w:val="009E114A"/>
    <w:rsid w:val="009E227D"/>
    <w:rsid w:val="009E3ECF"/>
    <w:rsid w:val="009E459B"/>
    <w:rsid w:val="009E5019"/>
    <w:rsid w:val="009E68E7"/>
    <w:rsid w:val="009E7A6C"/>
    <w:rsid w:val="009F0BE2"/>
    <w:rsid w:val="009F1536"/>
    <w:rsid w:val="009F1643"/>
    <w:rsid w:val="009F3613"/>
    <w:rsid w:val="009F584D"/>
    <w:rsid w:val="009F6CC4"/>
    <w:rsid w:val="00A00B7D"/>
    <w:rsid w:val="00A00C1A"/>
    <w:rsid w:val="00A01555"/>
    <w:rsid w:val="00A02DD1"/>
    <w:rsid w:val="00A03D46"/>
    <w:rsid w:val="00A04262"/>
    <w:rsid w:val="00A04AAA"/>
    <w:rsid w:val="00A04F1B"/>
    <w:rsid w:val="00A0501B"/>
    <w:rsid w:val="00A056B7"/>
    <w:rsid w:val="00A05799"/>
    <w:rsid w:val="00A059F9"/>
    <w:rsid w:val="00A05E72"/>
    <w:rsid w:val="00A0648A"/>
    <w:rsid w:val="00A0680F"/>
    <w:rsid w:val="00A104D2"/>
    <w:rsid w:val="00A107DB"/>
    <w:rsid w:val="00A129F8"/>
    <w:rsid w:val="00A12EC8"/>
    <w:rsid w:val="00A13E91"/>
    <w:rsid w:val="00A13FD1"/>
    <w:rsid w:val="00A14234"/>
    <w:rsid w:val="00A148E4"/>
    <w:rsid w:val="00A14947"/>
    <w:rsid w:val="00A14BDA"/>
    <w:rsid w:val="00A15023"/>
    <w:rsid w:val="00A15FB1"/>
    <w:rsid w:val="00A1751B"/>
    <w:rsid w:val="00A20450"/>
    <w:rsid w:val="00A23017"/>
    <w:rsid w:val="00A23CA0"/>
    <w:rsid w:val="00A2528B"/>
    <w:rsid w:val="00A25D8E"/>
    <w:rsid w:val="00A27720"/>
    <w:rsid w:val="00A32A83"/>
    <w:rsid w:val="00A34309"/>
    <w:rsid w:val="00A344C3"/>
    <w:rsid w:val="00A34516"/>
    <w:rsid w:val="00A3455B"/>
    <w:rsid w:val="00A35290"/>
    <w:rsid w:val="00A35353"/>
    <w:rsid w:val="00A358A7"/>
    <w:rsid w:val="00A35DDF"/>
    <w:rsid w:val="00A368DB"/>
    <w:rsid w:val="00A36CF4"/>
    <w:rsid w:val="00A374A1"/>
    <w:rsid w:val="00A40B19"/>
    <w:rsid w:val="00A40BB0"/>
    <w:rsid w:val="00A41098"/>
    <w:rsid w:val="00A410EE"/>
    <w:rsid w:val="00A423AA"/>
    <w:rsid w:val="00A42B39"/>
    <w:rsid w:val="00A4357C"/>
    <w:rsid w:val="00A4400A"/>
    <w:rsid w:val="00A45BE6"/>
    <w:rsid w:val="00A45EAC"/>
    <w:rsid w:val="00A45F62"/>
    <w:rsid w:val="00A4659C"/>
    <w:rsid w:val="00A47D1E"/>
    <w:rsid w:val="00A52CA5"/>
    <w:rsid w:val="00A53EC6"/>
    <w:rsid w:val="00A54EA0"/>
    <w:rsid w:val="00A54EEC"/>
    <w:rsid w:val="00A55C0F"/>
    <w:rsid w:val="00A562F6"/>
    <w:rsid w:val="00A56462"/>
    <w:rsid w:val="00A570AA"/>
    <w:rsid w:val="00A604CE"/>
    <w:rsid w:val="00A6233C"/>
    <w:rsid w:val="00A629CE"/>
    <w:rsid w:val="00A63B4E"/>
    <w:rsid w:val="00A63F18"/>
    <w:rsid w:val="00A64153"/>
    <w:rsid w:val="00A66013"/>
    <w:rsid w:val="00A66CB9"/>
    <w:rsid w:val="00A6758F"/>
    <w:rsid w:val="00A6797E"/>
    <w:rsid w:val="00A705DF"/>
    <w:rsid w:val="00A70AC3"/>
    <w:rsid w:val="00A713D8"/>
    <w:rsid w:val="00A714CE"/>
    <w:rsid w:val="00A7157B"/>
    <w:rsid w:val="00A71D10"/>
    <w:rsid w:val="00A72DF8"/>
    <w:rsid w:val="00A7339E"/>
    <w:rsid w:val="00A737FD"/>
    <w:rsid w:val="00A74121"/>
    <w:rsid w:val="00A75C93"/>
    <w:rsid w:val="00A76B4D"/>
    <w:rsid w:val="00A80979"/>
    <w:rsid w:val="00A80B80"/>
    <w:rsid w:val="00A81484"/>
    <w:rsid w:val="00A81A73"/>
    <w:rsid w:val="00A81E13"/>
    <w:rsid w:val="00A83A6B"/>
    <w:rsid w:val="00A8587F"/>
    <w:rsid w:val="00A8713F"/>
    <w:rsid w:val="00A871B9"/>
    <w:rsid w:val="00A87340"/>
    <w:rsid w:val="00A8789E"/>
    <w:rsid w:val="00A879F7"/>
    <w:rsid w:val="00A90AA3"/>
    <w:rsid w:val="00A90BA1"/>
    <w:rsid w:val="00A917F3"/>
    <w:rsid w:val="00A92AED"/>
    <w:rsid w:val="00A9683C"/>
    <w:rsid w:val="00A97589"/>
    <w:rsid w:val="00A9780F"/>
    <w:rsid w:val="00A97A9A"/>
    <w:rsid w:val="00AA0494"/>
    <w:rsid w:val="00AA0671"/>
    <w:rsid w:val="00AA2531"/>
    <w:rsid w:val="00AA2C60"/>
    <w:rsid w:val="00AA3BAA"/>
    <w:rsid w:val="00AA3F7F"/>
    <w:rsid w:val="00AA4437"/>
    <w:rsid w:val="00AA4483"/>
    <w:rsid w:val="00AA6860"/>
    <w:rsid w:val="00AB02C3"/>
    <w:rsid w:val="00AB1E09"/>
    <w:rsid w:val="00AB21A2"/>
    <w:rsid w:val="00AB2F05"/>
    <w:rsid w:val="00AB5330"/>
    <w:rsid w:val="00AB6A21"/>
    <w:rsid w:val="00AB74AE"/>
    <w:rsid w:val="00AB7747"/>
    <w:rsid w:val="00AC01DE"/>
    <w:rsid w:val="00AC02F3"/>
    <w:rsid w:val="00AC1019"/>
    <w:rsid w:val="00AC124A"/>
    <w:rsid w:val="00AC14CE"/>
    <w:rsid w:val="00AC1CEA"/>
    <w:rsid w:val="00AC2801"/>
    <w:rsid w:val="00AC2A56"/>
    <w:rsid w:val="00AC4D88"/>
    <w:rsid w:val="00AC4F7D"/>
    <w:rsid w:val="00AC6F9D"/>
    <w:rsid w:val="00AC7C8D"/>
    <w:rsid w:val="00AC7E98"/>
    <w:rsid w:val="00AC7FA3"/>
    <w:rsid w:val="00AD02C9"/>
    <w:rsid w:val="00AD055E"/>
    <w:rsid w:val="00AD07F8"/>
    <w:rsid w:val="00AD3A2E"/>
    <w:rsid w:val="00AD40F5"/>
    <w:rsid w:val="00AD47A7"/>
    <w:rsid w:val="00AD4D7D"/>
    <w:rsid w:val="00AD53FC"/>
    <w:rsid w:val="00AD6A75"/>
    <w:rsid w:val="00AD75E9"/>
    <w:rsid w:val="00AE01EC"/>
    <w:rsid w:val="00AE09BC"/>
    <w:rsid w:val="00AE125B"/>
    <w:rsid w:val="00AE369F"/>
    <w:rsid w:val="00AE405C"/>
    <w:rsid w:val="00AE4154"/>
    <w:rsid w:val="00AE5C5E"/>
    <w:rsid w:val="00AE5DBB"/>
    <w:rsid w:val="00AE6DDC"/>
    <w:rsid w:val="00AE6EB4"/>
    <w:rsid w:val="00AE793E"/>
    <w:rsid w:val="00AE7CDD"/>
    <w:rsid w:val="00AF0CBF"/>
    <w:rsid w:val="00AF257F"/>
    <w:rsid w:val="00AF33CF"/>
    <w:rsid w:val="00AF391E"/>
    <w:rsid w:val="00AF3C93"/>
    <w:rsid w:val="00AF4D50"/>
    <w:rsid w:val="00AF52CE"/>
    <w:rsid w:val="00AF6179"/>
    <w:rsid w:val="00AF6DF2"/>
    <w:rsid w:val="00AF783E"/>
    <w:rsid w:val="00B029BD"/>
    <w:rsid w:val="00B03128"/>
    <w:rsid w:val="00B035A1"/>
    <w:rsid w:val="00B04325"/>
    <w:rsid w:val="00B046D4"/>
    <w:rsid w:val="00B0516F"/>
    <w:rsid w:val="00B0683F"/>
    <w:rsid w:val="00B068F5"/>
    <w:rsid w:val="00B06A58"/>
    <w:rsid w:val="00B06ACB"/>
    <w:rsid w:val="00B0739E"/>
    <w:rsid w:val="00B07689"/>
    <w:rsid w:val="00B07A70"/>
    <w:rsid w:val="00B07AAA"/>
    <w:rsid w:val="00B07E04"/>
    <w:rsid w:val="00B07EEE"/>
    <w:rsid w:val="00B10834"/>
    <w:rsid w:val="00B11799"/>
    <w:rsid w:val="00B12503"/>
    <w:rsid w:val="00B1295A"/>
    <w:rsid w:val="00B13592"/>
    <w:rsid w:val="00B1360C"/>
    <w:rsid w:val="00B13D6E"/>
    <w:rsid w:val="00B1468B"/>
    <w:rsid w:val="00B15A18"/>
    <w:rsid w:val="00B16C1D"/>
    <w:rsid w:val="00B17D79"/>
    <w:rsid w:val="00B17FF8"/>
    <w:rsid w:val="00B20A45"/>
    <w:rsid w:val="00B220AE"/>
    <w:rsid w:val="00B225BC"/>
    <w:rsid w:val="00B22C5C"/>
    <w:rsid w:val="00B24F30"/>
    <w:rsid w:val="00B26577"/>
    <w:rsid w:val="00B30478"/>
    <w:rsid w:val="00B31ABF"/>
    <w:rsid w:val="00B3383E"/>
    <w:rsid w:val="00B339D3"/>
    <w:rsid w:val="00B33BE3"/>
    <w:rsid w:val="00B34E7C"/>
    <w:rsid w:val="00B36477"/>
    <w:rsid w:val="00B364EB"/>
    <w:rsid w:val="00B40129"/>
    <w:rsid w:val="00B4257A"/>
    <w:rsid w:val="00B43D80"/>
    <w:rsid w:val="00B43E3B"/>
    <w:rsid w:val="00B446E8"/>
    <w:rsid w:val="00B45024"/>
    <w:rsid w:val="00B45514"/>
    <w:rsid w:val="00B466DF"/>
    <w:rsid w:val="00B469F0"/>
    <w:rsid w:val="00B46FED"/>
    <w:rsid w:val="00B52808"/>
    <w:rsid w:val="00B52E9F"/>
    <w:rsid w:val="00B5307C"/>
    <w:rsid w:val="00B53B5D"/>
    <w:rsid w:val="00B53CB7"/>
    <w:rsid w:val="00B562ED"/>
    <w:rsid w:val="00B56574"/>
    <w:rsid w:val="00B56AA1"/>
    <w:rsid w:val="00B6055E"/>
    <w:rsid w:val="00B60D75"/>
    <w:rsid w:val="00B62C07"/>
    <w:rsid w:val="00B6317D"/>
    <w:rsid w:val="00B66903"/>
    <w:rsid w:val="00B7076D"/>
    <w:rsid w:val="00B71450"/>
    <w:rsid w:val="00B716FF"/>
    <w:rsid w:val="00B71E3A"/>
    <w:rsid w:val="00B72C61"/>
    <w:rsid w:val="00B73270"/>
    <w:rsid w:val="00B73685"/>
    <w:rsid w:val="00B75129"/>
    <w:rsid w:val="00B7723F"/>
    <w:rsid w:val="00B80534"/>
    <w:rsid w:val="00B80C00"/>
    <w:rsid w:val="00B80EFF"/>
    <w:rsid w:val="00B8221F"/>
    <w:rsid w:val="00B82874"/>
    <w:rsid w:val="00B834C4"/>
    <w:rsid w:val="00B8433C"/>
    <w:rsid w:val="00B84F47"/>
    <w:rsid w:val="00B860E8"/>
    <w:rsid w:val="00B86C97"/>
    <w:rsid w:val="00B87491"/>
    <w:rsid w:val="00B90103"/>
    <w:rsid w:val="00B90470"/>
    <w:rsid w:val="00B9352C"/>
    <w:rsid w:val="00B93779"/>
    <w:rsid w:val="00B94ABF"/>
    <w:rsid w:val="00B95A89"/>
    <w:rsid w:val="00BA0AA0"/>
    <w:rsid w:val="00BA159B"/>
    <w:rsid w:val="00BA26BB"/>
    <w:rsid w:val="00BA28C9"/>
    <w:rsid w:val="00BA29E9"/>
    <w:rsid w:val="00BA2E7D"/>
    <w:rsid w:val="00BA34BA"/>
    <w:rsid w:val="00BA39F3"/>
    <w:rsid w:val="00BA485B"/>
    <w:rsid w:val="00BA5FE0"/>
    <w:rsid w:val="00BA7142"/>
    <w:rsid w:val="00BB237C"/>
    <w:rsid w:val="00BB26B1"/>
    <w:rsid w:val="00BB41A3"/>
    <w:rsid w:val="00BB4744"/>
    <w:rsid w:val="00BB4952"/>
    <w:rsid w:val="00BB608C"/>
    <w:rsid w:val="00BC0CEF"/>
    <w:rsid w:val="00BC0D30"/>
    <w:rsid w:val="00BC1495"/>
    <w:rsid w:val="00BC32DC"/>
    <w:rsid w:val="00BC35B6"/>
    <w:rsid w:val="00BC6796"/>
    <w:rsid w:val="00BC6A20"/>
    <w:rsid w:val="00BC7223"/>
    <w:rsid w:val="00BC7264"/>
    <w:rsid w:val="00BD1587"/>
    <w:rsid w:val="00BD1B51"/>
    <w:rsid w:val="00BD4596"/>
    <w:rsid w:val="00BD587C"/>
    <w:rsid w:val="00BD63F3"/>
    <w:rsid w:val="00BD67B1"/>
    <w:rsid w:val="00BD798E"/>
    <w:rsid w:val="00BD7AC6"/>
    <w:rsid w:val="00BD7C6E"/>
    <w:rsid w:val="00BE1405"/>
    <w:rsid w:val="00BE177F"/>
    <w:rsid w:val="00BE312D"/>
    <w:rsid w:val="00BE6974"/>
    <w:rsid w:val="00BF06F1"/>
    <w:rsid w:val="00BF163D"/>
    <w:rsid w:val="00BF1C20"/>
    <w:rsid w:val="00BF2982"/>
    <w:rsid w:val="00BF6E46"/>
    <w:rsid w:val="00BF7488"/>
    <w:rsid w:val="00BF7C11"/>
    <w:rsid w:val="00C012E4"/>
    <w:rsid w:val="00C019A4"/>
    <w:rsid w:val="00C02A24"/>
    <w:rsid w:val="00C042DD"/>
    <w:rsid w:val="00C055BC"/>
    <w:rsid w:val="00C07163"/>
    <w:rsid w:val="00C077D3"/>
    <w:rsid w:val="00C10578"/>
    <w:rsid w:val="00C13201"/>
    <w:rsid w:val="00C135BC"/>
    <w:rsid w:val="00C15C95"/>
    <w:rsid w:val="00C16931"/>
    <w:rsid w:val="00C16D1D"/>
    <w:rsid w:val="00C17521"/>
    <w:rsid w:val="00C179CA"/>
    <w:rsid w:val="00C21234"/>
    <w:rsid w:val="00C215F1"/>
    <w:rsid w:val="00C22016"/>
    <w:rsid w:val="00C223F1"/>
    <w:rsid w:val="00C227E4"/>
    <w:rsid w:val="00C23193"/>
    <w:rsid w:val="00C233FC"/>
    <w:rsid w:val="00C238AD"/>
    <w:rsid w:val="00C23BE0"/>
    <w:rsid w:val="00C23C79"/>
    <w:rsid w:val="00C23ECA"/>
    <w:rsid w:val="00C24E9F"/>
    <w:rsid w:val="00C2596A"/>
    <w:rsid w:val="00C2613B"/>
    <w:rsid w:val="00C26E07"/>
    <w:rsid w:val="00C27537"/>
    <w:rsid w:val="00C27B3A"/>
    <w:rsid w:val="00C27E77"/>
    <w:rsid w:val="00C31E52"/>
    <w:rsid w:val="00C326B7"/>
    <w:rsid w:val="00C328FE"/>
    <w:rsid w:val="00C3290F"/>
    <w:rsid w:val="00C32B63"/>
    <w:rsid w:val="00C33507"/>
    <w:rsid w:val="00C33800"/>
    <w:rsid w:val="00C33E92"/>
    <w:rsid w:val="00C34170"/>
    <w:rsid w:val="00C34DC9"/>
    <w:rsid w:val="00C35059"/>
    <w:rsid w:val="00C35FBD"/>
    <w:rsid w:val="00C36B5A"/>
    <w:rsid w:val="00C36BE6"/>
    <w:rsid w:val="00C37844"/>
    <w:rsid w:val="00C401F5"/>
    <w:rsid w:val="00C4409D"/>
    <w:rsid w:val="00C44E72"/>
    <w:rsid w:val="00C4509A"/>
    <w:rsid w:val="00C459BA"/>
    <w:rsid w:val="00C45A06"/>
    <w:rsid w:val="00C45B18"/>
    <w:rsid w:val="00C472F3"/>
    <w:rsid w:val="00C47E5B"/>
    <w:rsid w:val="00C47EB8"/>
    <w:rsid w:val="00C50507"/>
    <w:rsid w:val="00C51A53"/>
    <w:rsid w:val="00C52083"/>
    <w:rsid w:val="00C53A4E"/>
    <w:rsid w:val="00C54563"/>
    <w:rsid w:val="00C55530"/>
    <w:rsid w:val="00C61D8E"/>
    <w:rsid w:val="00C61E4B"/>
    <w:rsid w:val="00C623ED"/>
    <w:rsid w:val="00C62AD5"/>
    <w:rsid w:val="00C62B36"/>
    <w:rsid w:val="00C64BFF"/>
    <w:rsid w:val="00C670E8"/>
    <w:rsid w:val="00C67BA6"/>
    <w:rsid w:val="00C704E9"/>
    <w:rsid w:val="00C74DBC"/>
    <w:rsid w:val="00C763C9"/>
    <w:rsid w:val="00C766A9"/>
    <w:rsid w:val="00C76BE8"/>
    <w:rsid w:val="00C77EA6"/>
    <w:rsid w:val="00C80057"/>
    <w:rsid w:val="00C820F5"/>
    <w:rsid w:val="00C82232"/>
    <w:rsid w:val="00C82913"/>
    <w:rsid w:val="00C848AE"/>
    <w:rsid w:val="00C85C55"/>
    <w:rsid w:val="00C86163"/>
    <w:rsid w:val="00C87B2B"/>
    <w:rsid w:val="00C87D41"/>
    <w:rsid w:val="00C91C70"/>
    <w:rsid w:val="00C91D6C"/>
    <w:rsid w:val="00C92744"/>
    <w:rsid w:val="00C92BEA"/>
    <w:rsid w:val="00C937E6"/>
    <w:rsid w:val="00C9520B"/>
    <w:rsid w:val="00C972B1"/>
    <w:rsid w:val="00CA0A58"/>
    <w:rsid w:val="00CA10A2"/>
    <w:rsid w:val="00CA1105"/>
    <w:rsid w:val="00CA1875"/>
    <w:rsid w:val="00CA19C7"/>
    <w:rsid w:val="00CA1F2C"/>
    <w:rsid w:val="00CA22C7"/>
    <w:rsid w:val="00CA2CCE"/>
    <w:rsid w:val="00CA43FD"/>
    <w:rsid w:val="00CA56A6"/>
    <w:rsid w:val="00CA5BA5"/>
    <w:rsid w:val="00CA7EF8"/>
    <w:rsid w:val="00CB0BE4"/>
    <w:rsid w:val="00CB0CE0"/>
    <w:rsid w:val="00CB149E"/>
    <w:rsid w:val="00CB22B0"/>
    <w:rsid w:val="00CB3A6B"/>
    <w:rsid w:val="00CB64A2"/>
    <w:rsid w:val="00CB64E7"/>
    <w:rsid w:val="00CB6584"/>
    <w:rsid w:val="00CB67C1"/>
    <w:rsid w:val="00CC059D"/>
    <w:rsid w:val="00CC1248"/>
    <w:rsid w:val="00CC2DF8"/>
    <w:rsid w:val="00CC489B"/>
    <w:rsid w:val="00CC49B8"/>
    <w:rsid w:val="00CC4A93"/>
    <w:rsid w:val="00CC50BA"/>
    <w:rsid w:val="00CC7613"/>
    <w:rsid w:val="00CD0172"/>
    <w:rsid w:val="00CD06C8"/>
    <w:rsid w:val="00CD1956"/>
    <w:rsid w:val="00CD229A"/>
    <w:rsid w:val="00CD2BCD"/>
    <w:rsid w:val="00CD2FEB"/>
    <w:rsid w:val="00CD3478"/>
    <w:rsid w:val="00CD38E9"/>
    <w:rsid w:val="00CD3A4C"/>
    <w:rsid w:val="00CD4D99"/>
    <w:rsid w:val="00CD4E4D"/>
    <w:rsid w:val="00CD4F73"/>
    <w:rsid w:val="00CD4FF4"/>
    <w:rsid w:val="00CD5681"/>
    <w:rsid w:val="00CD5A28"/>
    <w:rsid w:val="00CD6884"/>
    <w:rsid w:val="00CD74D3"/>
    <w:rsid w:val="00CD753E"/>
    <w:rsid w:val="00CE0E2F"/>
    <w:rsid w:val="00CE10E9"/>
    <w:rsid w:val="00CE1692"/>
    <w:rsid w:val="00CE23BB"/>
    <w:rsid w:val="00CE2515"/>
    <w:rsid w:val="00CE2910"/>
    <w:rsid w:val="00CE468D"/>
    <w:rsid w:val="00CE5393"/>
    <w:rsid w:val="00CE5727"/>
    <w:rsid w:val="00CF0C08"/>
    <w:rsid w:val="00CF0F0E"/>
    <w:rsid w:val="00CF19DA"/>
    <w:rsid w:val="00CF208B"/>
    <w:rsid w:val="00CF268B"/>
    <w:rsid w:val="00CF27A8"/>
    <w:rsid w:val="00CF36BE"/>
    <w:rsid w:val="00CF3A4A"/>
    <w:rsid w:val="00CF3E14"/>
    <w:rsid w:val="00CF5784"/>
    <w:rsid w:val="00CF6000"/>
    <w:rsid w:val="00D003F3"/>
    <w:rsid w:val="00D007B8"/>
    <w:rsid w:val="00D0364F"/>
    <w:rsid w:val="00D03EC4"/>
    <w:rsid w:val="00D0597B"/>
    <w:rsid w:val="00D06318"/>
    <w:rsid w:val="00D06834"/>
    <w:rsid w:val="00D06C3E"/>
    <w:rsid w:val="00D10E2D"/>
    <w:rsid w:val="00D11EF6"/>
    <w:rsid w:val="00D13590"/>
    <w:rsid w:val="00D13A48"/>
    <w:rsid w:val="00D163ED"/>
    <w:rsid w:val="00D17947"/>
    <w:rsid w:val="00D17C6A"/>
    <w:rsid w:val="00D20CA2"/>
    <w:rsid w:val="00D21DDF"/>
    <w:rsid w:val="00D21E83"/>
    <w:rsid w:val="00D223E7"/>
    <w:rsid w:val="00D23416"/>
    <w:rsid w:val="00D23D09"/>
    <w:rsid w:val="00D27349"/>
    <w:rsid w:val="00D27ECD"/>
    <w:rsid w:val="00D308ED"/>
    <w:rsid w:val="00D3172C"/>
    <w:rsid w:val="00D32C43"/>
    <w:rsid w:val="00D332B1"/>
    <w:rsid w:val="00D339A4"/>
    <w:rsid w:val="00D356C1"/>
    <w:rsid w:val="00D363EA"/>
    <w:rsid w:val="00D36822"/>
    <w:rsid w:val="00D36A6F"/>
    <w:rsid w:val="00D36D86"/>
    <w:rsid w:val="00D3779D"/>
    <w:rsid w:val="00D41BB7"/>
    <w:rsid w:val="00D42090"/>
    <w:rsid w:val="00D428AA"/>
    <w:rsid w:val="00D4335C"/>
    <w:rsid w:val="00D4658E"/>
    <w:rsid w:val="00D468B1"/>
    <w:rsid w:val="00D4698A"/>
    <w:rsid w:val="00D501DB"/>
    <w:rsid w:val="00D50A34"/>
    <w:rsid w:val="00D50D8D"/>
    <w:rsid w:val="00D51B24"/>
    <w:rsid w:val="00D51B87"/>
    <w:rsid w:val="00D5202A"/>
    <w:rsid w:val="00D52F71"/>
    <w:rsid w:val="00D53D50"/>
    <w:rsid w:val="00D53EFA"/>
    <w:rsid w:val="00D572E2"/>
    <w:rsid w:val="00D57441"/>
    <w:rsid w:val="00D604B9"/>
    <w:rsid w:val="00D61343"/>
    <w:rsid w:val="00D61378"/>
    <w:rsid w:val="00D62CEB"/>
    <w:rsid w:val="00D6401E"/>
    <w:rsid w:val="00D65537"/>
    <w:rsid w:val="00D66CA4"/>
    <w:rsid w:val="00D67CAA"/>
    <w:rsid w:val="00D707EF"/>
    <w:rsid w:val="00D70981"/>
    <w:rsid w:val="00D72662"/>
    <w:rsid w:val="00D7408A"/>
    <w:rsid w:val="00D74EAC"/>
    <w:rsid w:val="00D83346"/>
    <w:rsid w:val="00D850A9"/>
    <w:rsid w:val="00D85645"/>
    <w:rsid w:val="00D861A6"/>
    <w:rsid w:val="00D87055"/>
    <w:rsid w:val="00D87179"/>
    <w:rsid w:val="00D87AD7"/>
    <w:rsid w:val="00D902EE"/>
    <w:rsid w:val="00D92128"/>
    <w:rsid w:val="00D92817"/>
    <w:rsid w:val="00D92864"/>
    <w:rsid w:val="00D93BBA"/>
    <w:rsid w:val="00D93DD0"/>
    <w:rsid w:val="00D942CC"/>
    <w:rsid w:val="00D94A7C"/>
    <w:rsid w:val="00D95896"/>
    <w:rsid w:val="00D96B98"/>
    <w:rsid w:val="00D97116"/>
    <w:rsid w:val="00DA2673"/>
    <w:rsid w:val="00DA2E18"/>
    <w:rsid w:val="00DA489D"/>
    <w:rsid w:val="00DA5467"/>
    <w:rsid w:val="00DA7192"/>
    <w:rsid w:val="00DA769E"/>
    <w:rsid w:val="00DA7B91"/>
    <w:rsid w:val="00DA7E94"/>
    <w:rsid w:val="00DB2038"/>
    <w:rsid w:val="00DB21AD"/>
    <w:rsid w:val="00DB2983"/>
    <w:rsid w:val="00DB3A93"/>
    <w:rsid w:val="00DB5ABD"/>
    <w:rsid w:val="00DB7076"/>
    <w:rsid w:val="00DC035C"/>
    <w:rsid w:val="00DC09DE"/>
    <w:rsid w:val="00DC1257"/>
    <w:rsid w:val="00DC15F1"/>
    <w:rsid w:val="00DC1FDD"/>
    <w:rsid w:val="00DC30FA"/>
    <w:rsid w:val="00DC3DC0"/>
    <w:rsid w:val="00DC3F50"/>
    <w:rsid w:val="00DC41FF"/>
    <w:rsid w:val="00DC4867"/>
    <w:rsid w:val="00DC4BAF"/>
    <w:rsid w:val="00DC5B2B"/>
    <w:rsid w:val="00DC5E48"/>
    <w:rsid w:val="00DC71FB"/>
    <w:rsid w:val="00DC752C"/>
    <w:rsid w:val="00DC7E0D"/>
    <w:rsid w:val="00DD0A38"/>
    <w:rsid w:val="00DD2448"/>
    <w:rsid w:val="00DD318D"/>
    <w:rsid w:val="00DD3E86"/>
    <w:rsid w:val="00DD46A3"/>
    <w:rsid w:val="00DD53C3"/>
    <w:rsid w:val="00DE0DF8"/>
    <w:rsid w:val="00DE1F67"/>
    <w:rsid w:val="00DE68A9"/>
    <w:rsid w:val="00DE7538"/>
    <w:rsid w:val="00DE7643"/>
    <w:rsid w:val="00DE791B"/>
    <w:rsid w:val="00DE7A24"/>
    <w:rsid w:val="00DF0B29"/>
    <w:rsid w:val="00DF0DE8"/>
    <w:rsid w:val="00DF0F97"/>
    <w:rsid w:val="00DF168F"/>
    <w:rsid w:val="00DF1B7E"/>
    <w:rsid w:val="00DF2E12"/>
    <w:rsid w:val="00DF514A"/>
    <w:rsid w:val="00DF54AE"/>
    <w:rsid w:val="00DF58D6"/>
    <w:rsid w:val="00DF5BBB"/>
    <w:rsid w:val="00DF6690"/>
    <w:rsid w:val="00DF672E"/>
    <w:rsid w:val="00DF6804"/>
    <w:rsid w:val="00DF6BF0"/>
    <w:rsid w:val="00DF7F22"/>
    <w:rsid w:val="00E00B90"/>
    <w:rsid w:val="00E0280D"/>
    <w:rsid w:val="00E02C06"/>
    <w:rsid w:val="00E0358D"/>
    <w:rsid w:val="00E039EE"/>
    <w:rsid w:val="00E039FF"/>
    <w:rsid w:val="00E03EA1"/>
    <w:rsid w:val="00E0422B"/>
    <w:rsid w:val="00E04323"/>
    <w:rsid w:val="00E070A2"/>
    <w:rsid w:val="00E07CE8"/>
    <w:rsid w:val="00E1169F"/>
    <w:rsid w:val="00E1370E"/>
    <w:rsid w:val="00E1415A"/>
    <w:rsid w:val="00E14A1B"/>
    <w:rsid w:val="00E15D09"/>
    <w:rsid w:val="00E17D6C"/>
    <w:rsid w:val="00E20967"/>
    <w:rsid w:val="00E20EBE"/>
    <w:rsid w:val="00E213F1"/>
    <w:rsid w:val="00E2208C"/>
    <w:rsid w:val="00E23018"/>
    <w:rsid w:val="00E233D5"/>
    <w:rsid w:val="00E24F28"/>
    <w:rsid w:val="00E26131"/>
    <w:rsid w:val="00E2656A"/>
    <w:rsid w:val="00E26AE3"/>
    <w:rsid w:val="00E3125C"/>
    <w:rsid w:val="00E31AF5"/>
    <w:rsid w:val="00E32193"/>
    <w:rsid w:val="00E327AA"/>
    <w:rsid w:val="00E32F6B"/>
    <w:rsid w:val="00E3550B"/>
    <w:rsid w:val="00E35C5F"/>
    <w:rsid w:val="00E35C8F"/>
    <w:rsid w:val="00E37008"/>
    <w:rsid w:val="00E40034"/>
    <w:rsid w:val="00E40930"/>
    <w:rsid w:val="00E412D0"/>
    <w:rsid w:val="00E44FA1"/>
    <w:rsid w:val="00E4524E"/>
    <w:rsid w:val="00E4535F"/>
    <w:rsid w:val="00E46B59"/>
    <w:rsid w:val="00E47532"/>
    <w:rsid w:val="00E5143D"/>
    <w:rsid w:val="00E51506"/>
    <w:rsid w:val="00E516BD"/>
    <w:rsid w:val="00E52127"/>
    <w:rsid w:val="00E52DA3"/>
    <w:rsid w:val="00E55CF3"/>
    <w:rsid w:val="00E56322"/>
    <w:rsid w:val="00E60870"/>
    <w:rsid w:val="00E60982"/>
    <w:rsid w:val="00E612B3"/>
    <w:rsid w:val="00E61872"/>
    <w:rsid w:val="00E61E55"/>
    <w:rsid w:val="00E61F58"/>
    <w:rsid w:val="00E62817"/>
    <w:rsid w:val="00E62C62"/>
    <w:rsid w:val="00E62E3D"/>
    <w:rsid w:val="00E654C1"/>
    <w:rsid w:val="00E65D97"/>
    <w:rsid w:val="00E66BAC"/>
    <w:rsid w:val="00E700FF"/>
    <w:rsid w:val="00E7109F"/>
    <w:rsid w:val="00E72A5A"/>
    <w:rsid w:val="00E73354"/>
    <w:rsid w:val="00E73C0C"/>
    <w:rsid w:val="00E74F17"/>
    <w:rsid w:val="00E755CE"/>
    <w:rsid w:val="00E75C86"/>
    <w:rsid w:val="00E76518"/>
    <w:rsid w:val="00E81AB2"/>
    <w:rsid w:val="00E81BB8"/>
    <w:rsid w:val="00E81EA7"/>
    <w:rsid w:val="00E82D7E"/>
    <w:rsid w:val="00E83512"/>
    <w:rsid w:val="00E8402F"/>
    <w:rsid w:val="00E90957"/>
    <w:rsid w:val="00E918FD"/>
    <w:rsid w:val="00E9242D"/>
    <w:rsid w:val="00E92E11"/>
    <w:rsid w:val="00E9320D"/>
    <w:rsid w:val="00E942E8"/>
    <w:rsid w:val="00E94D4A"/>
    <w:rsid w:val="00E954CF"/>
    <w:rsid w:val="00E95AC5"/>
    <w:rsid w:val="00E95F6F"/>
    <w:rsid w:val="00E969A3"/>
    <w:rsid w:val="00EA0745"/>
    <w:rsid w:val="00EA1C60"/>
    <w:rsid w:val="00EA1D36"/>
    <w:rsid w:val="00EA23DB"/>
    <w:rsid w:val="00EA2EA0"/>
    <w:rsid w:val="00EA309D"/>
    <w:rsid w:val="00EA3B83"/>
    <w:rsid w:val="00EA5051"/>
    <w:rsid w:val="00EA63F5"/>
    <w:rsid w:val="00EB014A"/>
    <w:rsid w:val="00EB0C9F"/>
    <w:rsid w:val="00EB0F52"/>
    <w:rsid w:val="00EB14E4"/>
    <w:rsid w:val="00EB1D64"/>
    <w:rsid w:val="00EB32C3"/>
    <w:rsid w:val="00EB3694"/>
    <w:rsid w:val="00EB373B"/>
    <w:rsid w:val="00EB5255"/>
    <w:rsid w:val="00EB5C47"/>
    <w:rsid w:val="00EB5CCB"/>
    <w:rsid w:val="00EB5E34"/>
    <w:rsid w:val="00EB6212"/>
    <w:rsid w:val="00EB75A7"/>
    <w:rsid w:val="00EB782C"/>
    <w:rsid w:val="00EC0C1A"/>
    <w:rsid w:val="00EC1965"/>
    <w:rsid w:val="00EC2164"/>
    <w:rsid w:val="00EC35DF"/>
    <w:rsid w:val="00EC4885"/>
    <w:rsid w:val="00EC48D1"/>
    <w:rsid w:val="00EC761D"/>
    <w:rsid w:val="00ED0639"/>
    <w:rsid w:val="00ED10B9"/>
    <w:rsid w:val="00ED1A99"/>
    <w:rsid w:val="00ED2164"/>
    <w:rsid w:val="00ED2C66"/>
    <w:rsid w:val="00ED3BD3"/>
    <w:rsid w:val="00ED4146"/>
    <w:rsid w:val="00ED660C"/>
    <w:rsid w:val="00ED731F"/>
    <w:rsid w:val="00EE02A0"/>
    <w:rsid w:val="00EE0540"/>
    <w:rsid w:val="00EE25DA"/>
    <w:rsid w:val="00EE2AFB"/>
    <w:rsid w:val="00EE3B2C"/>
    <w:rsid w:val="00EE7D1E"/>
    <w:rsid w:val="00EF016D"/>
    <w:rsid w:val="00EF150E"/>
    <w:rsid w:val="00EF1E01"/>
    <w:rsid w:val="00EF39FC"/>
    <w:rsid w:val="00EF3E08"/>
    <w:rsid w:val="00EF4755"/>
    <w:rsid w:val="00EF5AC9"/>
    <w:rsid w:val="00EF68B0"/>
    <w:rsid w:val="00EF7135"/>
    <w:rsid w:val="00F00134"/>
    <w:rsid w:val="00F001AA"/>
    <w:rsid w:val="00F020C5"/>
    <w:rsid w:val="00F022F6"/>
    <w:rsid w:val="00F027DB"/>
    <w:rsid w:val="00F02F43"/>
    <w:rsid w:val="00F03D6E"/>
    <w:rsid w:val="00F04E00"/>
    <w:rsid w:val="00F062A2"/>
    <w:rsid w:val="00F121BB"/>
    <w:rsid w:val="00F14A7A"/>
    <w:rsid w:val="00F16045"/>
    <w:rsid w:val="00F1770C"/>
    <w:rsid w:val="00F17DE8"/>
    <w:rsid w:val="00F22985"/>
    <w:rsid w:val="00F2319D"/>
    <w:rsid w:val="00F239D3"/>
    <w:rsid w:val="00F23F45"/>
    <w:rsid w:val="00F2624A"/>
    <w:rsid w:val="00F263B7"/>
    <w:rsid w:val="00F267BD"/>
    <w:rsid w:val="00F268E7"/>
    <w:rsid w:val="00F276AF"/>
    <w:rsid w:val="00F276F3"/>
    <w:rsid w:val="00F30223"/>
    <w:rsid w:val="00F33668"/>
    <w:rsid w:val="00F3383E"/>
    <w:rsid w:val="00F35864"/>
    <w:rsid w:val="00F35B11"/>
    <w:rsid w:val="00F36098"/>
    <w:rsid w:val="00F371A4"/>
    <w:rsid w:val="00F371A7"/>
    <w:rsid w:val="00F372CB"/>
    <w:rsid w:val="00F37970"/>
    <w:rsid w:val="00F40586"/>
    <w:rsid w:val="00F41547"/>
    <w:rsid w:val="00F41B13"/>
    <w:rsid w:val="00F422E4"/>
    <w:rsid w:val="00F42E2B"/>
    <w:rsid w:val="00F465A7"/>
    <w:rsid w:val="00F473A2"/>
    <w:rsid w:val="00F50B7C"/>
    <w:rsid w:val="00F52067"/>
    <w:rsid w:val="00F548BC"/>
    <w:rsid w:val="00F550E6"/>
    <w:rsid w:val="00F5514B"/>
    <w:rsid w:val="00F552CF"/>
    <w:rsid w:val="00F55305"/>
    <w:rsid w:val="00F55FCE"/>
    <w:rsid w:val="00F56058"/>
    <w:rsid w:val="00F57C9E"/>
    <w:rsid w:val="00F60D12"/>
    <w:rsid w:val="00F63A1C"/>
    <w:rsid w:val="00F641BF"/>
    <w:rsid w:val="00F65C83"/>
    <w:rsid w:val="00F66A1E"/>
    <w:rsid w:val="00F67893"/>
    <w:rsid w:val="00F70AAF"/>
    <w:rsid w:val="00F716DB"/>
    <w:rsid w:val="00F73A38"/>
    <w:rsid w:val="00F74345"/>
    <w:rsid w:val="00F75B2E"/>
    <w:rsid w:val="00F76202"/>
    <w:rsid w:val="00F80A0A"/>
    <w:rsid w:val="00F80B4C"/>
    <w:rsid w:val="00F81027"/>
    <w:rsid w:val="00F81381"/>
    <w:rsid w:val="00F81CDF"/>
    <w:rsid w:val="00F820FE"/>
    <w:rsid w:val="00F827E2"/>
    <w:rsid w:val="00F82B19"/>
    <w:rsid w:val="00F830B9"/>
    <w:rsid w:val="00F84BB1"/>
    <w:rsid w:val="00F8559F"/>
    <w:rsid w:val="00F85EE1"/>
    <w:rsid w:val="00F900FF"/>
    <w:rsid w:val="00F91104"/>
    <w:rsid w:val="00F9212D"/>
    <w:rsid w:val="00F93039"/>
    <w:rsid w:val="00F93959"/>
    <w:rsid w:val="00F9573C"/>
    <w:rsid w:val="00F95F2A"/>
    <w:rsid w:val="00F965DA"/>
    <w:rsid w:val="00F967AB"/>
    <w:rsid w:val="00F96C3C"/>
    <w:rsid w:val="00F96D40"/>
    <w:rsid w:val="00F96E10"/>
    <w:rsid w:val="00F97B9C"/>
    <w:rsid w:val="00FA0F97"/>
    <w:rsid w:val="00FA22B5"/>
    <w:rsid w:val="00FA2A1D"/>
    <w:rsid w:val="00FA2A2F"/>
    <w:rsid w:val="00FA3D1C"/>
    <w:rsid w:val="00FA406A"/>
    <w:rsid w:val="00FA4605"/>
    <w:rsid w:val="00FA464F"/>
    <w:rsid w:val="00FA4843"/>
    <w:rsid w:val="00FA4D57"/>
    <w:rsid w:val="00FA5B42"/>
    <w:rsid w:val="00FA5BB4"/>
    <w:rsid w:val="00FA680C"/>
    <w:rsid w:val="00FA6A7F"/>
    <w:rsid w:val="00FA713E"/>
    <w:rsid w:val="00FA7792"/>
    <w:rsid w:val="00FA7817"/>
    <w:rsid w:val="00FA7C96"/>
    <w:rsid w:val="00FB003D"/>
    <w:rsid w:val="00FB2EE0"/>
    <w:rsid w:val="00FB35C4"/>
    <w:rsid w:val="00FB3C35"/>
    <w:rsid w:val="00FB503A"/>
    <w:rsid w:val="00FB516C"/>
    <w:rsid w:val="00FB6244"/>
    <w:rsid w:val="00FC17A0"/>
    <w:rsid w:val="00FC24D2"/>
    <w:rsid w:val="00FC3386"/>
    <w:rsid w:val="00FC356F"/>
    <w:rsid w:val="00FC75E6"/>
    <w:rsid w:val="00FC7D44"/>
    <w:rsid w:val="00FD016D"/>
    <w:rsid w:val="00FD0236"/>
    <w:rsid w:val="00FD18F4"/>
    <w:rsid w:val="00FD54DB"/>
    <w:rsid w:val="00FD619F"/>
    <w:rsid w:val="00FD643A"/>
    <w:rsid w:val="00FD6A53"/>
    <w:rsid w:val="00FE10FA"/>
    <w:rsid w:val="00FE2621"/>
    <w:rsid w:val="00FE37A5"/>
    <w:rsid w:val="00FE425B"/>
    <w:rsid w:val="00FE655F"/>
    <w:rsid w:val="00FF1B54"/>
    <w:rsid w:val="00FF215C"/>
    <w:rsid w:val="00FF2EA2"/>
    <w:rsid w:val="00FF40C7"/>
    <w:rsid w:val="00FF5542"/>
    <w:rsid w:val="00FF560E"/>
    <w:rsid w:val="00FF5825"/>
    <w:rsid w:val="00FF7468"/>
    <w:rsid w:val="01290F7E"/>
    <w:rsid w:val="015D1E09"/>
    <w:rsid w:val="02697903"/>
    <w:rsid w:val="027B6BBB"/>
    <w:rsid w:val="02F96569"/>
    <w:rsid w:val="03EA7B21"/>
    <w:rsid w:val="05F83EAE"/>
    <w:rsid w:val="063E7D85"/>
    <w:rsid w:val="06C256FA"/>
    <w:rsid w:val="07293586"/>
    <w:rsid w:val="07295285"/>
    <w:rsid w:val="07636392"/>
    <w:rsid w:val="07770C56"/>
    <w:rsid w:val="092217DD"/>
    <w:rsid w:val="093A7294"/>
    <w:rsid w:val="0A263993"/>
    <w:rsid w:val="0A2D3AC2"/>
    <w:rsid w:val="0AA755DF"/>
    <w:rsid w:val="0B120D44"/>
    <w:rsid w:val="0BD27BF6"/>
    <w:rsid w:val="0C3B3C7D"/>
    <w:rsid w:val="0CAB2EAE"/>
    <w:rsid w:val="0D2E75D1"/>
    <w:rsid w:val="0D621C7D"/>
    <w:rsid w:val="0DF244EB"/>
    <w:rsid w:val="0E73034D"/>
    <w:rsid w:val="0EF37210"/>
    <w:rsid w:val="0F13775A"/>
    <w:rsid w:val="0F5F45FE"/>
    <w:rsid w:val="0F9A112B"/>
    <w:rsid w:val="106D2F64"/>
    <w:rsid w:val="10B63710"/>
    <w:rsid w:val="10F10820"/>
    <w:rsid w:val="111C2F7A"/>
    <w:rsid w:val="11665CA1"/>
    <w:rsid w:val="13951726"/>
    <w:rsid w:val="13A942E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300DFE"/>
    <w:rsid w:val="1D5F6196"/>
    <w:rsid w:val="1D6132A5"/>
    <w:rsid w:val="1D8E56D5"/>
    <w:rsid w:val="1DC95DA5"/>
    <w:rsid w:val="1E7A43DA"/>
    <w:rsid w:val="1FE7539E"/>
    <w:rsid w:val="20671BE0"/>
    <w:rsid w:val="20963CB8"/>
    <w:rsid w:val="20A81A1B"/>
    <w:rsid w:val="20B07FB6"/>
    <w:rsid w:val="20B646FB"/>
    <w:rsid w:val="213B74B1"/>
    <w:rsid w:val="215A2310"/>
    <w:rsid w:val="21DE318A"/>
    <w:rsid w:val="21EF5B80"/>
    <w:rsid w:val="22576990"/>
    <w:rsid w:val="22C9611D"/>
    <w:rsid w:val="22F47480"/>
    <w:rsid w:val="23D10267"/>
    <w:rsid w:val="23DE1C48"/>
    <w:rsid w:val="240210CD"/>
    <w:rsid w:val="24975A86"/>
    <w:rsid w:val="249A3B21"/>
    <w:rsid w:val="24BF09F7"/>
    <w:rsid w:val="252D53FE"/>
    <w:rsid w:val="25E56976"/>
    <w:rsid w:val="25EC2D81"/>
    <w:rsid w:val="266E07CA"/>
    <w:rsid w:val="26E82D37"/>
    <w:rsid w:val="277057A2"/>
    <w:rsid w:val="29206EB8"/>
    <w:rsid w:val="29595666"/>
    <w:rsid w:val="29874881"/>
    <w:rsid w:val="29C14FFC"/>
    <w:rsid w:val="29E325E0"/>
    <w:rsid w:val="2A452503"/>
    <w:rsid w:val="2AD602CE"/>
    <w:rsid w:val="2BA936A8"/>
    <w:rsid w:val="2BDC5087"/>
    <w:rsid w:val="2C315A5A"/>
    <w:rsid w:val="2C4B1C25"/>
    <w:rsid w:val="2D9E56F5"/>
    <w:rsid w:val="2E667F96"/>
    <w:rsid w:val="2E8226AB"/>
    <w:rsid w:val="2F4101AF"/>
    <w:rsid w:val="2FD065E6"/>
    <w:rsid w:val="2FD96870"/>
    <w:rsid w:val="30580BC9"/>
    <w:rsid w:val="311E2ED7"/>
    <w:rsid w:val="315619EE"/>
    <w:rsid w:val="315C449C"/>
    <w:rsid w:val="31B82709"/>
    <w:rsid w:val="31D05482"/>
    <w:rsid w:val="32400B34"/>
    <w:rsid w:val="329E6876"/>
    <w:rsid w:val="32FB76DE"/>
    <w:rsid w:val="333015F2"/>
    <w:rsid w:val="334B6320"/>
    <w:rsid w:val="33D934D4"/>
    <w:rsid w:val="33FE2F6A"/>
    <w:rsid w:val="340E07E5"/>
    <w:rsid w:val="34235BF7"/>
    <w:rsid w:val="358C5FA8"/>
    <w:rsid w:val="35C15DF1"/>
    <w:rsid w:val="36074A7F"/>
    <w:rsid w:val="36923549"/>
    <w:rsid w:val="36A831A3"/>
    <w:rsid w:val="36B75FBF"/>
    <w:rsid w:val="36BD0C45"/>
    <w:rsid w:val="37E00298"/>
    <w:rsid w:val="38B302F9"/>
    <w:rsid w:val="38F12CD3"/>
    <w:rsid w:val="38F94775"/>
    <w:rsid w:val="392971ED"/>
    <w:rsid w:val="39325651"/>
    <w:rsid w:val="3A64031B"/>
    <w:rsid w:val="3A872856"/>
    <w:rsid w:val="3B3763D1"/>
    <w:rsid w:val="3C2F6E1E"/>
    <w:rsid w:val="3C4F64BA"/>
    <w:rsid w:val="3CDA245A"/>
    <w:rsid w:val="3D1E06B7"/>
    <w:rsid w:val="3DCC3BDF"/>
    <w:rsid w:val="3EDA0523"/>
    <w:rsid w:val="407A6407"/>
    <w:rsid w:val="4200449D"/>
    <w:rsid w:val="423A3BCC"/>
    <w:rsid w:val="424E57D2"/>
    <w:rsid w:val="42B26C49"/>
    <w:rsid w:val="433A6FE6"/>
    <w:rsid w:val="43480868"/>
    <w:rsid w:val="4350713C"/>
    <w:rsid w:val="436653E0"/>
    <w:rsid w:val="43C4431A"/>
    <w:rsid w:val="44B21AA0"/>
    <w:rsid w:val="44B951CC"/>
    <w:rsid w:val="44CD14E0"/>
    <w:rsid w:val="44F20B0B"/>
    <w:rsid w:val="452E5F4C"/>
    <w:rsid w:val="45612018"/>
    <w:rsid w:val="458946E9"/>
    <w:rsid w:val="45A47C0E"/>
    <w:rsid w:val="46577FD6"/>
    <w:rsid w:val="46D955A7"/>
    <w:rsid w:val="47133957"/>
    <w:rsid w:val="47A07E0C"/>
    <w:rsid w:val="482B3899"/>
    <w:rsid w:val="4870272E"/>
    <w:rsid w:val="49DC7715"/>
    <w:rsid w:val="4A023139"/>
    <w:rsid w:val="4A694AFE"/>
    <w:rsid w:val="4A7B576F"/>
    <w:rsid w:val="4AEC7AD2"/>
    <w:rsid w:val="4AF561A9"/>
    <w:rsid w:val="4C4A0649"/>
    <w:rsid w:val="4C7E5ECA"/>
    <w:rsid w:val="4C876AA5"/>
    <w:rsid w:val="4CF05165"/>
    <w:rsid w:val="4D0E00FB"/>
    <w:rsid w:val="4D176606"/>
    <w:rsid w:val="4DEC4FB0"/>
    <w:rsid w:val="4E075D8A"/>
    <w:rsid w:val="4EA72CBE"/>
    <w:rsid w:val="4EC00FAD"/>
    <w:rsid w:val="4F9843DC"/>
    <w:rsid w:val="4FC62A8C"/>
    <w:rsid w:val="4FE20F0D"/>
    <w:rsid w:val="4FE51552"/>
    <w:rsid w:val="50167168"/>
    <w:rsid w:val="50456604"/>
    <w:rsid w:val="50504C4B"/>
    <w:rsid w:val="509C6E7C"/>
    <w:rsid w:val="5162104E"/>
    <w:rsid w:val="52242626"/>
    <w:rsid w:val="53A039CC"/>
    <w:rsid w:val="53A1505A"/>
    <w:rsid w:val="54063E08"/>
    <w:rsid w:val="543437E8"/>
    <w:rsid w:val="54F73313"/>
    <w:rsid w:val="54F80955"/>
    <w:rsid w:val="55194EE1"/>
    <w:rsid w:val="555170A7"/>
    <w:rsid w:val="5587536D"/>
    <w:rsid w:val="559B174B"/>
    <w:rsid w:val="55CE0CF4"/>
    <w:rsid w:val="56AA006C"/>
    <w:rsid w:val="56B22A9C"/>
    <w:rsid w:val="57B72A76"/>
    <w:rsid w:val="57C3426C"/>
    <w:rsid w:val="57CE1F93"/>
    <w:rsid w:val="588743D1"/>
    <w:rsid w:val="5887701A"/>
    <w:rsid w:val="59C0439F"/>
    <w:rsid w:val="59E53E60"/>
    <w:rsid w:val="5ABE2233"/>
    <w:rsid w:val="5BDF5D95"/>
    <w:rsid w:val="5BFE7528"/>
    <w:rsid w:val="5C4A1481"/>
    <w:rsid w:val="5E2467F1"/>
    <w:rsid w:val="5F1A2B43"/>
    <w:rsid w:val="5F657324"/>
    <w:rsid w:val="5F7379DC"/>
    <w:rsid w:val="5FB837BB"/>
    <w:rsid w:val="6002589F"/>
    <w:rsid w:val="6045542C"/>
    <w:rsid w:val="60CC405A"/>
    <w:rsid w:val="60FE4278"/>
    <w:rsid w:val="612F0361"/>
    <w:rsid w:val="61E215D8"/>
    <w:rsid w:val="621B3775"/>
    <w:rsid w:val="62361C76"/>
    <w:rsid w:val="62364782"/>
    <w:rsid w:val="6351061A"/>
    <w:rsid w:val="6394356A"/>
    <w:rsid w:val="63C61B2C"/>
    <w:rsid w:val="63D40BE9"/>
    <w:rsid w:val="64102431"/>
    <w:rsid w:val="64315D20"/>
    <w:rsid w:val="64A5243A"/>
    <w:rsid w:val="64F531DE"/>
    <w:rsid w:val="65373578"/>
    <w:rsid w:val="664D6EFC"/>
    <w:rsid w:val="66CA672F"/>
    <w:rsid w:val="671F124A"/>
    <w:rsid w:val="677A33C6"/>
    <w:rsid w:val="68187E7E"/>
    <w:rsid w:val="681F6961"/>
    <w:rsid w:val="68610A2F"/>
    <w:rsid w:val="68805514"/>
    <w:rsid w:val="69316E2F"/>
    <w:rsid w:val="694E2071"/>
    <w:rsid w:val="69766163"/>
    <w:rsid w:val="697A3B33"/>
    <w:rsid w:val="698A1167"/>
    <w:rsid w:val="69A030FE"/>
    <w:rsid w:val="69D44760"/>
    <w:rsid w:val="6A520EC7"/>
    <w:rsid w:val="6AF87E20"/>
    <w:rsid w:val="6B322639"/>
    <w:rsid w:val="6C636C38"/>
    <w:rsid w:val="6D845F8E"/>
    <w:rsid w:val="6DB34098"/>
    <w:rsid w:val="6DB545B6"/>
    <w:rsid w:val="6DE02FB4"/>
    <w:rsid w:val="6E514CED"/>
    <w:rsid w:val="6EB563D5"/>
    <w:rsid w:val="6ED92677"/>
    <w:rsid w:val="6F225983"/>
    <w:rsid w:val="6F676495"/>
    <w:rsid w:val="6FFC5590"/>
    <w:rsid w:val="706D1DD0"/>
    <w:rsid w:val="70856B87"/>
    <w:rsid w:val="70D527EE"/>
    <w:rsid w:val="715B5300"/>
    <w:rsid w:val="71D27F8A"/>
    <w:rsid w:val="72553024"/>
    <w:rsid w:val="73122968"/>
    <w:rsid w:val="731F5D5E"/>
    <w:rsid w:val="73C51AD5"/>
    <w:rsid w:val="741E793C"/>
    <w:rsid w:val="745E3944"/>
    <w:rsid w:val="74780A2A"/>
    <w:rsid w:val="7635099D"/>
    <w:rsid w:val="77762421"/>
    <w:rsid w:val="77A6561D"/>
    <w:rsid w:val="77B56B1F"/>
    <w:rsid w:val="780F09F4"/>
    <w:rsid w:val="78A90480"/>
    <w:rsid w:val="7A364017"/>
    <w:rsid w:val="7A396F27"/>
    <w:rsid w:val="7A8265E1"/>
    <w:rsid w:val="7AE81197"/>
    <w:rsid w:val="7B5970CC"/>
    <w:rsid w:val="7B686D42"/>
    <w:rsid w:val="7B841746"/>
    <w:rsid w:val="7C6C5AC7"/>
    <w:rsid w:val="7CC6544B"/>
    <w:rsid w:val="7D0239FF"/>
    <w:rsid w:val="7D5E40CD"/>
    <w:rsid w:val="7DCD56F2"/>
    <w:rsid w:val="7F001CE7"/>
    <w:rsid w:val="7F6A5FC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spacing w:before="260" w:after="260" w:line="416" w:lineRule="atLeast"/>
      <w:outlineLvl w:val="2"/>
    </w:pPr>
    <w:rPr>
      <w:b/>
      <w:bCs/>
      <w:sz w:val="32"/>
      <w:szCs w:val="32"/>
    </w:rPr>
  </w:style>
  <w:style w:type="paragraph" w:styleId="5">
    <w:name w:val="heading 4"/>
    <w:basedOn w:val="1"/>
    <w:next w:val="1"/>
    <w:link w:val="76"/>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Normal Indent"/>
    <w:basedOn w:val="1"/>
    <w:qFormat/>
    <w:locked/>
    <w:uiPriority w:val="0"/>
    <w:pPr>
      <w:adjustRightInd w:val="0"/>
      <w:spacing w:line="500" w:lineRule="exact"/>
      <w:ind w:firstLine="560" w:firstLineChars="200"/>
    </w:pPr>
  </w:style>
  <w:style w:type="paragraph" w:styleId="6">
    <w:name w:val="annotation text"/>
    <w:basedOn w:val="1"/>
    <w:link w:val="38"/>
    <w:semiHidden/>
    <w:qFormat/>
    <w:uiPriority w:val="0"/>
    <w:pPr>
      <w:jc w:val="left"/>
    </w:pPr>
    <w:rPr>
      <w:kern w:val="0"/>
      <w:sz w:val="24"/>
      <w:szCs w:val="20"/>
    </w:rPr>
  </w:style>
  <w:style w:type="paragraph" w:styleId="7">
    <w:name w:val="Body Text"/>
    <w:basedOn w:val="1"/>
    <w:link w:val="48"/>
    <w:qFormat/>
    <w:uiPriority w:val="0"/>
    <w:pPr>
      <w:widowControl/>
      <w:snapToGrid w:val="0"/>
      <w:spacing w:before="60" w:after="160" w:line="259" w:lineRule="auto"/>
      <w:ind w:right="113"/>
    </w:pPr>
    <w:rPr>
      <w:kern w:val="0"/>
      <w:sz w:val="18"/>
      <w:szCs w:val="20"/>
    </w:rPr>
  </w:style>
  <w:style w:type="paragraph" w:styleId="8">
    <w:name w:val="Body Text Indent"/>
    <w:basedOn w:val="1"/>
    <w:link w:val="47"/>
    <w:qFormat/>
    <w:uiPriority w:val="0"/>
    <w:pPr>
      <w:spacing w:after="120"/>
      <w:ind w:left="420" w:leftChars="200"/>
    </w:pPr>
    <w:rPr>
      <w:kern w:val="0"/>
      <w:sz w:val="24"/>
      <w:szCs w:val="20"/>
    </w:rPr>
  </w:style>
  <w:style w:type="paragraph" w:styleId="9">
    <w:name w:val="Block Text"/>
    <w:basedOn w:val="1"/>
    <w:qFormat/>
    <w:locked/>
    <w:uiPriority w:val="99"/>
    <w:pPr>
      <w:snapToGrid w:val="0"/>
      <w:spacing w:line="420" w:lineRule="exact"/>
      <w:ind w:left="101" w:leftChars="48" w:right="149" w:rightChars="71" w:firstLine="426" w:firstLineChars="203"/>
    </w:pPr>
  </w:style>
  <w:style w:type="paragraph" w:styleId="10">
    <w:name w:val="Plain Text"/>
    <w:basedOn w:val="1"/>
    <w:next w:val="1"/>
    <w:link w:val="32"/>
    <w:qFormat/>
    <w:locked/>
    <w:uiPriority w:val="0"/>
    <w:rPr>
      <w:rFonts w:ascii="宋体" w:hAnsi="Courier New"/>
    </w:rPr>
  </w:style>
  <w:style w:type="paragraph" w:styleId="11">
    <w:name w:val="Date"/>
    <w:basedOn w:val="1"/>
    <w:next w:val="1"/>
    <w:link w:val="42"/>
    <w:qFormat/>
    <w:uiPriority w:val="0"/>
    <w:pPr>
      <w:ind w:left="100" w:leftChars="2500"/>
    </w:pPr>
    <w:rPr>
      <w:kern w:val="0"/>
      <w:sz w:val="24"/>
      <w:szCs w:val="20"/>
    </w:rPr>
  </w:style>
  <w:style w:type="paragraph" w:styleId="12">
    <w:name w:val="Body Text Indent 2"/>
    <w:basedOn w:val="1"/>
    <w:link w:val="29"/>
    <w:qFormat/>
    <w:locked/>
    <w:uiPriority w:val="0"/>
    <w:pPr>
      <w:spacing w:after="120" w:line="480" w:lineRule="auto"/>
      <w:ind w:left="420" w:leftChars="200"/>
    </w:pPr>
  </w:style>
  <w:style w:type="paragraph" w:styleId="13">
    <w:name w:val="Balloon Text"/>
    <w:basedOn w:val="1"/>
    <w:link w:val="55"/>
    <w:semiHidden/>
    <w:qFormat/>
    <w:uiPriority w:val="0"/>
    <w:rPr>
      <w:kern w:val="0"/>
      <w:sz w:val="18"/>
      <w:szCs w:val="20"/>
    </w:rPr>
  </w:style>
  <w:style w:type="paragraph" w:styleId="14">
    <w:name w:val="footer"/>
    <w:basedOn w:val="1"/>
    <w:link w:val="41"/>
    <w:qFormat/>
    <w:uiPriority w:val="99"/>
    <w:pPr>
      <w:tabs>
        <w:tab w:val="center" w:pos="4153"/>
        <w:tab w:val="right" w:pos="8306"/>
      </w:tabs>
      <w:snapToGrid w:val="0"/>
      <w:jc w:val="left"/>
    </w:pPr>
    <w:rPr>
      <w:kern w:val="0"/>
      <w:sz w:val="18"/>
      <w:szCs w:val="20"/>
    </w:rPr>
  </w:style>
  <w:style w:type="paragraph" w:styleId="15">
    <w:name w:val="header"/>
    <w:basedOn w:val="1"/>
    <w:link w:val="54"/>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unhideWhenUsed/>
    <w:qFormat/>
    <w:locked/>
    <w:uiPriority w:val="39"/>
    <w:pPr>
      <w:widowControl/>
      <w:spacing w:after="100" w:line="276" w:lineRule="auto"/>
      <w:jc w:val="left"/>
    </w:pPr>
    <w:rPr>
      <w:rFonts w:eastAsiaTheme="minorEastAsia" w:cstheme="minorBidi"/>
      <w:kern w:val="0"/>
      <w:sz w:val="22"/>
      <w:szCs w:val="22"/>
    </w:rPr>
  </w:style>
  <w:style w:type="paragraph" w:styleId="17">
    <w:name w:val="toc 2"/>
    <w:basedOn w:val="1"/>
    <w:next w:val="1"/>
    <w:unhideWhenUsed/>
    <w:qFormat/>
    <w:locked/>
    <w:uiPriority w:val="39"/>
    <w:pPr>
      <w:widowControl/>
      <w:spacing w:after="100" w:line="276" w:lineRule="auto"/>
      <w:ind w:left="220"/>
      <w:jc w:val="left"/>
    </w:pPr>
    <w:rPr>
      <w:rFonts w:eastAsiaTheme="minorEastAsia" w:cstheme="minorBidi"/>
      <w:kern w:val="0"/>
      <w:sz w:val="22"/>
      <w:szCs w:val="22"/>
    </w:rPr>
  </w:style>
  <w:style w:type="paragraph" w:styleId="18">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6"/>
    <w:next w:val="6"/>
    <w:link w:val="28"/>
    <w:semiHidden/>
    <w:qFormat/>
    <w:uiPriority w:val="0"/>
    <w:rPr>
      <w:b/>
    </w:rPr>
  </w:style>
  <w:style w:type="paragraph" w:styleId="20">
    <w:name w:val="Body Text First Indent"/>
    <w:basedOn w:val="7"/>
    <w:qFormat/>
    <w:locked/>
    <w:uiPriority w:val="0"/>
    <w:pPr>
      <w:widowControl w:val="0"/>
      <w:snapToGrid/>
      <w:spacing w:before="0" w:after="120" w:line="240" w:lineRule="auto"/>
      <w:ind w:right="0" w:firstLine="420" w:firstLineChars="100"/>
    </w:pPr>
    <w:rPr>
      <w:kern w:val="2"/>
      <w:sz w:val="21"/>
      <w:szCs w:val="24"/>
    </w:rPr>
  </w:style>
  <w:style w:type="paragraph" w:styleId="21">
    <w:name w:val="Body Text First Indent 2"/>
    <w:basedOn w:val="8"/>
    <w:link w:val="33"/>
    <w:qFormat/>
    <w:locked/>
    <w:uiPriority w:val="0"/>
    <w:pPr>
      <w:ind w:firstLine="420" w:firstLineChars="200"/>
    </w:pPr>
    <w:rPr>
      <w:kern w:val="2"/>
      <w:sz w:val="21"/>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unhideWhenUsed/>
    <w:qFormat/>
    <w:locked/>
    <w:uiPriority w:val="99"/>
    <w:rPr>
      <w:color w:val="0000FF" w:themeColor="hyperlink"/>
      <w:u w:val="single"/>
      <w14:textFill>
        <w14:solidFill>
          <w14:schemeClr w14:val="hlink"/>
        </w14:solidFill>
      </w14:textFill>
    </w:rPr>
  </w:style>
  <w:style w:type="character" w:styleId="27">
    <w:name w:val="annotation reference"/>
    <w:semiHidden/>
    <w:qFormat/>
    <w:uiPriority w:val="0"/>
    <w:rPr>
      <w:sz w:val="21"/>
    </w:rPr>
  </w:style>
  <w:style w:type="character" w:customStyle="1" w:styleId="28">
    <w:name w:val="批注主题 字符"/>
    <w:link w:val="19"/>
    <w:semiHidden/>
    <w:qFormat/>
    <w:locked/>
    <w:uiPriority w:val="0"/>
    <w:rPr>
      <w:rFonts w:ascii="Times New Roman" w:hAnsi="Times New Roman" w:eastAsia="宋体"/>
      <w:b/>
      <w:kern w:val="2"/>
      <w:sz w:val="24"/>
    </w:rPr>
  </w:style>
  <w:style w:type="character" w:customStyle="1" w:styleId="29">
    <w:name w:val="正文文本缩进 2 字符"/>
    <w:link w:val="12"/>
    <w:qFormat/>
    <w:uiPriority w:val="0"/>
    <w:rPr>
      <w:kern w:val="2"/>
      <w:sz w:val="21"/>
      <w:szCs w:val="24"/>
    </w:rPr>
  </w:style>
  <w:style w:type="character" w:customStyle="1" w:styleId="30">
    <w:name w:val="表格文字 Char"/>
    <w:link w:val="31"/>
    <w:qFormat/>
    <w:uiPriority w:val="0"/>
    <w:rPr>
      <w:rFonts w:ascii="宋体" w:hAnsi="宋体"/>
      <w:b/>
      <w:kern w:val="2"/>
      <w:sz w:val="21"/>
      <w:szCs w:val="24"/>
    </w:rPr>
  </w:style>
  <w:style w:type="paragraph" w:customStyle="1" w:styleId="31">
    <w:name w:val="表格文字"/>
    <w:basedOn w:val="1"/>
    <w:next w:val="1"/>
    <w:link w:val="30"/>
    <w:qFormat/>
    <w:uiPriority w:val="0"/>
    <w:pPr>
      <w:spacing w:line="320" w:lineRule="exact"/>
      <w:jc w:val="center"/>
    </w:pPr>
    <w:rPr>
      <w:rFonts w:ascii="宋体" w:hAnsi="宋体"/>
      <w:b/>
    </w:rPr>
  </w:style>
  <w:style w:type="character" w:customStyle="1" w:styleId="32">
    <w:name w:val="纯文本 字符"/>
    <w:link w:val="10"/>
    <w:qFormat/>
    <w:uiPriority w:val="0"/>
    <w:rPr>
      <w:rFonts w:ascii="宋体" w:hAnsi="Courier New"/>
      <w:kern w:val="2"/>
      <w:sz w:val="21"/>
      <w:szCs w:val="24"/>
    </w:rPr>
  </w:style>
  <w:style w:type="character" w:customStyle="1" w:styleId="33">
    <w:name w:val="正文文本首行缩进 2 字符"/>
    <w:link w:val="21"/>
    <w:qFormat/>
    <w:uiPriority w:val="0"/>
    <w:rPr>
      <w:rFonts w:ascii="Times New Roman" w:hAnsi="Times New Roman" w:eastAsia="宋体"/>
      <w:kern w:val="2"/>
      <w:sz w:val="21"/>
      <w:szCs w:val="24"/>
    </w:rPr>
  </w:style>
  <w:style w:type="character" w:customStyle="1" w:styleId="34">
    <w:name w:val="普通(网站) 字符"/>
    <w:link w:val="18"/>
    <w:qFormat/>
    <w:locked/>
    <w:uiPriority w:val="0"/>
    <w:rPr>
      <w:rFonts w:ascii="宋体" w:hAnsi="宋体" w:eastAsia="宋体"/>
      <w:sz w:val="24"/>
    </w:rPr>
  </w:style>
  <w:style w:type="character" w:customStyle="1" w:styleId="35">
    <w:name w:val="日期 字符"/>
    <w:semiHidden/>
    <w:qFormat/>
    <w:uiPriority w:val="0"/>
    <w:rPr>
      <w:rFonts w:ascii="Times New Roman" w:hAnsi="Times New Roman" w:eastAsia="宋体"/>
      <w:sz w:val="24"/>
    </w:rPr>
  </w:style>
  <w:style w:type="character" w:customStyle="1" w:styleId="36">
    <w:name w:val="表头 Char"/>
    <w:link w:val="37"/>
    <w:qFormat/>
    <w:uiPriority w:val="0"/>
    <w:rPr>
      <w:rFonts w:ascii="宋体"/>
      <w:spacing w:val="14"/>
      <w:kern w:val="2"/>
      <w:sz w:val="24"/>
    </w:rPr>
  </w:style>
  <w:style w:type="paragraph" w:customStyle="1" w:styleId="37">
    <w:name w:val="表头"/>
    <w:basedOn w:val="20"/>
    <w:next w:val="1"/>
    <w:link w:val="36"/>
    <w:qFormat/>
    <w:uiPriority w:val="0"/>
    <w:pPr>
      <w:adjustRightInd w:val="0"/>
      <w:snapToGrid w:val="0"/>
      <w:spacing w:before="480" w:after="480" w:line="240" w:lineRule="atLeast"/>
      <w:jc w:val="center"/>
    </w:pPr>
    <w:rPr>
      <w:rFonts w:ascii="宋体"/>
      <w:spacing w:val="14"/>
      <w:sz w:val="24"/>
      <w:szCs w:val="20"/>
    </w:rPr>
  </w:style>
  <w:style w:type="character" w:customStyle="1" w:styleId="38">
    <w:name w:val="批注文字 字符"/>
    <w:link w:val="6"/>
    <w:qFormat/>
    <w:locked/>
    <w:uiPriority w:val="0"/>
    <w:rPr>
      <w:rFonts w:ascii="Times New Roman" w:hAnsi="Times New Roman" w:eastAsia="宋体"/>
      <w:sz w:val="24"/>
    </w:rPr>
  </w:style>
  <w:style w:type="character" w:customStyle="1" w:styleId="39">
    <w:name w:val="明显强调1"/>
    <w:qFormat/>
    <w:uiPriority w:val="21"/>
    <w:rPr>
      <w:i/>
      <w:iCs/>
      <w:color w:val="4472C4"/>
    </w:rPr>
  </w:style>
  <w:style w:type="character" w:customStyle="1" w:styleId="40">
    <w:name w:val="页脚 字符"/>
    <w:basedOn w:val="24"/>
    <w:qFormat/>
    <w:uiPriority w:val="99"/>
  </w:style>
  <w:style w:type="character" w:customStyle="1" w:styleId="41">
    <w:name w:val="页脚 字符1"/>
    <w:link w:val="14"/>
    <w:qFormat/>
    <w:locked/>
    <w:uiPriority w:val="99"/>
    <w:rPr>
      <w:sz w:val="18"/>
    </w:rPr>
  </w:style>
  <w:style w:type="character" w:customStyle="1" w:styleId="42">
    <w:name w:val="日期 字符1"/>
    <w:link w:val="11"/>
    <w:qFormat/>
    <w:locked/>
    <w:uiPriority w:val="0"/>
    <w:rPr>
      <w:rFonts w:ascii="Times New Roman" w:hAnsi="Times New Roman" w:eastAsia="宋体"/>
      <w:sz w:val="24"/>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头 Char2"/>
    <w:qFormat/>
    <w:uiPriority w:val="0"/>
    <w:rPr>
      <w:rFonts w:eastAsia="仿宋_GB2312"/>
      <w:b/>
      <w:snapToGrid w:val="0"/>
      <w:sz w:val="30"/>
      <w:lang w:val="en-US" w:eastAsia="zh-CN" w:bidi="ar-SA"/>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正文文本缩进 字符"/>
    <w:link w:val="8"/>
    <w:semiHidden/>
    <w:qFormat/>
    <w:locked/>
    <w:uiPriority w:val="0"/>
    <w:rPr>
      <w:rFonts w:ascii="Times New Roman" w:hAnsi="Times New Roman" w:eastAsia="宋体"/>
      <w:sz w:val="24"/>
    </w:rPr>
  </w:style>
  <w:style w:type="character" w:customStyle="1" w:styleId="48">
    <w:name w:val="正文文本 字符"/>
    <w:link w:val="7"/>
    <w:qFormat/>
    <w:locked/>
    <w:uiPriority w:val="0"/>
    <w:rPr>
      <w:sz w:val="18"/>
    </w:rPr>
  </w:style>
  <w:style w:type="character" w:customStyle="1" w:styleId="49">
    <w:name w:val="纯文本 字符1"/>
    <w:qFormat/>
    <w:uiPriority w:val="0"/>
    <w:rPr>
      <w:rFonts w:ascii="宋体" w:hAnsi="Courier New" w:cs="Courier New"/>
      <w:kern w:val="2"/>
      <w:sz w:val="21"/>
      <w:szCs w:val="21"/>
    </w:rPr>
  </w:style>
  <w:style w:type="character" w:customStyle="1" w:styleId="50">
    <w:name w:val="正文部分 Char"/>
    <w:link w:val="51"/>
    <w:qFormat/>
    <w:uiPriority w:val="0"/>
    <w:rPr>
      <w:rFonts w:ascii="楷体_GB2312" w:hAnsi="宋体" w:eastAsia="仿宋_GB2312"/>
      <w:b/>
      <w:kern w:val="2"/>
      <w:sz w:val="28"/>
      <w:szCs w:val="28"/>
    </w:rPr>
  </w:style>
  <w:style w:type="paragraph" w:customStyle="1" w:styleId="51">
    <w:name w:val="正文部分"/>
    <w:basedOn w:val="1"/>
    <w:link w:val="50"/>
    <w:qFormat/>
    <w:uiPriority w:val="0"/>
    <w:pPr>
      <w:spacing w:line="460" w:lineRule="exact"/>
      <w:ind w:firstLine="200" w:firstLineChars="200"/>
    </w:pPr>
    <w:rPr>
      <w:rFonts w:ascii="楷体_GB2312" w:hAnsi="宋体" w:eastAsia="仿宋_GB2312"/>
      <w:b/>
      <w:sz w:val="28"/>
      <w:szCs w:val="28"/>
    </w:rPr>
  </w:style>
  <w:style w:type="character" w:customStyle="1" w:styleId="52">
    <w:name w:val="cont2"/>
    <w:basedOn w:val="24"/>
    <w:qFormat/>
    <w:uiPriority w:val="0"/>
  </w:style>
  <w:style w:type="character" w:customStyle="1" w:styleId="53">
    <w:name w:val="批注文字 字符1"/>
    <w:semiHidden/>
    <w:qFormat/>
    <w:uiPriority w:val="0"/>
    <w:rPr>
      <w:rFonts w:ascii="Times New Roman" w:hAnsi="Times New Roman" w:eastAsia="宋体"/>
      <w:sz w:val="24"/>
    </w:rPr>
  </w:style>
  <w:style w:type="character" w:customStyle="1" w:styleId="54">
    <w:name w:val="页眉 字符"/>
    <w:link w:val="15"/>
    <w:qFormat/>
    <w:locked/>
    <w:uiPriority w:val="0"/>
    <w:rPr>
      <w:sz w:val="18"/>
    </w:rPr>
  </w:style>
  <w:style w:type="character" w:customStyle="1" w:styleId="55">
    <w:name w:val="批注框文本 字符"/>
    <w:link w:val="13"/>
    <w:semiHidden/>
    <w:qFormat/>
    <w:locked/>
    <w:uiPriority w:val="0"/>
    <w:rPr>
      <w:rFonts w:ascii="Times New Roman" w:hAnsi="Times New Roman" w:eastAsia="宋体"/>
      <w:sz w:val="18"/>
    </w:rPr>
  </w:style>
  <w:style w:type="paragraph" w:customStyle="1" w:styleId="56">
    <w:name w:val="【正文】"/>
    <w:basedOn w:val="1"/>
    <w:qFormat/>
    <w:uiPriority w:val="99"/>
    <w:pPr>
      <w:widowControl/>
      <w:snapToGrid w:val="0"/>
      <w:spacing w:line="360" w:lineRule="auto"/>
      <w:ind w:firstLine="200" w:firstLineChars="200"/>
    </w:pPr>
    <w:rPr>
      <w:rFonts w:ascii="Calibri" w:hAnsi="Calibri"/>
      <w:sz w:val="24"/>
      <w:szCs w:val="20"/>
    </w:rPr>
  </w:style>
  <w:style w:type="paragraph" w:customStyle="1" w:styleId="57">
    <w:name w:val="样式2"/>
    <w:basedOn w:val="1"/>
    <w:qFormat/>
    <w:uiPriority w:val="0"/>
    <w:pPr>
      <w:spacing w:line="300" w:lineRule="auto"/>
      <w:jc w:val="center"/>
    </w:pPr>
    <w:rPr>
      <w:sz w:val="18"/>
      <w:szCs w:val="21"/>
    </w:rPr>
  </w:style>
  <w:style w:type="paragraph" w:customStyle="1" w:styleId="58">
    <w:name w:val="Default"/>
    <w:next w:val="1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9">
    <w:name w:val="正文标准样式"/>
    <w:basedOn w:val="1"/>
    <w:qFormat/>
    <w:uiPriority w:val="0"/>
    <w:pPr>
      <w:adjustRightInd w:val="0"/>
      <w:spacing w:line="300" w:lineRule="auto"/>
      <w:ind w:firstLine="482"/>
      <w:textAlignment w:val="baseline"/>
    </w:pPr>
    <w:rPr>
      <w:sz w:val="24"/>
      <w:szCs w:val="20"/>
    </w:rPr>
  </w:style>
  <w:style w:type="paragraph" w:customStyle="1" w:styleId="6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
    <w:name w:val="宋4+28"/>
    <w:basedOn w:val="1"/>
    <w:qFormat/>
    <w:uiPriority w:val="0"/>
    <w:pPr>
      <w:adjustRightInd w:val="0"/>
      <w:snapToGrid w:val="0"/>
      <w:spacing w:line="560" w:lineRule="exact"/>
      <w:ind w:firstLine="200" w:firstLineChars="200"/>
      <w:jc w:val="left"/>
    </w:pPr>
    <w:rPr>
      <w:bCs/>
      <w:color w:val="0000FF"/>
      <w:sz w:val="28"/>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样式70"/>
    <w:basedOn w:val="1"/>
    <w:qFormat/>
    <w:uiPriority w:val="0"/>
    <w:pPr>
      <w:adjustRightInd w:val="0"/>
      <w:spacing w:beforeLines="50" w:afterLines="50" w:line="360" w:lineRule="auto"/>
      <w:ind w:firstLine="480" w:firstLineChars="200"/>
      <w:textAlignment w:val="baseline"/>
    </w:pPr>
    <w:rPr>
      <w:color w:val="0000FF"/>
      <w:kern w:val="0"/>
      <w:sz w:val="24"/>
      <w:szCs w:val="21"/>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表头】"/>
    <w:qFormat/>
    <w:uiPriority w:val="99"/>
    <w:pPr>
      <w:adjustRightInd w:val="0"/>
      <w:snapToGrid w:val="0"/>
      <w:jc w:val="center"/>
    </w:pPr>
    <w:rPr>
      <w:rFonts w:ascii="Calibri" w:hAnsi="Calibri" w:eastAsia="宋体" w:cs="Times New Roman"/>
      <w:b/>
      <w:color w:val="000000"/>
      <w:kern w:val="2"/>
      <w:sz w:val="21"/>
      <w:szCs w:val="24"/>
      <w:lang w:val="en-US" w:eastAsia="zh-CN" w:bidi="ar-SA"/>
    </w:rPr>
  </w:style>
  <w:style w:type="paragraph" w:customStyle="1" w:styleId="66">
    <w:name w:val="表格内容5号"/>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character" w:styleId="67">
    <w:name w:val="Placeholder Text"/>
    <w:basedOn w:val="24"/>
    <w:unhideWhenUsed/>
    <w:qFormat/>
    <w:uiPriority w:val="99"/>
    <w:rPr>
      <w:color w:val="808080"/>
    </w:rPr>
  </w:style>
  <w:style w:type="paragraph" w:styleId="68">
    <w:name w:val="List Paragraph"/>
    <w:basedOn w:val="1"/>
    <w:qFormat/>
    <w:uiPriority w:val="99"/>
    <w:pPr>
      <w:ind w:firstLine="420" w:firstLineChars="200"/>
    </w:pPr>
  </w:style>
  <w:style w:type="paragraph" w:customStyle="1" w:styleId="69">
    <w:name w:val="报告表格"/>
    <w:qFormat/>
    <w:uiPriority w:val="0"/>
    <w:pPr>
      <w:autoSpaceDE w:val="0"/>
      <w:autoSpaceDN w:val="0"/>
      <w:adjustRightInd w:val="0"/>
      <w:jc w:val="center"/>
      <w:textAlignment w:val="baseline"/>
    </w:pPr>
    <w:rPr>
      <w:rFonts w:ascii="Times New Roman" w:hAnsi="Times New Roman" w:eastAsia="宋体" w:cs="Times New Roman"/>
      <w:sz w:val="21"/>
      <w:lang w:val="en-US" w:eastAsia="zh-CN" w:bidi="ar-SA"/>
    </w:rPr>
  </w:style>
  <w:style w:type="paragraph" w:customStyle="1" w:styleId="70">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71">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72">
    <w:name w:val="表格文字（小）"/>
    <w:basedOn w:val="1"/>
    <w:qFormat/>
    <w:uiPriority w:val="0"/>
    <w:pPr>
      <w:adjustRightInd w:val="0"/>
      <w:snapToGrid w:val="0"/>
      <w:spacing w:line="360" w:lineRule="exact"/>
      <w:jc w:val="center"/>
    </w:pPr>
    <w:rPr>
      <w:bCs/>
      <w:sz w:val="24"/>
      <w:szCs w:val="20"/>
    </w:rPr>
  </w:style>
  <w:style w:type="paragraph" w:customStyle="1" w:styleId="73">
    <w:name w:val="TOC 标题1"/>
    <w:basedOn w:val="3"/>
    <w:next w:val="1"/>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table" w:customStyle="1" w:styleId="74">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75">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76">
    <w:name w:val="标题 4 字符"/>
    <w:basedOn w:val="24"/>
    <w:link w:val="5"/>
    <w:semiHidden/>
    <w:qFormat/>
    <w:uiPriority w:val="0"/>
    <w:rPr>
      <w:rFonts w:asciiTheme="majorHAnsi" w:hAnsiTheme="majorHAnsi" w:eastAsiaTheme="majorEastAsia" w:cstheme="majorBidi"/>
      <w:b/>
      <w:bCs/>
      <w:kern w:val="2"/>
      <w:sz w:val="28"/>
      <w:szCs w:val="28"/>
    </w:rPr>
  </w:style>
  <w:style w:type="paragraph" w:customStyle="1" w:styleId="77">
    <w:name w:val="样式 红色 行距: 固定值 26 磅 首行缩进:  2 字符 右  0.55 字符"/>
    <w:basedOn w:val="1"/>
    <w:next w:val="1"/>
    <w:qFormat/>
    <w:uiPriority w:val="0"/>
    <w:pPr>
      <w:spacing w:line="520" w:lineRule="exact"/>
      <w:ind w:right="115" w:rightChars="55" w:firstLine="420" w:firstLineChars="200"/>
    </w:pPr>
    <w:rPr>
      <w:rFonts w:cs="宋体"/>
      <w:color w:val="FF0000"/>
      <w:szCs w:val="20"/>
    </w:rPr>
  </w:style>
  <w:style w:type="paragraph" w:customStyle="1" w:styleId="78">
    <w:name w:val="样式 小四 行距: 1.5 倍行距 首行缩进:  2 字符"/>
    <w:basedOn w:val="1"/>
    <w:qFormat/>
    <w:uiPriority w:val="0"/>
    <w:pPr>
      <w:spacing w:line="360" w:lineRule="auto"/>
      <w:ind w:firstLine="480" w:firstLineChars="200"/>
    </w:pPr>
    <w:rPr>
      <w:rFonts w:cs="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emf"/><Relationship Id="rId22" Type="http://schemas.openxmlformats.org/officeDocument/2006/relationships/image" Target="media/image11.emf"/><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e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arrow"/>
        </a:ln>
      </a:spPr>
      <a:bodyPr/>
      <a:lstStyle/>
      <a:style>
        <a:lnRef idx="1">
          <a:schemeClr val="dk1"/>
        </a:lnRef>
        <a:fillRef idx="0">
          <a:schemeClr val="dk1"/>
        </a:fillRef>
        <a:effectRef idx="0">
          <a:schemeClr val="dk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wdzx97.dot</Template>
  <Company>微软中国</Company>
  <Pages>50</Pages>
  <Words>22784</Words>
  <Characters>25640</Characters>
  <Lines>204</Lines>
  <Paragraphs>57</Paragraphs>
  <TotalTime>78</TotalTime>
  <ScaleCrop>false</ScaleCrop>
  <LinksUpToDate>false</LinksUpToDate>
  <CharactersWithSpaces>25823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2025-06-16T17:44:00Z</dcterms:created>
  <dc:creator>lhj</dc:creator>
  <cp:lastModifiedBy>Administrator</cp:lastModifiedBy>
  <cp:lastPrinted>2025-06-16T19:06:00Z</cp:lastPrinted>
  <dcterms:modified xsi:type="dcterms:W3CDTF">2025-06-17T07:42:13Z</dcterms:modified>
  <dc:title>附件2</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6B5DB43A652C40F0A5AC6FF5D37A98BE_13</vt:lpwstr>
  </property>
  <property fmtid="{D5CDD505-2E9C-101B-9397-08002B2CF9AE}" pid="4" name="KSOTemplateDocerSaveRecord">
    <vt:lpwstr>eyJoZGlkIjoiZGNkNzc1MmZhOTFhM2QyNGZlMjI5MjQ0NGQ5YzIxZmEifQ==</vt:lpwstr>
  </property>
</Properties>
</file>