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1437" w:tblpY="618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9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pacing w:val="0"/>
                <w:w w:val="40"/>
                <w:sz w:val="160"/>
                <w:szCs w:val="160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FF0000"/>
                <w:spacing w:val="0"/>
                <w:w w:val="53"/>
                <w:sz w:val="120"/>
                <w:szCs w:val="120"/>
                <w:vertAlign w:val="baseline"/>
                <w:lang w:eastAsia="zh-CN"/>
              </w:rPr>
              <w:t>翼城县行政审批服务管理局文件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9300" w:type="dxa"/>
            <w:tcBorders>
              <w:bottom w:val="single" w:color="FF0000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6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翼审管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字〔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〕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</w:pPr>
      <w:bookmarkStart w:id="0" w:name="OLE_LINK1"/>
      <w:bookmarkStart w:id="8" w:name="_GoBack"/>
      <w:r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eastAsia="zh-CN"/>
        </w:rPr>
        <w:t>翼城县行政审批服务管理局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bookmarkStart w:id="1" w:name="_Hlk161996158"/>
      <w:bookmarkStart w:id="2" w:name="_Hlk164951754"/>
      <w:r>
        <w:rPr>
          <w:rFonts w:hint="eastAsia" w:ascii="宋体" w:hAnsi="宋体" w:eastAsia="宋体" w:cs="宋体"/>
          <w:b/>
          <w:bCs/>
          <w:sz w:val="44"/>
          <w:szCs w:val="44"/>
        </w:rPr>
        <w:t>山西振祥贸易有限公司年储煤5万吨建设</w:t>
      </w:r>
      <w:bookmarkEnd w:id="1"/>
      <w:r>
        <w:rPr>
          <w:rFonts w:hint="eastAsia" w:ascii="宋体" w:hAnsi="宋体" w:eastAsia="宋体" w:cs="宋体"/>
          <w:b/>
          <w:bCs/>
          <w:sz w:val="44"/>
          <w:szCs w:val="44"/>
        </w:rPr>
        <w:t>项目</w:t>
      </w:r>
      <w:bookmarkEnd w:id="2"/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的批复</w:t>
      </w:r>
      <w:bookmarkEnd w:id="8"/>
    </w:p>
    <w:bookmarkEnd w:id="0"/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山西振祥贸易有限公司：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你单位报送的《山西振祥贸易有限公司年储煤5万吨建设项目环境影响报告表》（以下</w:t>
      </w:r>
      <w:r>
        <w:rPr>
          <w:rFonts w:hint="eastAsia" w:ascii="仿宋" w:hAnsi="仿宋" w:eastAsia="仿宋" w:cs="仿宋"/>
          <w:sz w:val="32"/>
          <w:szCs w:val="32"/>
        </w:rPr>
        <w:t>简称《报告表》）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及申请材料已收悉，根据《中华人民共和国环境影响评价法》《建设项目环境保护管理条例》有关规定，结合专家评审意见，经研究，现批复如下：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、原则同意经技术审查后修改编制的《报告表》。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二、本项目位于山西省临汾市翼城县</w:t>
      </w:r>
      <w:bookmarkStart w:id="3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桥上镇黄家垣村贾庄自然村村北160</w:t>
      </w:r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米处。主要建设内容：</w:t>
      </w:r>
      <w:bookmarkStart w:id="4" w:name="_Hlk11155746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bookmarkStart w:id="5" w:name="_Hlk11155643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1座</w:t>
      </w:r>
      <w:bookmarkStart w:id="6" w:name="_Hlk191897383"/>
      <w:bookmarkStart w:id="7" w:name="OLE_LINK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配煤车间</w:t>
      </w:r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、1座成品煤储库</w:t>
      </w:r>
      <w:bookmarkEnd w:id="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及办公生活区，购置并安装配货机械与环保设施</w:t>
      </w:r>
      <w:bookmarkEnd w:id="5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配煤车间利用现有轻钢结构库房，办公生活区利用现有办公楼，砖混结构库房和宿舍楼暂不利用也暂不拆除，成品煤储库及其他辅助设施均为新建。项目总投资300万元，其中环保投资为52万元。在严格落实《报告表》中提出的各项生态保护和污染防治措施、</w:t>
      </w:r>
      <w:r>
        <w:rPr>
          <w:rFonts w:hint="eastAsia" w:ascii="仿宋" w:hAnsi="仿宋" w:eastAsia="仿宋" w:cs="仿宋"/>
          <w:sz w:val="32"/>
          <w:szCs w:val="32"/>
        </w:rPr>
        <w:t>项目污染物满足达标排放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及本批复要求的前提下，从环保角度分析，建设项目可行。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三、在项目建设和运营过程中，你单位必须严格执行“三同时”制度，对照《报告表》中提出的环保要求配套建设污染防治设施，并重点做好以下工作：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1.落实施工期污染防治措施。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严格落实建筑施工工地周边围挡、物料堆放覆盖、土方开挖湿法作业、路面硬化、出入车辆清洗、渣土车辆密闭运输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等措施，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易产尘的建筑材料不得随意堆放，尽量避开在项目区的上风向，要有专门的堆棚，并在堆棚周围设置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，减少扬尘的产生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出场车辆应清洗轮胎，以免轮胎带泥污染道路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进出工地的物料、渣土、垃圾运输车辆应尽可能采用密闭车斗，并保证物料不遗撒外漏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在施工场地对施工器械的冲洗设置固定场所，冲洗水进入5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m³隔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油沉淀池，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沉淀后用作施工材料混合用水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路面降尘及喷洒用水，不外排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施工人员生活污水收集后经沉淀处理，用于道路洒水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施工材料、土堆、沙堆和回填物尽量遮挡，避免物料随雨水流失，产生不必要的污染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施工单位使用的主要机械设备应采用低噪声机械设备，同时在施工过程中施工单位应设专人对设备进行定期保养维护，保证车辆和施工机械处于良好的运行状态，以降低噪声，加强对施工车辆的进出管理，尽量缩短汽车的怠速停留时间，禁止车辆鸣笛，严禁夜间施工；建筑垃圾要求进行分类回收利用，不能回收利用的运至指定建筑垃圾填埋场填埋，生活垃圾交由环卫部门统一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2.落实运营期大气污染防治措施。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全封闭储库，地面硬化，原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和成品煤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设置覆盖全场的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高压雾化喷淋系统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；规范卸车过程，减小落差并喷雾降尘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输送皮带全封闭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，定期进行洒水；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筛分机上方、筛分机出料皮带落料点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上方、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粉煤机进料口上方、粉煤机出料皮带落料点上方、配煤机受料斗上方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煤机出料皮带落料点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各安装1套集尘罩，废气收集后引入1台覆膜袋式除尘器，处理后经高排气筒排放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厂区硬化，定期洒水，使用清洁运输车辆，运输过程中加盖篷布，设洗车平台对出厂车辆进行冲洗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3.落实运营期水污染治理措施。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和成品煤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四周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设导流渠及1座2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m³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淋控水池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1座3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m³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淋控水池，淋控废水经收集沉淀后用于堆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洒水抑尘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洗车平台配套20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m³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沉淀池，洗车废水经沉淀后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循环使用；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设1座80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m³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初期雨水收集池，收集的初期雨水全部用于堆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洒水抑尘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生活废水经收集沉淀后用于厂区道路洒水抑尘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4.落实运营期噪声污染治理措施。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在设备选型上，优先选择低噪声设备，降低噪声源的声压级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总体设计上布局合理，将主要的高噪声设备集中以便控制；在产噪设备安装连接时，采用软性连接方式；对电机功率大的机械采用减震垫，将高噪声设备安装在室内，并设置减震基础；平时生产中加强对各设备的维修保养，对其主要磨损部位及时添加润滑油，确保设备处于良好的运转状态，杜绝因设备不正常运转时产生的高噪声现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；厂界加强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绿化工作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利用防护林带起到阻滞噪声传播、吸收尘等污染物，减轻污染的作用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；运输车辆必须按照规定线路行驶，在通过村庄路段要限速行驶、限制鸣笛、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严禁在夜间进行物料运输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落实固体废物污染防治措施。淋控水池底泥作为原煤产品外售，雨水收集池、洗车平台沉淀池底泥交由环卫部门清运处置；除尘灰集中收集后作为产品外售；危险废物暂存于危废贮存库，定期交有资质的单位处置；生活垃圾集中收集后由环卫部门统一清运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6.建立完善有效的环境风险防范与应急管理体系。严格落实《突发环境事件应急预案管理暂行办法》，落实各项环境风险防范措施，严防各类环境风险和次生环境污染问题发生。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7.《报告表》要求的其他环保措施。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四、项目建设完成后，要严格按照建设项目竣工环境保护验收的规定和要求，做好相关工作。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五、临汾市生态环境局翼城分局负责本项目的现场监管、监督检查，确保各项环保措施按《报告表》和批复要求落实到位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-302895</wp:posOffset>
            </wp:positionV>
            <wp:extent cx="14859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翼城县行政审批服务管理局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14"/>
        <w:tblpPr w:leftFromText="180" w:rightFromText="180" w:vertAnchor="text" w:horzAnchor="page" w:tblpX="1512" w:tblpY="225"/>
        <w:tblOverlap w:val="never"/>
        <w:tblW w:w="888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翼城县行政审批服务管理局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 xml:space="preserve">     2025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日印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lang w:val="en-US" w:eastAsia="zh-CN"/>
              </w:rPr>
              <w:t>发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80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（共印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份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10" w:h="16850"/>
      <w:pgMar w:top="1440" w:right="1800" w:bottom="1440" w:left="1800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08190F-948D-4A85-8451-D97AC995BE2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C25011-5B74-4193-BE9C-8978C4016F1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4F9036-4533-4A51-A020-6999785499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DF9497C-8886-40CA-92F6-9255E34631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8B335"/>
    <w:multiLevelType w:val="multilevel"/>
    <w:tmpl w:val="AAE8B33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3"/>
      <w:suff w:val="nothing"/>
      <w:lvlText w:val="%1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">
    <w:nsid w:val="300505EB"/>
    <w:multiLevelType w:val="multilevel"/>
    <w:tmpl w:val="300505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1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92170fc3-3a3e-4619-af45-7777262b93f7"/>
  </w:docVars>
  <w:rsids>
    <w:rsidRoot w:val="197F217C"/>
    <w:rsid w:val="00B93F2F"/>
    <w:rsid w:val="00DE0C5C"/>
    <w:rsid w:val="02921C49"/>
    <w:rsid w:val="03613E1C"/>
    <w:rsid w:val="055E1CB0"/>
    <w:rsid w:val="05F04400"/>
    <w:rsid w:val="06452CD8"/>
    <w:rsid w:val="078758E5"/>
    <w:rsid w:val="084408DC"/>
    <w:rsid w:val="0B35628F"/>
    <w:rsid w:val="0BF808E6"/>
    <w:rsid w:val="11A02087"/>
    <w:rsid w:val="11B50E57"/>
    <w:rsid w:val="12F5438F"/>
    <w:rsid w:val="13A34700"/>
    <w:rsid w:val="153D6320"/>
    <w:rsid w:val="16651332"/>
    <w:rsid w:val="17F673BF"/>
    <w:rsid w:val="1889473F"/>
    <w:rsid w:val="197F217C"/>
    <w:rsid w:val="19EF234A"/>
    <w:rsid w:val="1A6D7AEC"/>
    <w:rsid w:val="1AA37AEA"/>
    <w:rsid w:val="20553A63"/>
    <w:rsid w:val="22A305CD"/>
    <w:rsid w:val="24DF6791"/>
    <w:rsid w:val="2755491D"/>
    <w:rsid w:val="29127F33"/>
    <w:rsid w:val="2A1865C3"/>
    <w:rsid w:val="2C153E60"/>
    <w:rsid w:val="2C740E03"/>
    <w:rsid w:val="2E6D4F04"/>
    <w:rsid w:val="2E794440"/>
    <w:rsid w:val="300D25F8"/>
    <w:rsid w:val="31582AE3"/>
    <w:rsid w:val="32305768"/>
    <w:rsid w:val="33145C0A"/>
    <w:rsid w:val="33596818"/>
    <w:rsid w:val="33AA6EA7"/>
    <w:rsid w:val="3521599A"/>
    <w:rsid w:val="354D25F5"/>
    <w:rsid w:val="36BD65E5"/>
    <w:rsid w:val="37647048"/>
    <w:rsid w:val="37FC15EC"/>
    <w:rsid w:val="38ED5B64"/>
    <w:rsid w:val="39FB2218"/>
    <w:rsid w:val="3B1A2EA9"/>
    <w:rsid w:val="3B6F4922"/>
    <w:rsid w:val="3D5642D8"/>
    <w:rsid w:val="3FC65372"/>
    <w:rsid w:val="3FD370BE"/>
    <w:rsid w:val="443D5C42"/>
    <w:rsid w:val="44797D33"/>
    <w:rsid w:val="470A6774"/>
    <w:rsid w:val="477405D9"/>
    <w:rsid w:val="484D5598"/>
    <w:rsid w:val="4DF44835"/>
    <w:rsid w:val="4E9A453D"/>
    <w:rsid w:val="501920B7"/>
    <w:rsid w:val="506E58F8"/>
    <w:rsid w:val="50966A6E"/>
    <w:rsid w:val="50AF606C"/>
    <w:rsid w:val="515E4487"/>
    <w:rsid w:val="51BD44CE"/>
    <w:rsid w:val="53743AF0"/>
    <w:rsid w:val="53BF1359"/>
    <w:rsid w:val="553E2A28"/>
    <w:rsid w:val="57D468AC"/>
    <w:rsid w:val="589B50CA"/>
    <w:rsid w:val="58E874FC"/>
    <w:rsid w:val="596D24C3"/>
    <w:rsid w:val="5AAB75B9"/>
    <w:rsid w:val="5B9B596C"/>
    <w:rsid w:val="5C7F7B03"/>
    <w:rsid w:val="5D8D288B"/>
    <w:rsid w:val="5DF72981"/>
    <w:rsid w:val="622A5351"/>
    <w:rsid w:val="64984A74"/>
    <w:rsid w:val="66142F6C"/>
    <w:rsid w:val="68585541"/>
    <w:rsid w:val="68C40628"/>
    <w:rsid w:val="68E86E05"/>
    <w:rsid w:val="69E015FF"/>
    <w:rsid w:val="6A844BC4"/>
    <w:rsid w:val="6C057672"/>
    <w:rsid w:val="6E6D3339"/>
    <w:rsid w:val="6F8C6076"/>
    <w:rsid w:val="6FCF7E32"/>
    <w:rsid w:val="714A41CA"/>
    <w:rsid w:val="721645EA"/>
    <w:rsid w:val="73AC26EE"/>
    <w:rsid w:val="7527352B"/>
    <w:rsid w:val="785310BB"/>
    <w:rsid w:val="7B1C0C73"/>
    <w:rsid w:val="7B6F2F4D"/>
    <w:rsid w:val="7D2034B1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40" w:after="120"/>
      <w:ind w:left="0" w:firstLine="602"/>
      <w:outlineLvl w:val="1"/>
    </w:pPr>
    <w:rPr>
      <w:rFonts w:ascii="宋体"/>
      <w:b/>
      <w:sz w:val="3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ind w:left="960" w:firstLine="479"/>
    </w:pPr>
    <w:rPr>
      <w:rFonts w:ascii="宋体" w:hAnsi="宋体" w:eastAsia="宋体" w:cs="宋体"/>
      <w:sz w:val="24"/>
    </w:rPr>
  </w:style>
  <w:style w:type="paragraph" w:customStyle="1" w:styleId="6">
    <w:name w:val="正文首行缩进1"/>
    <w:basedOn w:val="1"/>
    <w:qFormat/>
    <w:uiPriority w:val="99"/>
    <w:pPr>
      <w:spacing w:after="120"/>
      <w:ind w:firstLine="420" w:firstLineChars="100"/>
    </w:pPr>
  </w:style>
  <w:style w:type="paragraph" w:styleId="7">
    <w:name w:val="Body Text Indent"/>
    <w:basedOn w:val="1"/>
    <w:next w:val="1"/>
    <w:qFormat/>
    <w:uiPriority w:val="0"/>
    <w:pPr>
      <w:ind w:firstLine="600"/>
    </w:pPr>
    <w:rPr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12">
    <w:name w:val="Body Text First Indent 2"/>
    <w:basedOn w:val="7"/>
    <w:next w:val="1"/>
    <w:qFormat/>
    <w:uiPriority w:val="0"/>
    <w:pPr>
      <w:tabs>
        <w:tab w:val="left" w:pos="180"/>
      </w:tabs>
      <w:ind w:firstLine="420" w:firstLineChars="200"/>
    </w:pPr>
    <w:rPr>
      <w:color w:val="00000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8">
    <w:name w:val="font31"/>
    <w:basedOn w:val="1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9">
    <w:name w:val="font61"/>
    <w:basedOn w:val="1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20">
    <w:name w:val="标准文件_章标题"/>
    <w:next w:val="17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标准文件_一级条标题"/>
    <w:basedOn w:val="20"/>
    <w:next w:val="17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2">
    <w:name w:val="标准文件_二级无标题"/>
    <w:basedOn w:val="23"/>
    <w:qFormat/>
    <w:uiPriority w:val="0"/>
    <w:pPr>
      <w:spacing w:before="50" w:beforeLines="0" w:after="50" w:afterLines="0"/>
      <w:outlineLvl w:val="9"/>
    </w:pPr>
    <w:rPr>
      <w:rFonts w:ascii="宋体" w:eastAsia="宋体"/>
    </w:rPr>
  </w:style>
  <w:style w:type="paragraph" w:customStyle="1" w:styleId="23">
    <w:name w:val="标准文件_二级条标题"/>
    <w:next w:val="17"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szCs w:val="20"/>
      <w:lang w:val="en-US" w:eastAsia="zh-CN" w:bidi="ar-SA"/>
    </w:rPr>
  </w:style>
  <w:style w:type="paragraph" w:customStyle="1" w:styleId="24">
    <w:name w:val="报告表表格文字"/>
    <w:qFormat/>
    <w:uiPriority w:val="0"/>
    <w:pPr>
      <w:widowControl/>
      <w:jc w:val="center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1984</Words>
  <Characters>2020</Characters>
  <Lines>0</Lines>
  <Paragraphs>0</Paragraphs>
  <TotalTime>5</TotalTime>
  <ScaleCrop>false</ScaleCrop>
  <LinksUpToDate>false</LinksUpToDate>
  <CharactersWithSpaces>2494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XURUIRUI</cp:lastModifiedBy>
  <cp:lastPrinted>2024-11-25T07:09:00Z</cp:lastPrinted>
  <dcterms:modified xsi:type="dcterms:W3CDTF">2025-04-14T03:29:03Z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72E87505209F453B8F0FC0BF515F742C_13</vt:lpwstr>
  </property>
  <property fmtid="{D5CDD505-2E9C-101B-9397-08002B2CF9AE}" pid="4" name="KSOTemplateDocerSaveRecord">
    <vt:lpwstr>eyJoZGlkIjoiOWNmNDkyNjQ5MDc3MjlmODU3MDk3NDY3NzBhYWE1ZmEifQ==</vt:lpwstr>
  </property>
</Properties>
</file>