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>2</w:t>
      </w:r>
    </w:p>
    <w:p>
      <w:pPr>
        <w:snapToGrid w:val="0"/>
        <w:jc w:val="center"/>
        <w:rPr>
          <w:rFonts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</w:pPr>
      <w:r>
        <w:rPr>
          <w:rFonts w:hint="eastAsia"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  <w:t>翼城县里砦中心卫生院医养结合中心</w:t>
      </w:r>
    </w:p>
    <w:p>
      <w:pPr>
        <w:snapToGrid w:val="0"/>
        <w:jc w:val="center"/>
        <w:rPr>
          <w:rFonts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</w:pPr>
      <w:r>
        <w:rPr>
          <w:rFonts w:hint="eastAsia"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  <w:t>护理等级及服务内容</w:t>
      </w:r>
    </w:p>
    <w:tbl>
      <w:tblPr>
        <w:tblStyle w:val="4"/>
        <w:tblW w:w="8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5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护理等级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三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理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1.每日打扫房间至少1次；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2.24小时供应开水；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3.不定期翻晒被褥；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4.24小时呼叫服务；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5.每日帮助发送报刊，收发快递；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6.每周组织老人进行安全、健康宣教，提醒老人注意安全、预防传染病、做好慢性病的预防工作等；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7.每周组织老人进行读书沙龙、合唱、手工、舞蹈等文化娱乐活动；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8.每周帮助老人清洗衣服（外衣）；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9.建立传染病感染预防、消毒、隔离等制度；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10.每月清洗床上用品1次；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11.护士每日定时查房、不少于5次/日，做好老人疾病观察，随时与家属沟通老人的情况；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12.医生根据老人身体特殊情况查房；护士每周测量血压、脉搏至少3次，特殊情况遵医嘱执行；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13.疏导老年人不良情绪，做好心理慰藉工作；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14.定期组织老人进行保健交流与讲座，医疗与法律咨询，举行生日联欢会、节日联欢会，志愿者服务等活动；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15.营养配餐，提供糖尿病饮食及病号饭；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16.棋牌室、阅览室、乒乓球室等活动室每日定时开放。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二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理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在三级服务的基础上，增加以下内容：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1.协助老人整理床铺和日常用品；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2.协助老人清洗毛巾、衣服等；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0"/>
                <w:kern w:val="0"/>
                <w:sz w:val="28"/>
                <w:szCs w:val="28"/>
                <w:lang w:bidi="ar"/>
              </w:rPr>
              <w:t>3.每日协助老人泡脚，每周协助老人洗澡，帮助修剪指（趾）甲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4.协助管理老人药品，提醒老人按时、准确服药；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护理等级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二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理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5.帮助有需求的糖尿病老人注射胰岛素；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6.医生根据老人情况查房，若有特殊情况可随时查看。护士每周测量血压1-3次，如老人血压不稳，随时监测；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7.每周帮助老人代购物品1次；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8.每天组织老人集体康复锻炼；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9.提醒、督促老人就餐、集体活动等服务；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10.关注老人心理变化，做好心理慰藉，及时为老人排忧解难，调整情绪。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一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理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1.清洁照料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（1）每日按规范洗脸、洗手、漱口、刷牙、清洁义齿、口腔擦拭等清洁护理；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（2）梳头每日至少2次，洗头、剃须每周1次，修剪指（趾）甲两周1次，理发每月1次；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（3）每日泡脚，每周协助淋浴，每周帮助床上擦浴，视气候情况适时调整时间。每日会阴清洁2次；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（4）协助或帮助老人穿脱衣服，如衣服及床上用品有污染及时更换、清洗，必要时消毒；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（5）老人房间每日使用含氯消毒液浸泡毛巾、墩布进行擦拭，定期紫外线消毒，预防交叉感染。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2.饮食照料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（1）协助老人进水，督促、鼓励老人每日饮水1500-2000ml，促进代谢，预防呛咳；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（2）根据老人情况，提供半流质、流质和鼻饲饮食；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（3）鼻饲饮食的老人，确定鼻饲管在胃内，缓慢灌注，密切观察老人变化，变换体位时预防鼻饲管滑脱。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3.排泄照料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（1）协助如厕，老人在护理员视线范围内，行走时搀扶好老人，预防跌倒；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（2）不能如厕的老人，帮助使用便盆、尿壶，做好防护，避免污染被褥和擦伤老人皮肤；使用一次性纸尿裤的老人，随时查看，及时处理；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  <w:jc w:val="center"/>
        </w:trPr>
        <w:tc>
          <w:tcPr>
            <w:tcW w:w="134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（3）应对老人尿储留时，及时报告，改变体位，按摩、热敷下腹部，诱导排尿，遵医嘱协助导尿等；做好带尿管老人的护理，预防管路滑脱；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护理等级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服务内容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一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理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（4）应对老人便秘，及时报告，轻轻按摩下腹部促进肠蠕动，遵医嘱使用开塞露，必要时协助人工取便或灌肠，缓解老人不适。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4.睡眠照料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（1）提醒老人避免睡前情绪激动、喝浓茶、运动等。帮助关闭门窗、拉起床档、关大灯开夜灯，夜间每1小时巡查1次，做好安全保护，发现异常及时处理；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（2）卧床老人2小时翻身，定时清理大小便，保持床单位干净整洁、无渣屑；带有管道的老人，翻身时做好保护，避免管路滑脱；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（3）针对夜间睡眠差的老人，安抚老人情绪，固定好床档，随时关注老人变化，避免意外发生。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5.鼓励功能活动与锻炼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（1）鼓励并协助老人改变体位，翻身卧位到坐位、坐位到站立位、缓慢行走等，做好安全保护，预防跌倒；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（2）鼓励老人日常生活活动功能锻炼，如洗漱、进食或穿脱衣服等，延缓老人日常生活活动能力下降；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（3）每日2次定时开窗通风；夏季每天带老人外出晒太阳；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（4）每周组织老人进行游戏活动2-3次，如传球、丢沙包、钓鱼等活动；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6.医疗护理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（1）医生定期查房，观察老人慢性病病情变化，应对老人突发疾病，遵医嘱监测生命体征、血氧饱和度、血糖，注射胰岛素，肌肉、静脉注射药物等；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（2）老人药品管理，每日按时摆药，核对监督服药，观察药物副作用，发现异常及时报告并处置；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7.其他服务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（1）老人日常用具、水杯、便器、助行器、轮椅定期清洗，每周消毒1次；餐具每日消毒3次；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（2）配备手摇式护理床；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48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（3）制定照护计划，定期进行护理服务小结；规范进行老年人能力评估工作；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13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特级</w:t>
            </w:r>
          </w:p>
          <w:p>
            <w:pPr>
              <w:snapToGrid w:val="0"/>
              <w:spacing w:line="32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6"/>
                <w:szCs w:val="36"/>
                <w:lang w:bidi="ar"/>
              </w:rPr>
              <w:t>护理</w:t>
            </w:r>
          </w:p>
        </w:tc>
        <w:tc>
          <w:tcPr>
            <w:tcW w:w="7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在做好一级护理服务基础上，增加护理员24小时陪伴服务。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39ccbad7-d5a2-467d-bfce-0308a5ef7cd9"/>
  </w:docVars>
  <w:rsids>
    <w:rsidRoot w:val="76D93471"/>
    <w:rsid w:val="76D9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spacing w:after="0"/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2024-12-13T03:29:00Z</dcterms:created>
  <dc:creator>XURUIRUI</dc:creator>
  <cp:lastModifiedBy>XURUIRUI</cp:lastModifiedBy>
  <dcterms:modified xsi:type="dcterms:W3CDTF">2024-12-13T03:30:27Z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B407490D6AB14800AAE0514FD0BD36A9_11</vt:lpwstr>
  </property>
</Properties>
</file>