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Times New Roman" w:hAnsi="Times New Roman" w:eastAsia="楷体_GB2312" w:cs="Times New Roman"/>
          <w:color w:val="auto"/>
          <w:sz w:val="36"/>
          <w:szCs w:val="36"/>
          <w:highlight w:val="none"/>
          <w:lang w:eastAsia="zh-CN"/>
        </w:rPr>
        <w:sectPr>
          <w:headerReference r:id="rId3" w:type="default"/>
          <w:footerReference r:id="rId4" w:type="default"/>
          <w:pgSz w:w="11906" w:h="16838"/>
          <w:pgMar w:top="1701" w:right="1531" w:bottom="1701" w:left="1531" w:header="851" w:footer="1134" w:gutter="0"/>
          <w:pgBorders>
            <w:top w:val="none" w:sz="0" w:space="0"/>
            <w:left w:val="none" w:sz="0" w:space="0"/>
            <w:bottom w:val="none" w:sz="0" w:space="0"/>
            <w:right w:val="none" w:sz="0" w:space="0"/>
          </w:pgBorders>
          <w:pgNumType w:fmt="decimal" w:start="1"/>
          <w:cols w:space="720" w:num="1"/>
          <w:docGrid w:linePitch="312" w:charSpace="0"/>
        </w:sectPr>
      </w:pPr>
      <w:r>
        <w:drawing>
          <wp:anchor distT="0" distB="0" distL="114300" distR="114300" simplePos="0" relativeHeight="251669504" behindDoc="1" locked="0" layoutInCell="1" allowOverlap="1">
            <wp:simplePos x="0" y="0"/>
            <wp:positionH relativeFrom="column">
              <wp:posOffset>-451485</wp:posOffset>
            </wp:positionH>
            <wp:positionV relativeFrom="paragraph">
              <wp:posOffset>-868045</wp:posOffset>
            </wp:positionV>
            <wp:extent cx="6523990" cy="10226040"/>
            <wp:effectExtent l="0" t="0" r="10160" b="3810"/>
            <wp:wrapNone/>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12"/>
                    <a:stretch>
                      <a:fillRect/>
                    </a:stretch>
                  </pic:blipFill>
                  <pic:spPr>
                    <a:xfrm>
                      <a:off x="0" y="0"/>
                      <a:ext cx="6523990" cy="10226040"/>
                    </a:xfrm>
                    <a:prstGeom prst="rect">
                      <a:avLst/>
                    </a:prstGeom>
                    <a:noFill/>
                    <a:ln>
                      <a:noFill/>
                    </a:ln>
                  </pic:spPr>
                </pic:pic>
              </a:graphicData>
            </a:graphic>
          </wp:anchor>
        </w:drawing>
      </w:r>
    </w:p>
    <w:p>
      <w:pPr>
        <w:pStyle w:val="33"/>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line="460" w:lineRule="exact"/>
        <w:ind w:left="0" w:leftChars="0" w:right="0" w:rightChars="0" w:firstLine="0" w:firstLineChars="0"/>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一、建设项目基本情况</w:t>
      </w:r>
    </w:p>
    <w:tbl>
      <w:tblPr>
        <w:tblStyle w:val="38"/>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06"/>
        <w:gridCol w:w="2556"/>
        <w:gridCol w:w="1669"/>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06" w:type="dxa"/>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建设项目名称</w:t>
            </w:r>
          </w:p>
        </w:tc>
        <w:tc>
          <w:tcPr>
            <w:tcW w:w="686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yellow"/>
                <w:lang w:eastAsia="zh-CN"/>
              </w:rPr>
            </w:pPr>
            <w:r>
              <w:rPr>
                <w:rFonts w:hint="eastAsia" w:ascii="Times New Roman" w:cs="Times New Roman"/>
                <w:color w:val="auto"/>
                <w:sz w:val="21"/>
                <w:szCs w:val="21"/>
                <w:highlight w:val="none"/>
                <w:lang w:val="en-US" w:eastAsia="zh-CN"/>
              </w:rPr>
              <w:t>翼城县慧洁洗衣店二部年洗涤8万套布草建设项目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06" w:type="dxa"/>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项目代码</w:t>
            </w:r>
          </w:p>
        </w:tc>
        <w:tc>
          <w:tcPr>
            <w:tcW w:w="6864" w:type="dxa"/>
            <w:gridSpan w:val="3"/>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yellow"/>
                <w:lang w:val="en-US" w:eastAsia="zh-CN"/>
              </w:rPr>
            </w:pPr>
            <w:r>
              <w:rPr>
                <w:rFonts w:hint="eastAsia" w:ascii="Times New Roman" w:cs="Times New Roman"/>
                <w:color w:val="auto"/>
                <w:sz w:val="21"/>
                <w:szCs w:val="21"/>
                <w:highlight w:val="none"/>
                <w:lang w:val="en-US" w:eastAsia="zh-CN"/>
              </w:rPr>
              <w:t>2409-141022-89-01-233529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06" w:type="dxa"/>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建设单位联系人</w:t>
            </w:r>
          </w:p>
        </w:tc>
        <w:tc>
          <w:tcPr>
            <w:tcW w:w="2556"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程志红</w:t>
            </w:r>
          </w:p>
        </w:tc>
        <w:tc>
          <w:tcPr>
            <w:tcW w:w="1669"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联系方式</w:t>
            </w:r>
          </w:p>
        </w:tc>
        <w:tc>
          <w:tcPr>
            <w:tcW w:w="2639"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06" w:type="dxa"/>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建设地点</w:t>
            </w:r>
          </w:p>
        </w:tc>
        <w:tc>
          <w:tcPr>
            <w:tcW w:w="6864" w:type="dxa"/>
            <w:gridSpan w:val="3"/>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green"/>
                <w:lang w:val="en-US" w:eastAsia="zh-CN"/>
              </w:rPr>
            </w:pPr>
            <w:r>
              <w:rPr>
                <w:rFonts w:hint="eastAsia" w:ascii="Times New Roman" w:cs="Times New Roman"/>
                <w:color w:val="auto"/>
                <w:spacing w:val="0"/>
                <w:kern w:val="2"/>
                <w:sz w:val="21"/>
                <w:szCs w:val="21"/>
                <w:highlight w:val="none"/>
                <w:lang w:val="en-US" w:eastAsia="zh-CN" w:bidi="ar-SA"/>
              </w:rPr>
              <w:t>翼城县唐兴镇谭村东168m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06" w:type="dxa"/>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地理坐标</w:t>
            </w:r>
          </w:p>
        </w:tc>
        <w:tc>
          <w:tcPr>
            <w:tcW w:w="6864" w:type="dxa"/>
            <w:gridSpan w:val="3"/>
            <w:vAlign w:val="center"/>
          </w:tcPr>
          <w:p>
            <w:pPr>
              <w:keepNext w:val="0"/>
              <w:keepLines w:val="0"/>
              <w:pageBreakBefore w:val="0"/>
              <w:widowControl w:val="0"/>
              <w:kinsoku/>
              <w:wordWrap/>
              <w:overflowPunct/>
              <w:topLinePunct w:val="0"/>
              <w:bidi w:val="0"/>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gree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006" w:type="dxa"/>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国民经济</w:t>
            </w:r>
          </w:p>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行业类别</w:t>
            </w:r>
          </w:p>
        </w:tc>
        <w:tc>
          <w:tcPr>
            <w:tcW w:w="2556"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lang w:val="en-US" w:eastAsia="zh-CN"/>
              </w:rPr>
            </w:pPr>
            <w:r>
              <w:rPr>
                <w:rFonts w:hint="default" w:ascii="Times New Roman" w:hAnsi="Times New Roman" w:cs="Times New Roman"/>
                <w:color w:val="auto"/>
                <w:sz w:val="21"/>
                <w:szCs w:val="21"/>
                <w:highlight w:val="none"/>
                <w:lang w:val="en-US" w:eastAsia="zh-CN"/>
              </w:rPr>
              <w:t>D4430热力生产和供应、O8219 其他清洁服务</w:t>
            </w:r>
          </w:p>
        </w:tc>
        <w:tc>
          <w:tcPr>
            <w:tcW w:w="1669"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bookmarkStart w:id="0" w:name="_Hlk49843745"/>
            <w:r>
              <w:rPr>
                <w:rFonts w:hint="default" w:ascii="Times New Roman" w:hAnsi="Times New Roman" w:cs="Times New Roman"/>
                <w:color w:val="auto"/>
                <w:sz w:val="21"/>
                <w:szCs w:val="21"/>
                <w:highlight w:val="none"/>
              </w:rPr>
              <w:t>建设项目</w:t>
            </w:r>
          </w:p>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行业类别</w:t>
            </w:r>
            <w:bookmarkEnd w:id="0"/>
          </w:p>
        </w:tc>
        <w:tc>
          <w:tcPr>
            <w:tcW w:w="2639"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四十一、电力、热力生产和供应业</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91热力生产和供应工程</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使用其他高污染燃料的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006" w:type="dxa"/>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建设性质</w:t>
            </w:r>
          </w:p>
        </w:tc>
        <w:tc>
          <w:tcPr>
            <w:tcW w:w="2556" w:type="dxa"/>
            <w:vAlign w:val="center"/>
          </w:tcPr>
          <w:p>
            <w:pPr>
              <w:keepNext w:val="0"/>
              <w:keepLines w:val="0"/>
              <w:pageBreakBefore w:val="0"/>
              <w:widowControl w:val="0"/>
              <w:kinsoku/>
              <w:wordWrap/>
              <w:overflowPunct/>
              <w:topLinePunct w:val="0"/>
              <w:bidi w:val="0"/>
              <w:spacing w:line="360" w:lineRule="exact"/>
              <w:ind w:left="0" w:leftChars="0" w:right="0" w:rightChars="0" w:firstLine="0" w:firstLineChars="0"/>
              <w:jc w:val="left"/>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w:char="00FE"/>
            </w:r>
            <w:r>
              <w:rPr>
                <w:rFonts w:hint="default" w:ascii="Times New Roman" w:hAnsi="Times New Roman" w:cs="Times New Roman"/>
                <w:color w:val="auto"/>
                <w:sz w:val="21"/>
                <w:szCs w:val="21"/>
                <w:highlight w:val="none"/>
              </w:rPr>
              <w:t>新建（迁建）</w:t>
            </w:r>
          </w:p>
          <w:p>
            <w:pPr>
              <w:keepNext w:val="0"/>
              <w:keepLines w:val="0"/>
              <w:pageBreakBefore w:val="0"/>
              <w:widowControl w:val="0"/>
              <w:kinsoku/>
              <w:wordWrap/>
              <w:overflowPunct/>
              <w:topLinePunct w:val="0"/>
              <w:bidi w:val="0"/>
              <w:spacing w:line="360" w:lineRule="exact"/>
              <w:ind w:left="0" w:leftChars="0" w:right="0" w:rightChars="0" w:firstLine="0" w:firstLineChars="0"/>
              <w:jc w:val="left"/>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改建</w:t>
            </w:r>
          </w:p>
          <w:p>
            <w:pPr>
              <w:keepNext w:val="0"/>
              <w:keepLines w:val="0"/>
              <w:pageBreakBefore w:val="0"/>
              <w:widowControl w:val="0"/>
              <w:kinsoku/>
              <w:wordWrap/>
              <w:overflowPunct/>
              <w:topLinePunct w:val="0"/>
              <w:bidi w:val="0"/>
              <w:spacing w:line="360" w:lineRule="exact"/>
              <w:ind w:left="0" w:leftChars="0" w:right="0" w:rightChars="0" w:firstLine="0" w:firstLineChars="0"/>
              <w:jc w:val="left"/>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扩建</w:t>
            </w:r>
          </w:p>
          <w:p>
            <w:pPr>
              <w:keepNext w:val="0"/>
              <w:keepLines w:val="0"/>
              <w:pageBreakBefore w:val="0"/>
              <w:widowControl w:val="0"/>
              <w:kinsoku/>
              <w:wordWrap/>
              <w:overflowPunct/>
              <w:topLinePunct w:val="0"/>
              <w:bidi w:val="0"/>
              <w:spacing w:line="360" w:lineRule="exact"/>
              <w:ind w:left="0" w:leftChars="0" w:right="0" w:rightChars="0" w:firstLine="0" w:firstLineChars="0"/>
              <w:jc w:val="left"/>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技术改造</w:t>
            </w:r>
          </w:p>
        </w:tc>
        <w:tc>
          <w:tcPr>
            <w:tcW w:w="1669"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建设项目</w:t>
            </w:r>
          </w:p>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申报情形</w:t>
            </w:r>
          </w:p>
        </w:tc>
        <w:tc>
          <w:tcPr>
            <w:tcW w:w="2639" w:type="dxa"/>
            <w:vAlign w:val="center"/>
          </w:tcPr>
          <w:p>
            <w:pPr>
              <w:keepNext w:val="0"/>
              <w:keepLines w:val="0"/>
              <w:pageBreakBefore w:val="0"/>
              <w:widowControl w:val="0"/>
              <w:kinsoku/>
              <w:wordWrap/>
              <w:overflowPunct/>
              <w:topLinePunct w:val="0"/>
              <w:bidi w:val="0"/>
              <w:spacing w:line="360" w:lineRule="exact"/>
              <w:ind w:left="0" w:leftChars="0" w:right="0" w:rightChars="0" w:firstLine="0" w:firstLineChars="0"/>
              <w:jc w:val="left"/>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sym w:font="Wingdings" w:char="00FE"/>
            </w:r>
            <w:r>
              <w:rPr>
                <w:rFonts w:hint="default" w:ascii="Times New Roman" w:hAnsi="Times New Roman" w:cs="Times New Roman"/>
                <w:color w:val="auto"/>
                <w:sz w:val="21"/>
                <w:szCs w:val="21"/>
                <w:highlight w:val="none"/>
              </w:rPr>
              <w:t xml:space="preserve">首次申报项目             </w:t>
            </w:r>
          </w:p>
          <w:p>
            <w:pPr>
              <w:keepNext w:val="0"/>
              <w:keepLines w:val="0"/>
              <w:pageBreakBefore w:val="0"/>
              <w:widowControl w:val="0"/>
              <w:kinsoku/>
              <w:wordWrap/>
              <w:overflowPunct/>
              <w:topLinePunct w:val="0"/>
              <w:bidi w:val="0"/>
              <w:spacing w:line="360" w:lineRule="exact"/>
              <w:ind w:left="0" w:leftChars="0" w:right="0" w:rightChars="0" w:firstLine="0" w:firstLineChars="0"/>
              <w:jc w:val="left"/>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不予批准后再次申报项目</w:t>
            </w:r>
          </w:p>
          <w:p>
            <w:pPr>
              <w:keepNext w:val="0"/>
              <w:keepLines w:val="0"/>
              <w:pageBreakBefore w:val="0"/>
              <w:widowControl w:val="0"/>
              <w:kinsoku/>
              <w:wordWrap/>
              <w:overflowPunct/>
              <w:topLinePunct w:val="0"/>
              <w:bidi w:val="0"/>
              <w:spacing w:line="360" w:lineRule="exact"/>
              <w:ind w:left="0" w:leftChars="0" w:right="0" w:rightChars="0" w:firstLine="0" w:firstLineChars="0"/>
              <w:jc w:val="left"/>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 xml:space="preserve">超五年重新审核项目     </w:t>
            </w:r>
          </w:p>
          <w:p>
            <w:pPr>
              <w:keepNext w:val="0"/>
              <w:keepLines w:val="0"/>
              <w:pageBreakBefore w:val="0"/>
              <w:widowControl w:val="0"/>
              <w:kinsoku/>
              <w:wordWrap/>
              <w:overflowPunct/>
              <w:topLinePunct w:val="0"/>
              <w:bidi w:val="0"/>
              <w:spacing w:line="360" w:lineRule="exact"/>
              <w:ind w:left="0" w:leftChars="0" w:right="0" w:rightChars="0" w:firstLine="0" w:firstLineChars="0"/>
              <w:jc w:val="left"/>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006" w:type="dxa"/>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项目审批（核准/</w:t>
            </w:r>
          </w:p>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备案）部门（选填）</w:t>
            </w:r>
          </w:p>
        </w:tc>
        <w:tc>
          <w:tcPr>
            <w:tcW w:w="2556"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翼城县行政审批服务管理局</w:t>
            </w:r>
          </w:p>
        </w:tc>
        <w:tc>
          <w:tcPr>
            <w:tcW w:w="1669"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项目审批（核准/</w:t>
            </w:r>
          </w:p>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备案）文号（选填）</w:t>
            </w:r>
          </w:p>
        </w:tc>
        <w:tc>
          <w:tcPr>
            <w:tcW w:w="2639"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06" w:type="dxa"/>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总投资（万元）</w:t>
            </w:r>
          </w:p>
        </w:tc>
        <w:tc>
          <w:tcPr>
            <w:tcW w:w="2556"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eastAsia" w:asci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0</w:t>
            </w:r>
          </w:p>
        </w:tc>
        <w:tc>
          <w:tcPr>
            <w:tcW w:w="1669" w:type="dxa"/>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环保投资（万元）</w:t>
            </w:r>
          </w:p>
        </w:tc>
        <w:tc>
          <w:tcPr>
            <w:tcW w:w="2639"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06" w:type="dxa"/>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环保投资占比（%）</w:t>
            </w:r>
          </w:p>
        </w:tc>
        <w:tc>
          <w:tcPr>
            <w:tcW w:w="2556"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29.17</w:t>
            </w:r>
          </w:p>
        </w:tc>
        <w:tc>
          <w:tcPr>
            <w:tcW w:w="1669" w:type="dxa"/>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施工工期</w:t>
            </w:r>
          </w:p>
        </w:tc>
        <w:tc>
          <w:tcPr>
            <w:tcW w:w="2639"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2006" w:type="dxa"/>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是否开工建设</w:t>
            </w:r>
          </w:p>
        </w:tc>
        <w:tc>
          <w:tcPr>
            <w:tcW w:w="2556"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否</w:t>
            </w:r>
          </w:p>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textAlignment w:val="auto"/>
              <w:outlineLvl w:val="9"/>
              <w:rPr>
                <w:rFonts w:hint="default" w:ascii="Times New Roman" w:hAnsi="Times New Roman" w:cs="Times New Roman"/>
                <w:color w:val="auto"/>
                <w:sz w:val="21"/>
                <w:szCs w:val="21"/>
                <w:highlight w:val="none"/>
              </w:rPr>
            </w:pPr>
            <w:r>
              <w:rPr>
                <w:rFonts w:hint="eastAsia" w:asci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是：</w:t>
            </w:r>
            <w:r>
              <w:rPr>
                <w:rFonts w:hint="eastAsia" w:ascii="Times New Roman" w:cs="Times New Roman"/>
                <w:color w:val="auto"/>
                <w:sz w:val="21"/>
                <w:szCs w:val="21"/>
                <w:highlight w:val="none"/>
                <w:u w:val="single"/>
                <w:lang w:val="en-US" w:eastAsia="zh-CN"/>
              </w:rPr>
              <w:t>本项目2018年5月已建设完成，2018年9月18日履行相关行政处罚决定（见附件）</w:t>
            </w:r>
            <w:r>
              <w:rPr>
                <w:rFonts w:hint="default" w:ascii="Times New Roman" w:hAnsi="Times New Roman" w:cs="Times New Roman"/>
                <w:color w:val="auto"/>
                <w:sz w:val="21"/>
                <w:szCs w:val="21"/>
                <w:highlight w:val="none"/>
                <w:u w:val="single"/>
              </w:rPr>
              <w:t xml:space="preserve">          </w:t>
            </w:r>
          </w:p>
        </w:tc>
        <w:tc>
          <w:tcPr>
            <w:tcW w:w="1669" w:type="dxa"/>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color w:val="auto"/>
                <w:spacing w:val="-6"/>
                <w:sz w:val="21"/>
                <w:szCs w:val="21"/>
                <w:highlight w:val="none"/>
              </w:rPr>
            </w:pPr>
            <w:r>
              <w:rPr>
                <w:rFonts w:hint="default" w:ascii="Times New Roman" w:hAnsi="Times New Roman" w:cs="Times New Roman"/>
                <w:color w:val="auto"/>
                <w:spacing w:val="-6"/>
                <w:sz w:val="21"/>
                <w:szCs w:val="21"/>
                <w:highlight w:val="none"/>
              </w:rPr>
              <w:t>用地（用海）</w:t>
            </w:r>
          </w:p>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面积（m</w:t>
            </w:r>
            <w:r>
              <w:rPr>
                <w:rFonts w:hint="default" w:ascii="Times New Roman" w:hAnsi="Times New Roman" w:cs="Times New Roman"/>
                <w:color w:val="auto"/>
                <w:spacing w:val="-6"/>
                <w:sz w:val="21"/>
                <w:szCs w:val="21"/>
                <w:highlight w:val="none"/>
                <w:vertAlign w:val="superscript"/>
              </w:rPr>
              <w:t>2</w:t>
            </w:r>
            <w:r>
              <w:rPr>
                <w:rFonts w:hint="default" w:ascii="Times New Roman" w:hAnsi="Times New Roman" w:cs="Times New Roman"/>
                <w:color w:val="auto"/>
                <w:spacing w:val="-6"/>
                <w:sz w:val="21"/>
                <w:szCs w:val="21"/>
                <w:highlight w:val="none"/>
              </w:rPr>
              <w:t>）</w:t>
            </w:r>
          </w:p>
        </w:tc>
        <w:tc>
          <w:tcPr>
            <w:tcW w:w="2639"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2507.5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2006"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专项评价设置情况</w:t>
            </w:r>
          </w:p>
        </w:tc>
        <w:tc>
          <w:tcPr>
            <w:tcW w:w="6864" w:type="dxa"/>
            <w:gridSpan w:val="3"/>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both"/>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kern w:val="0"/>
                <w:sz w:val="21"/>
                <w:szCs w:val="21"/>
                <w:highlight w:val="none"/>
                <w:lang w:val="en-US" w:eastAsia="zh-CN"/>
              </w:rPr>
              <w:t>本项目</w:t>
            </w:r>
            <w:r>
              <w:rPr>
                <w:rFonts w:hint="default" w:ascii="Times New Roman" w:hAnsi="Times New Roman" w:eastAsia="宋体" w:cs="Times New Roman"/>
                <w:color w:val="auto"/>
                <w:kern w:val="0"/>
                <w:sz w:val="21"/>
                <w:szCs w:val="21"/>
                <w:highlight w:val="none"/>
                <w:lang w:val="en-US" w:eastAsia="zh-CN"/>
              </w:rPr>
              <w:t>位于</w:t>
            </w:r>
            <w:r>
              <w:rPr>
                <w:rFonts w:hint="eastAsia" w:ascii="Times New Roman" w:cs="Times New Roman"/>
                <w:color w:val="auto"/>
                <w:spacing w:val="0"/>
                <w:kern w:val="2"/>
                <w:sz w:val="21"/>
                <w:szCs w:val="21"/>
                <w:highlight w:val="none"/>
                <w:lang w:val="en-US" w:eastAsia="zh-CN" w:bidi="ar-SA"/>
              </w:rPr>
              <w:t>翼城县唐兴镇谭村东168m</w:t>
            </w:r>
            <w:r>
              <w:rPr>
                <w:rFonts w:hint="default" w:ascii="Times New Roman" w:hAnsi="Times New Roman" w:eastAsia="宋体" w:cs="Times New Roman"/>
                <w:color w:val="auto"/>
                <w:kern w:val="0"/>
                <w:sz w:val="21"/>
                <w:szCs w:val="21"/>
                <w:highlight w:val="none"/>
                <w:lang w:val="en-US" w:eastAsia="zh-CN"/>
              </w:rPr>
              <w:t>，生物质锅炉排放废气中含有汞，根据《建设项目环境影响报告表编制技术指南（污染影响类）（试行）》，本次评价设大气专题。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2006"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规划情况</w:t>
            </w:r>
          </w:p>
        </w:tc>
        <w:tc>
          <w:tcPr>
            <w:tcW w:w="6864" w:type="dxa"/>
            <w:gridSpan w:val="3"/>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06"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规划环境影响</w:t>
            </w:r>
          </w:p>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评价情况</w:t>
            </w:r>
          </w:p>
        </w:tc>
        <w:tc>
          <w:tcPr>
            <w:tcW w:w="6864" w:type="dxa"/>
            <w:gridSpan w:val="3"/>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2006" w:type="dxa"/>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规划及规划环境影响评价符合性分析</w:t>
            </w:r>
          </w:p>
        </w:tc>
        <w:tc>
          <w:tcPr>
            <w:tcW w:w="6864" w:type="dxa"/>
            <w:gridSpan w:val="3"/>
            <w:vAlign w:val="center"/>
          </w:tcPr>
          <w:p>
            <w:pPr>
              <w:keepNext w:val="0"/>
              <w:keepLines w:val="0"/>
              <w:pageBreakBefore w:val="0"/>
              <w:widowControl w:val="0"/>
              <w:kinsoku/>
              <w:wordWrap/>
              <w:overflowPunct/>
              <w:topLinePunct w:val="0"/>
              <w:bidi w:val="0"/>
              <w:adjustRightInd w:val="0"/>
              <w:snapToGrid w:val="0"/>
              <w:spacing w:line="36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黑体" w:cs="Times New Roman"/>
          <w:color w:val="auto"/>
          <w:sz w:val="30"/>
          <w:highlight w:val="yellow"/>
        </w:rPr>
        <w:sectPr>
          <w:footerReference r:id="rId5" w:type="default"/>
          <w:pgSz w:w="11906" w:h="16838"/>
          <w:pgMar w:top="1531" w:right="1531" w:bottom="1531" w:left="1531" w:header="850" w:footer="850" w:gutter="0"/>
          <w:pgBorders>
            <w:top w:val="none" w:sz="0" w:space="0"/>
            <w:left w:val="none" w:sz="0" w:space="0"/>
            <w:bottom w:val="none" w:sz="0" w:space="0"/>
            <w:right w:val="none" w:sz="0" w:space="0"/>
          </w:pgBorders>
          <w:pgNumType w:fmt="decimal" w:start="1"/>
          <w:cols w:space="720" w:num="1"/>
          <w:rtlGutter w:val="0"/>
          <w:docGrid w:linePitch="312" w:charSpace="0"/>
        </w:sectPr>
      </w:pPr>
    </w:p>
    <w:tbl>
      <w:tblPr>
        <w:tblStyle w:val="38"/>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0"/>
        <w:gridCol w:w="81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30" w:type="dxa"/>
            <w:vAlign w:val="center"/>
          </w:tcPr>
          <w:p>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szCs w:val="24"/>
              </w:rPr>
              <w:t>其他符合性分析</w:t>
            </w:r>
          </w:p>
        </w:tc>
        <w:tc>
          <w:tcPr>
            <w:tcW w:w="8140" w:type="dxa"/>
            <w:vAlign w:val="center"/>
          </w:tcPr>
          <w:p>
            <w:pPr>
              <w:pStyle w:val="89"/>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outlineLvl w:val="9"/>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1、产业政策符合性分析</w:t>
            </w:r>
          </w:p>
          <w:p>
            <w:pPr>
              <w:pStyle w:val="86"/>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imes New Roman" w:cs="Times New Roman"/>
                <w:b w:val="0"/>
                <w:bCs w:val="0"/>
                <w:sz w:val="24"/>
                <w:szCs w:val="24"/>
                <w:highlight w:val="none"/>
                <w:lang w:eastAsia="zh-CN"/>
              </w:rPr>
            </w:pPr>
            <w:r>
              <w:rPr>
                <w:rFonts w:hint="eastAsia" w:ascii="Times New Roman" w:cs="Times New Roman"/>
                <w:b w:val="0"/>
                <w:bCs w:val="0"/>
                <w:sz w:val="24"/>
                <w:szCs w:val="24"/>
                <w:highlight w:val="none"/>
                <w:lang w:val="en-US" w:eastAsia="zh-CN"/>
              </w:rPr>
              <w:t>根据</w:t>
            </w:r>
            <w:r>
              <w:rPr>
                <w:rFonts w:hint="default" w:ascii="Times New Roman" w:hAnsi="Times New Roman" w:cs="Times New Roman"/>
                <w:b w:val="0"/>
                <w:bCs w:val="0"/>
                <w:sz w:val="24"/>
                <w:szCs w:val="24"/>
                <w:highlight w:val="none"/>
              </w:rPr>
              <w:t>《产业结构调整指导目录（2024年本）》</w:t>
            </w:r>
            <w:r>
              <w:rPr>
                <w:rFonts w:hint="eastAsia" w:ascii="Times New Roman" w:cs="Times New Roman"/>
                <w:b w:val="0"/>
                <w:bCs w:val="0"/>
                <w:sz w:val="24"/>
                <w:szCs w:val="24"/>
                <w:highlight w:val="none"/>
                <w:lang w:eastAsia="zh-CN"/>
              </w:rPr>
              <w:t>，</w:t>
            </w:r>
            <w:r>
              <w:rPr>
                <w:rFonts w:hint="default" w:ascii="Times New Roman" w:hAnsi="Times New Roman" w:cs="Times New Roman"/>
                <w:b w:val="0"/>
                <w:bCs w:val="0"/>
                <w:sz w:val="24"/>
                <w:szCs w:val="24"/>
                <w:highlight w:val="none"/>
              </w:rPr>
              <w:t>本项目不属于每小时35蒸吨及以下固定炉排式生物质锅炉</w:t>
            </w:r>
            <w:r>
              <w:rPr>
                <w:rFonts w:hint="eastAsia" w:ascii="Times New Roman" w:cs="Times New Roman"/>
                <w:b w:val="0"/>
                <w:bCs w:val="0"/>
                <w:sz w:val="24"/>
                <w:szCs w:val="24"/>
                <w:highlight w:val="none"/>
                <w:lang w:eastAsia="zh-CN"/>
              </w:rPr>
              <w:t>（</w:t>
            </w:r>
            <w:r>
              <w:rPr>
                <w:rFonts w:hint="eastAsia" w:ascii="Times New Roman" w:cs="Times New Roman"/>
                <w:b w:val="0"/>
                <w:bCs w:val="0"/>
                <w:sz w:val="24"/>
                <w:szCs w:val="24"/>
                <w:highlight w:val="none"/>
                <w:lang w:val="en-US" w:eastAsia="zh-CN"/>
              </w:rPr>
              <w:t>限制类</w:t>
            </w:r>
            <w:r>
              <w:rPr>
                <w:rFonts w:hint="eastAsia" w:ascii="Times New Roman" w:cs="Times New Roman"/>
                <w:b w:val="0"/>
                <w:bCs w:val="0"/>
                <w:sz w:val="24"/>
                <w:szCs w:val="24"/>
                <w:highlight w:val="none"/>
                <w:lang w:eastAsia="zh-CN"/>
              </w:rPr>
              <w:t>），</w:t>
            </w:r>
            <w:r>
              <w:rPr>
                <w:rFonts w:hint="eastAsia" w:ascii="Times New Roman" w:cs="Times New Roman"/>
                <w:b w:val="0"/>
                <w:bCs w:val="0"/>
                <w:sz w:val="24"/>
                <w:szCs w:val="24"/>
                <w:highlight w:val="none"/>
                <w:lang w:val="en-US" w:eastAsia="zh-CN"/>
              </w:rPr>
              <w:t>也不属于每小时 2 蒸吨及以下生物质锅炉（淘汰类），</w:t>
            </w:r>
            <w:r>
              <w:rPr>
                <w:rFonts w:hint="default" w:ascii="Times New Roman" w:hAnsi="Times New Roman" w:cs="Times New Roman"/>
                <w:b w:val="0"/>
                <w:bCs w:val="0"/>
                <w:sz w:val="24"/>
                <w:szCs w:val="24"/>
                <w:highlight w:val="none"/>
              </w:rPr>
              <w:t>本项目属于允许类项目</w:t>
            </w:r>
            <w:r>
              <w:rPr>
                <w:rFonts w:hint="eastAsia" w:ascii="Times New Roman" w:cs="Times New Roman"/>
                <w:b w:val="0"/>
                <w:bCs w:val="0"/>
                <w:sz w:val="24"/>
                <w:szCs w:val="24"/>
                <w:highlight w:val="none"/>
                <w:lang w:eastAsia="zh-CN"/>
              </w:rPr>
              <w:t>。</w:t>
            </w:r>
            <w:r>
              <w:rPr>
                <w:rFonts w:hint="eastAsia" w:ascii="Times New Roman" w:cs="Times New Roman"/>
                <w:b w:val="0"/>
                <w:bCs w:val="0"/>
                <w:sz w:val="24"/>
                <w:szCs w:val="24"/>
                <w:highlight w:val="none"/>
                <w:lang w:val="en-US" w:eastAsia="zh-CN"/>
              </w:rPr>
              <w:t>2024年9月27日，翼城县行政审批服务管理局</w:t>
            </w:r>
            <w:r>
              <w:rPr>
                <w:rFonts w:hint="eastAsia" w:ascii="Times New Roman" w:cs="Times New Roman"/>
                <w:b w:val="0"/>
                <w:bCs w:val="0"/>
                <w:sz w:val="24"/>
                <w:szCs w:val="24"/>
                <w:highlight w:val="none"/>
                <w:lang w:eastAsia="zh-CN"/>
              </w:rPr>
              <w:t>对该项目进行了备案，项目代码为：</w:t>
            </w:r>
            <w:r>
              <w:rPr>
                <w:rFonts w:hint="eastAsia" w:ascii="Times New Roman" w:cs="Times New Roman"/>
                <w:b w:val="0"/>
                <w:bCs w:val="0"/>
                <w:sz w:val="24"/>
                <w:szCs w:val="24"/>
                <w:highlight w:val="none"/>
                <w:lang w:val="en-US" w:eastAsia="zh-CN"/>
              </w:rPr>
              <w:t>2409-141022-89-01-233529</w:t>
            </w:r>
            <w:r>
              <w:rPr>
                <w:rFonts w:hint="eastAsia" w:ascii="Times New Roman" w:cs="Times New Roman"/>
                <w:b w:val="0"/>
                <w:bCs w:val="0"/>
                <w:sz w:val="24"/>
                <w:szCs w:val="24"/>
                <w:highlight w:val="none"/>
                <w:lang w:eastAsia="zh-CN"/>
              </w:rPr>
              <w:t>。</w:t>
            </w:r>
          </w:p>
          <w:p>
            <w:pPr>
              <w:pStyle w:val="86"/>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ascii="Times New Roman" w:cs="Times New Roman"/>
                <w:b w:val="0"/>
                <w:bCs w:val="0"/>
                <w:sz w:val="24"/>
                <w:szCs w:val="24"/>
                <w:highlight w:val="none"/>
                <w:lang w:eastAsia="zh-CN"/>
              </w:rPr>
            </w:pPr>
            <w:r>
              <w:rPr>
                <w:rFonts w:hint="eastAsia" w:ascii="Times New Roman" w:cs="Times New Roman"/>
                <w:b w:val="0"/>
                <w:bCs w:val="0"/>
                <w:sz w:val="24"/>
                <w:szCs w:val="24"/>
                <w:highlight w:val="none"/>
                <w:lang w:eastAsia="zh-CN"/>
              </w:rPr>
              <w:t>因此，本项目的建设符合国家产业政策。</w:t>
            </w:r>
          </w:p>
          <w:p>
            <w:pPr>
              <w:pStyle w:val="86"/>
              <w:keepNext w:val="0"/>
              <w:keepLines w:val="0"/>
              <w:pageBreakBefore w:val="0"/>
              <w:kinsoku/>
              <w:wordWrap/>
              <w:overflowPunct/>
              <w:topLinePunct w:val="0"/>
              <w:autoSpaceDE/>
              <w:autoSpaceDN/>
              <w:bidi w:val="0"/>
              <w:adjustRightInd w:val="0"/>
              <w:snapToGrid w:val="0"/>
              <w:spacing w:line="360" w:lineRule="auto"/>
              <w:ind w:left="0" w:leftChars="0" w:right="0" w:rightChars="0" w:firstLine="482" w:firstLineChars="200"/>
              <w:textAlignment w:val="auto"/>
              <w:outlineLvl w:val="9"/>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rPr>
              <w:t>“三线一单”符合性分析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根据</w:t>
            </w:r>
            <w:r>
              <w:rPr>
                <w:rFonts w:hint="default" w:ascii="Times New Roman" w:hAnsi="Times New Roman" w:cs="Times New Roman"/>
                <w:color w:val="auto"/>
                <w:kern w:val="0"/>
                <w:sz w:val="24"/>
                <w:szCs w:val="24"/>
                <w:highlight w:val="none"/>
                <w:lang w:val="en-US" w:eastAsia="zh-CN" w:bidi="ar"/>
              </w:rPr>
              <w:t>原</w:t>
            </w:r>
            <w:r>
              <w:rPr>
                <w:rFonts w:hint="default" w:ascii="Times New Roman" w:hAnsi="Times New Roman" w:eastAsia="宋体" w:cs="Times New Roman"/>
                <w:color w:val="auto"/>
                <w:kern w:val="0"/>
                <w:sz w:val="24"/>
                <w:szCs w:val="24"/>
                <w:highlight w:val="none"/>
                <w:lang w:val="en-US" w:eastAsia="zh-CN" w:bidi="ar"/>
              </w:rPr>
              <w:t>环保部颁布的《关于以改善环境质量为核心加强环境影响评价管理的通知》要求，全面加强环境影响评价管理，落实“生态保护红线、环境质量底线、资源利用上线和环境准入负面清单”约束。本项目与“三线一单”的符合性如下：</w:t>
            </w:r>
          </w:p>
          <w:p>
            <w:pPr>
              <w:pStyle w:val="89"/>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生态保护红线</w:t>
            </w:r>
          </w:p>
          <w:p>
            <w:pPr>
              <w:keepNext w:val="0"/>
              <w:keepLines w:val="0"/>
              <w:pageBreakBefore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outlineLvl w:val="9"/>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项目建设地点位于</w:t>
            </w:r>
            <w:r>
              <w:rPr>
                <w:rFonts w:hint="eastAsia" w:ascii="Times New Roman" w:cs="Times New Roman"/>
                <w:color w:val="auto"/>
                <w:kern w:val="0"/>
                <w:sz w:val="24"/>
                <w:highlight w:val="none"/>
                <w:lang w:eastAsia="zh-CN"/>
              </w:rPr>
              <w:t>翼城县唐兴镇谭村东168m</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本项目租用</w:t>
            </w:r>
            <w:r>
              <w:rPr>
                <w:rFonts w:hint="eastAsia" w:ascii="Times New Roman" w:cs="Times New Roman"/>
                <w:color w:val="auto"/>
                <w:kern w:val="0"/>
                <w:sz w:val="24"/>
                <w:highlight w:val="none"/>
                <w:lang w:eastAsia="zh-CN"/>
              </w:rPr>
              <w:t>石胜强塑料制品厂</w:t>
            </w:r>
            <w:r>
              <w:rPr>
                <w:rFonts w:hint="eastAsia" w:ascii="Times New Roman" w:cs="Times New Roman"/>
                <w:color w:val="auto"/>
                <w:kern w:val="0"/>
                <w:sz w:val="24"/>
                <w:highlight w:val="none"/>
                <w:lang w:val="en-US" w:eastAsia="zh-CN"/>
              </w:rPr>
              <w:t>用地</w:t>
            </w:r>
            <w:r>
              <w:rPr>
                <w:rFonts w:hint="default" w:ascii="Times New Roman" w:hAnsi="Times New Roman" w:cs="Times New Roman"/>
                <w:color w:val="auto"/>
                <w:kern w:val="0"/>
                <w:sz w:val="24"/>
                <w:highlight w:val="none"/>
                <w:lang w:val="en-US" w:eastAsia="zh-CN"/>
              </w:rPr>
              <w:t>，</w:t>
            </w:r>
            <w:r>
              <w:rPr>
                <w:rFonts w:hint="default" w:ascii="Times New Roman" w:hAnsi="Times New Roman" w:cs="Times New Roman"/>
                <w:color w:val="auto"/>
                <w:kern w:val="0"/>
                <w:sz w:val="24"/>
                <w:highlight w:val="none"/>
              </w:rPr>
              <w:t>选址不涉及占用国家及省级自然保护区、风景名胜区、森林公园、饮用水源保护区及其他生态保护红线范围，符合生态保护红线要求。</w:t>
            </w:r>
          </w:p>
          <w:p>
            <w:pPr>
              <w:pStyle w:val="89"/>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outlineLvl w:val="9"/>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rPr>
              <w:t>环境质量底线</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0"/>
                <w:sz w:val="24"/>
                <w:szCs w:val="24"/>
                <w:highlight w:val="yellow"/>
                <w:lang w:val="en-US" w:eastAsia="zh-CN" w:bidi="ar"/>
              </w:rPr>
            </w:pPr>
            <w:r>
              <w:rPr>
                <w:rFonts w:hint="default" w:ascii="Times New Roman" w:hAnsi="Times New Roman" w:eastAsia="宋体" w:cs="Times New Roman"/>
                <w:color w:val="auto"/>
                <w:kern w:val="0"/>
                <w:sz w:val="24"/>
                <w:szCs w:val="24"/>
                <w:highlight w:val="none"/>
                <w:lang w:val="en-US" w:eastAsia="zh-CN" w:bidi="ar"/>
              </w:rPr>
              <w:t>根据</w:t>
            </w:r>
            <w:r>
              <w:rPr>
                <w:rFonts w:hint="default" w:ascii="Times New Roman" w:hAnsi="Times New Roman" w:cs="Times New Roman"/>
                <w:color w:val="auto"/>
                <w:kern w:val="0"/>
                <w:sz w:val="24"/>
                <w:szCs w:val="24"/>
                <w:highlight w:val="none"/>
                <w:lang w:val="en-US" w:eastAsia="zh-CN" w:bidi="ar"/>
              </w:rPr>
              <w:t>翼城县</w:t>
            </w:r>
            <w:r>
              <w:rPr>
                <w:rFonts w:hint="default" w:ascii="Times New Roman" w:hAnsi="Times New Roman" w:eastAsia="宋体" w:cs="Times New Roman"/>
                <w:color w:val="auto"/>
                <w:kern w:val="0"/>
                <w:sz w:val="24"/>
                <w:szCs w:val="24"/>
                <w:highlight w:val="none"/>
                <w:lang w:val="en-US" w:eastAsia="zh-CN" w:bidi="ar"/>
              </w:rPr>
              <w:t>202</w:t>
            </w:r>
            <w:r>
              <w:rPr>
                <w:rFonts w:hint="default" w:ascii="Times New Roman" w:hAnsi="Times New Roman"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年环境例行监测结果，</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年平均质量浓度、O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日最大8小时平均第90百分位数浓度</w:t>
            </w:r>
            <w:r>
              <w:rPr>
                <w:rFonts w:hint="default" w:ascii="Times New Roman" w:hAnsi="Times New Roman" w:cs="Times New Roman"/>
                <w:color w:val="auto"/>
                <w:sz w:val="24"/>
                <w:lang w:val="en-US" w:eastAsia="zh-CN"/>
              </w:rPr>
              <w:t>超过</w:t>
            </w:r>
            <w:r>
              <w:rPr>
                <w:rFonts w:hint="default" w:ascii="Times New Roman" w:hAnsi="Times New Roman" w:cs="Times New Roman"/>
                <w:color w:val="auto"/>
                <w:sz w:val="24"/>
              </w:rPr>
              <w:t>《环境空气质量标准》（GB3095-2012）二级标准浓度限值，</w:t>
            </w:r>
            <w:r>
              <w:rPr>
                <w:rFonts w:hint="default" w:ascii="Times New Roman" w:hAnsi="Times New Roman" w:cs="Times New Roman"/>
                <w:color w:val="auto"/>
                <w:sz w:val="24"/>
                <w:lang w:val="en-US" w:eastAsia="zh-CN"/>
              </w:rPr>
              <w:t>其它都达到标准要求。因此，</w:t>
            </w:r>
            <w:r>
              <w:rPr>
                <w:rFonts w:hint="default" w:ascii="Times New Roman" w:hAnsi="Times New Roman" w:cs="Times New Roman"/>
                <w:color w:val="auto"/>
                <w:sz w:val="24"/>
              </w:rPr>
              <w:t>202</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年</w:t>
            </w:r>
            <w:r>
              <w:rPr>
                <w:rFonts w:hint="default" w:ascii="Times New Roman" w:hAnsi="Times New Roman" w:cs="Times New Roman"/>
                <w:color w:val="auto"/>
                <w:sz w:val="24"/>
                <w:lang w:val="en-US" w:eastAsia="zh-CN"/>
              </w:rPr>
              <w:t>翼城县</w:t>
            </w:r>
            <w:r>
              <w:rPr>
                <w:rFonts w:hint="default" w:ascii="Times New Roman" w:hAnsi="Times New Roman" w:cs="Times New Roman"/>
                <w:color w:val="auto"/>
                <w:sz w:val="24"/>
              </w:rPr>
              <w:t>为环境空气</w:t>
            </w:r>
            <w:r>
              <w:rPr>
                <w:rFonts w:hint="eastAsia" w:ascii="Times New Roman" w:cs="Times New Roman"/>
                <w:color w:val="auto"/>
                <w:sz w:val="24"/>
                <w:lang w:eastAsia="zh-CN"/>
              </w:rPr>
              <w:t>质量</w:t>
            </w:r>
            <w:r>
              <w:rPr>
                <w:rFonts w:hint="default" w:ascii="Times New Roman" w:hAnsi="Times New Roman" w:cs="Times New Roman"/>
                <w:color w:val="auto"/>
                <w:sz w:val="24"/>
              </w:rPr>
              <w:t>不达标区。</w:t>
            </w:r>
          </w:p>
          <w:p>
            <w:pPr>
              <w:pStyle w:val="10"/>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cs="Times New Roman"/>
                <w:color w:val="auto"/>
                <w:sz w:val="24"/>
                <w:szCs w:val="32"/>
                <w:highlight w:val="none"/>
              </w:rPr>
              <w:t>本项目</w:t>
            </w:r>
            <w:r>
              <w:rPr>
                <w:rFonts w:hint="eastAsia" w:ascii="Times New Roman" w:cs="Times New Roman"/>
                <w:color w:val="auto"/>
                <w:sz w:val="24"/>
                <w:szCs w:val="32"/>
                <w:highlight w:val="none"/>
                <w:lang w:val="en-US" w:eastAsia="zh-CN"/>
              </w:rPr>
              <w:t>引用《翼城县鑫源洗涤服务有限公司年洗涤5万套布草建设项目环境影响报告表》中</w:t>
            </w:r>
            <w:r>
              <w:rPr>
                <w:rFonts w:hint="eastAsia" w:ascii="Times New Roman" w:hAnsi="Times New Roman" w:cs="Times New Roman"/>
                <w:color w:val="auto"/>
                <w:sz w:val="24"/>
                <w:szCs w:val="32"/>
                <w:highlight w:val="none"/>
                <w:lang w:val="en-US" w:eastAsia="zh-CN"/>
              </w:rPr>
              <w:t>对东寿城村（距本项目</w:t>
            </w:r>
            <w:r>
              <w:rPr>
                <w:rFonts w:hint="eastAsia" w:ascii="Times New Roman" w:cs="Times New Roman"/>
                <w:color w:val="auto"/>
                <w:sz w:val="24"/>
                <w:szCs w:val="32"/>
                <w:highlight w:val="none"/>
                <w:lang w:val="en-US" w:eastAsia="zh-CN"/>
              </w:rPr>
              <w:t>3.6km</w:t>
            </w:r>
            <w:r>
              <w:rPr>
                <w:rFonts w:hint="eastAsia" w:ascii="Times New Roman" w:hAnsi="Times New Roman" w:cs="Times New Roman"/>
                <w:color w:val="auto"/>
                <w:sz w:val="24"/>
                <w:szCs w:val="32"/>
                <w:highlight w:val="none"/>
                <w:lang w:val="en-US" w:eastAsia="zh-CN"/>
              </w:rPr>
              <w:t>）</w:t>
            </w:r>
            <w:r>
              <w:rPr>
                <w:rFonts w:hint="default" w:ascii="Times New Roman" w:hAnsi="Times New Roman" w:cs="Times New Roman"/>
                <w:color w:val="auto"/>
                <w:sz w:val="24"/>
                <w:szCs w:val="32"/>
                <w:highlight w:val="none"/>
              </w:rPr>
              <w:t>特征污染物</w:t>
            </w:r>
            <w:r>
              <w:rPr>
                <w:rFonts w:hint="default" w:ascii="Times New Roman" w:hAnsi="Times New Roman" w:cs="Times New Roman"/>
                <w:color w:val="auto"/>
                <w:sz w:val="24"/>
                <w:szCs w:val="32"/>
                <w:highlight w:val="none"/>
                <w:lang w:val="en-US" w:eastAsia="zh-CN"/>
              </w:rPr>
              <w:t>TSP</w:t>
            </w:r>
            <w:r>
              <w:rPr>
                <w:rFonts w:hint="default" w:ascii="Times New Roman" w:hAnsi="Times New Roman" w:cs="Times New Roman"/>
                <w:color w:val="auto"/>
                <w:sz w:val="24"/>
                <w:szCs w:val="32"/>
                <w:highlight w:val="none"/>
              </w:rPr>
              <w:t>的环境空气质量现状</w:t>
            </w:r>
            <w:r>
              <w:rPr>
                <w:rFonts w:hint="eastAsia" w:ascii="Times New Roman" w:cs="Times New Roman"/>
                <w:color w:val="auto"/>
                <w:sz w:val="24"/>
                <w:szCs w:val="32"/>
                <w:highlight w:val="none"/>
                <w:lang w:val="en-US" w:eastAsia="zh-CN"/>
              </w:rPr>
              <w:t>监测数据</w:t>
            </w:r>
            <w:r>
              <w:rPr>
                <w:rFonts w:hint="default" w:ascii="Times New Roman" w:hAnsi="Times New Roman" w:cs="Times New Roman"/>
                <w:color w:val="auto"/>
                <w:sz w:val="24"/>
                <w:szCs w:val="32"/>
                <w:highlight w:val="none"/>
              </w:rPr>
              <w:t>，</w:t>
            </w:r>
            <w:r>
              <w:rPr>
                <w:rFonts w:hint="default" w:ascii="Times New Roman" w:hAnsi="Times New Roman" w:cs="Times New Roman"/>
                <w:color w:val="auto"/>
                <w:sz w:val="24"/>
                <w:szCs w:val="24"/>
                <w:highlight w:val="none"/>
                <w:lang w:val="en-US" w:eastAsia="zh-CN"/>
              </w:rPr>
              <w:t>监测结果表明：</w:t>
            </w:r>
            <w:r>
              <w:rPr>
                <w:rFonts w:hint="default" w:ascii="Times New Roman" w:hAnsi="Times New Roman" w:eastAsia="宋体" w:cs="Times New Roman"/>
                <w:color w:val="auto"/>
                <w:sz w:val="24"/>
                <w:szCs w:val="24"/>
                <w:highlight w:val="none"/>
                <w:lang w:val="en-US" w:eastAsia="zh-CN"/>
              </w:rPr>
              <w:t>本项目所在区域TSP满足《环境空气质量标准》（GB3095-2012）中的标准限值。</w:t>
            </w:r>
          </w:p>
          <w:p>
            <w:pPr>
              <w:pStyle w:val="10"/>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bidi="zh-CN"/>
              </w:rPr>
              <w:t>本</w:t>
            </w:r>
            <w:r>
              <w:rPr>
                <w:rFonts w:hint="default" w:ascii="Times New Roman" w:hAnsi="Times New Roman" w:cs="Times New Roman"/>
                <w:color w:val="auto"/>
                <w:sz w:val="24"/>
                <w:szCs w:val="24"/>
                <w:highlight w:val="none"/>
                <w:lang w:val="en-US" w:eastAsia="zh-CN"/>
              </w:rPr>
              <w:t>项目</w:t>
            </w:r>
            <w:r>
              <w:rPr>
                <w:rFonts w:hint="default" w:ascii="Times New Roman" w:hAnsi="Times New Roman" w:cs="Times New Roman" w:eastAsiaTheme="minorEastAsia"/>
                <w:color w:val="auto"/>
                <w:kern w:val="2"/>
                <w:sz w:val="24"/>
                <w:szCs w:val="24"/>
                <w:vertAlign w:val="baseline"/>
                <w:lang w:val="en-US" w:eastAsia="zh-CN" w:bidi="ar-SA"/>
              </w:rPr>
              <w:t>各产污环节按照环评提出的治理措施实施后，各项污染物可以达标排放，对区域环境质量影响较小，</w:t>
            </w:r>
            <w:r>
              <w:rPr>
                <w:rFonts w:hint="default" w:ascii="Times New Roman" w:hAnsi="Times New Roman" w:eastAsia="宋体" w:cs="Times New Roman"/>
                <w:color w:val="auto"/>
                <w:sz w:val="24"/>
                <w:szCs w:val="24"/>
                <w:highlight w:val="none"/>
                <w:lang w:val="en-US" w:eastAsia="zh-CN"/>
              </w:rPr>
              <w:t>因此，本项目排放的污染物不会对区域环境质量底线造成冲击。</w:t>
            </w:r>
          </w:p>
          <w:p>
            <w:pPr>
              <w:pStyle w:val="89"/>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rPr>
              <w:t>资源利用上线</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本项目营运过程中消耗一定量的电能</w:t>
            </w:r>
            <w:r>
              <w:rPr>
                <w:rFonts w:hint="default" w:ascii="Times New Roman" w:hAnsi="Times New Roman" w:cs="Times New Roman"/>
                <w:color w:val="auto"/>
                <w:kern w:val="0"/>
                <w:sz w:val="24"/>
                <w:szCs w:val="24"/>
                <w:highlight w:val="none"/>
                <w:lang w:val="en-US" w:eastAsia="zh-CN" w:bidi="ar"/>
              </w:rPr>
              <w:t>、水等原辅材料</w:t>
            </w:r>
            <w:r>
              <w:rPr>
                <w:rFonts w:hint="default" w:ascii="Times New Roman" w:hAnsi="Times New Roman" w:eastAsia="宋体" w:cs="Times New Roman"/>
                <w:color w:val="auto"/>
                <w:kern w:val="0"/>
                <w:sz w:val="24"/>
                <w:szCs w:val="24"/>
                <w:highlight w:val="none"/>
                <w:lang w:val="en-US" w:eastAsia="zh-CN" w:bidi="ar"/>
              </w:rPr>
              <w:t>，相对区域资源利用总量较少</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符合资源利用上线要求。</w:t>
            </w:r>
          </w:p>
          <w:p>
            <w:pPr>
              <w:pStyle w:val="89"/>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outlineLvl w:val="9"/>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rPr>
              <w:t>环境准入负面清单</w:t>
            </w:r>
          </w:p>
          <w:p>
            <w:pPr>
              <w:keepNext w:val="0"/>
              <w:keepLines w:val="0"/>
              <w:pageBreakBefore w:val="0"/>
              <w:kinsoku/>
              <w:wordWrap/>
              <w:overflowPunct/>
              <w:topLinePunct w:val="0"/>
              <w:autoSpaceDE w:val="0"/>
              <w:autoSpaceDN w:val="0"/>
              <w:bidi w:val="0"/>
              <w:adjustRightInd w:val="0"/>
              <w:snapToGrid w:val="0"/>
              <w:spacing w:line="360" w:lineRule="auto"/>
              <w:ind w:left="0" w:leftChars="0" w:right="0" w:rightChars="0" w:firstLine="480" w:firstLineChars="200"/>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翼城县</w:t>
            </w:r>
            <w:r>
              <w:rPr>
                <w:rFonts w:hint="default" w:ascii="Times New Roman" w:hAnsi="Times New Roman" w:cs="Times New Roman"/>
                <w:color w:val="auto"/>
                <w:sz w:val="24"/>
                <w:highlight w:val="none"/>
              </w:rPr>
              <w:t>尚未发布环境准入负面清单，本次评价对照《临汾市人民政府关于印发&lt;临汾市“三线一单”生态环境分区管控实施方案&gt;的通知》中“附件2 表1临汾市生态环境总体准入管控要求”进行说明。</w:t>
            </w:r>
            <w:r>
              <w:rPr>
                <w:rFonts w:hint="default" w:ascii="Times New Roman" w:hAnsi="Times New Roman" w:cs="Times New Roman"/>
                <w:bCs/>
                <w:color w:val="auto"/>
                <w:sz w:val="24"/>
                <w:highlight w:val="none"/>
              </w:rPr>
              <w:t>根据《临汾市“三线一单”生态环境分区管控方案》，本项目厂址所在地属于涉及水、大气、土壤、自然资源等资源环境要素的重点管控区域内，详见附图</w:t>
            </w:r>
            <w:r>
              <w:rPr>
                <w:rFonts w:hint="default" w:ascii="Times New Roman" w:hAnsi="Times New Roman" w:cs="Times New Roman"/>
                <w:bCs/>
                <w:color w:val="auto"/>
                <w:sz w:val="24"/>
                <w:highlight w:val="none"/>
                <w:lang w:val="en-US" w:eastAsia="zh-CN"/>
              </w:rPr>
              <w:t>5</w:t>
            </w:r>
            <w:r>
              <w:rPr>
                <w:rFonts w:hint="default" w:ascii="Times New Roman" w:hAnsi="Times New Roman" w:cs="Times New Roman"/>
                <w:bCs/>
                <w:color w:val="auto"/>
                <w:sz w:val="24"/>
                <w:highlight w:val="none"/>
              </w:rPr>
              <w:t>。该环境管控单元的生态环境准入清单为：进一步优化空间布局，加强污染物排放控制和环境风险防控，不断提升资源能源利用效率，解决生态环境质量不达标、生态环境风险高等问题，实现减污降碳协同效应。本项目与临汾市生态环境准入总体清单的符合性分析见</w:t>
            </w:r>
            <w:r>
              <w:rPr>
                <w:rFonts w:hint="default" w:ascii="Times New Roman" w:hAnsi="Times New Roman" w:cs="Times New Roman"/>
                <w:bCs/>
                <w:color w:val="auto"/>
                <w:sz w:val="24"/>
                <w:highlight w:val="none"/>
                <w:lang w:val="en-US" w:eastAsia="zh-CN"/>
              </w:rPr>
              <w:t>下</w:t>
            </w:r>
            <w:r>
              <w:rPr>
                <w:rFonts w:hint="default" w:ascii="Times New Roman" w:hAnsi="Times New Roman" w:cs="Times New Roman"/>
                <w:bCs/>
                <w:color w:val="auto"/>
                <w:sz w:val="24"/>
                <w:highlight w:val="none"/>
              </w:rPr>
              <w:t>表1-</w:t>
            </w:r>
            <w:r>
              <w:rPr>
                <w:rFonts w:hint="default" w:ascii="Times New Roman" w:hAnsi="Times New Roman" w:cs="Times New Roman"/>
                <w:bCs/>
                <w:color w:val="auto"/>
                <w:sz w:val="24"/>
                <w:highlight w:val="none"/>
                <w:lang w:val="en-US" w:eastAsia="zh-CN"/>
              </w:rPr>
              <w:t>1。</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基于以上分析得出，本项目不在生态保护红线范围内，不属于高耗能高污染项目，不突破资源利用上限，未列入环境准入负面清单，在采取环评规定的环保措施后，能实现污染物达标排放，对周边环境影响较小。所以，本项目满足“三线一单”的相关规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eastAsia="宋体" w:cs="Times New Roman"/>
                <w:color w:val="auto"/>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683" w:firstLineChars="200"/>
              <w:textAlignment w:val="auto"/>
              <w:outlineLvl w:val="9"/>
              <w:rPr>
                <w:rFonts w:hint="default" w:ascii="Times New Roman" w:hAnsi="Times New Roman" w:cs="Times New Roman"/>
                <w:b/>
                <w:color w:val="auto"/>
              </w:rPr>
            </w:pPr>
          </w:p>
        </w:tc>
      </w:tr>
    </w:tbl>
    <w:p>
      <w:pPr>
        <w:pStyle w:val="2"/>
        <w:rPr>
          <w:rFonts w:hint="default" w:ascii="Times New Roman" w:hAnsi="Times New Roman" w:cs="Times New Roman"/>
        </w:rPr>
      </w:pPr>
    </w:p>
    <w:p>
      <w:pPr>
        <w:pStyle w:val="10"/>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eastAsia="黑体" w:cs="Times New Roman"/>
          <w:color w:val="auto"/>
          <w:sz w:val="30"/>
          <w:highlight w:val="yellow"/>
        </w:rPr>
        <w:sectPr>
          <w:footerReference r:id="rId6" w:type="default"/>
          <w:pgSz w:w="11906" w:h="16838"/>
          <w:pgMar w:top="1531" w:right="1531" w:bottom="1531" w:left="1531" w:header="850" w:footer="850" w:gutter="0"/>
          <w:pgBorders>
            <w:top w:val="none" w:sz="0" w:space="0"/>
            <w:left w:val="none" w:sz="0" w:space="0"/>
            <w:bottom w:val="none" w:sz="0" w:space="0"/>
            <w:right w:val="none" w:sz="0" w:space="0"/>
          </w:pgBorders>
          <w:pgNumType w:fmt="decimal"/>
          <w:cols w:space="720" w:num="1"/>
          <w:rtlGutter w:val="0"/>
          <w:docGrid w:linePitch="312" w:charSpace="0"/>
        </w:sectPr>
      </w:pPr>
    </w:p>
    <w:p>
      <w:pPr>
        <w:keepNext w:val="0"/>
        <w:keepLines w:val="0"/>
        <w:pageBreakBefore w:val="0"/>
        <w:widowControl w:val="0"/>
        <w:kinsoku/>
        <w:wordWrap/>
        <w:overflowPunct/>
        <w:topLinePunct w:val="0"/>
        <w:autoSpaceDE/>
        <w:autoSpaceDN/>
        <w:bidi w:val="0"/>
        <w:adjustRightInd/>
        <w:snapToGrid/>
        <w:spacing w:line="460" w:lineRule="exact"/>
        <w:ind w:firstLine="438" w:firstLineChars="200"/>
        <w:jc w:val="center"/>
        <w:textAlignment w:val="auto"/>
        <w:outlineLvl w:val="9"/>
        <w:rPr>
          <w:rFonts w:hint="default" w:ascii="Times New Roman" w:hAnsi="Times New Roman" w:eastAsia="宋体" w:cs="Times New Roman"/>
          <w:b/>
          <w:bCs w:val="0"/>
          <w:color w:val="auto"/>
          <w:spacing w:val="4"/>
          <w:sz w:val="21"/>
          <w:szCs w:val="21"/>
          <w:highlight w:val="none"/>
          <w:lang w:val="en-US" w:eastAsia="zh-CN"/>
        </w:rPr>
      </w:pPr>
      <w:r>
        <w:rPr>
          <w:rFonts w:hint="default" w:ascii="Times New Roman" w:hAnsi="Times New Roman" w:eastAsia="宋体" w:cs="Times New Roman"/>
          <w:b/>
          <w:bCs w:val="0"/>
          <w:color w:val="auto"/>
          <w:spacing w:val="4"/>
          <w:sz w:val="21"/>
          <w:szCs w:val="21"/>
          <w:highlight w:val="none"/>
          <w:lang w:val="en-US" w:eastAsia="zh-CN"/>
        </w:rPr>
        <w:t>表1</w:t>
      </w:r>
      <w:r>
        <w:rPr>
          <w:rFonts w:hint="default" w:ascii="Times New Roman" w:hAnsi="Times New Roman" w:cs="Times New Roman"/>
          <w:b/>
          <w:bCs w:val="0"/>
          <w:color w:val="auto"/>
          <w:spacing w:val="4"/>
          <w:sz w:val="21"/>
          <w:szCs w:val="21"/>
          <w:highlight w:val="none"/>
          <w:lang w:val="en-US" w:eastAsia="zh-CN"/>
        </w:rPr>
        <w:t>-1</w:t>
      </w:r>
      <w:r>
        <w:rPr>
          <w:rFonts w:hint="default" w:ascii="Times New Roman" w:hAnsi="Times New Roman" w:eastAsia="宋体" w:cs="Times New Roman"/>
          <w:b/>
          <w:bCs w:val="0"/>
          <w:color w:val="auto"/>
          <w:spacing w:val="4"/>
          <w:sz w:val="21"/>
          <w:szCs w:val="21"/>
          <w:highlight w:val="none"/>
          <w:lang w:val="en-US" w:eastAsia="zh-CN"/>
        </w:rPr>
        <w:t xml:space="preserve">  本项目对照临汾市生态环境</w:t>
      </w:r>
      <w:r>
        <w:rPr>
          <w:rFonts w:hint="default" w:ascii="Times New Roman" w:hAnsi="Times New Roman" w:cs="Times New Roman"/>
          <w:b/>
          <w:bCs w:val="0"/>
          <w:color w:val="auto"/>
          <w:spacing w:val="4"/>
          <w:sz w:val="21"/>
          <w:szCs w:val="21"/>
          <w:highlight w:val="none"/>
          <w:lang w:val="en-US" w:eastAsia="zh-CN"/>
        </w:rPr>
        <w:t>总体</w:t>
      </w:r>
      <w:r>
        <w:rPr>
          <w:rFonts w:hint="default" w:ascii="Times New Roman" w:hAnsi="Times New Roman" w:eastAsia="宋体" w:cs="Times New Roman"/>
          <w:b/>
          <w:bCs w:val="0"/>
          <w:color w:val="auto"/>
          <w:spacing w:val="4"/>
          <w:sz w:val="21"/>
          <w:szCs w:val="21"/>
          <w:highlight w:val="none"/>
          <w:lang w:val="en-US" w:eastAsia="zh-CN"/>
        </w:rPr>
        <w:t>准入</w:t>
      </w:r>
      <w:r>
        <w:rPr>
          <w:rFonts w:hint="default" w:ascii="Times New Roman" w:hAnsi="Times New Roman" w:cs="Times New Roman"/>
          <w:b/>
          <w:bCs w:val="0"/>
          <w:color w:val="auto"/>
          <w:spacing w:val="4"/>
          <w:sz w:val="21"/>
          <w:szCs w:val="21"/>
          <w:highlight w:val="none"/>
          <w:lang w:val="en-US" w:eastAsia="zh-CN"/>
        </w:rPr>
        <w:t>管控要求</w:t>
      </w:r>
      <w:r>
        <w:rPr>
          <w:rFonts w:hint="default" w:ascii="Times New Roman" w:hAnsi="Times New Roman" w:eastAsia="宋体" w:cs="Times New Roman"/>
          <w:b/>
          <w:bCs w:val="0"/>
          <w:color w:val="auto"/>
          <w:spacing w:val="4"/>
          <w:sz w:val="21"/>
          <w:szCs w:val="21"/>
          <w:highlight w:val="none"/>
          <w:lang w:val="en-US" w:eastAsia="zh-CN"/>
        </w:rPr>
        <w:t>分析表</w:t>
      </w:r>
    </w:p>
    <w:tbl>
      <w:tblPr>
        <w:tblStyle w:val="39"/>
        <w:tblW w:w="139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144"/>
        <w:gridCol w:w="1088"/>
        <w:gridCol w:w="6733"/>
        <w:gridCol w:w="3343"/>
        <w:gridCol w:w="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713" w:type="dxa"/>
            <w:tcBorders>
              <w:top w:val="single" w:color="auto" w:sz="12" w:space="0"/>
              <w:left w:val="single" w:color="auto" w:sz="12" w:space="0"/>
            </w:tcBorders>
            <w:vAlign w:val="center"/>
          </w:tcPr>
          <w:p>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auto"/>
                <w:sz w:val="21"/>
                <w:szCs w:val="21"/>
                <w:highlight w:val="none"/>
                <w:vertAlign w:val="baseline"/>
                <w:lang w:val="en-US" w:eastAsia="zh-CN"/>
              </w:rPr>
            </w:pPr>
            <w:bookmarkStart w:id="1" w:name="_Toc27329"/>
            <w:bookmarkStart w:id="2" w:name="_Toc29716"/>
            <w:bookmarkStart w:id="3" w:name="_Toc18003"/>
            <w:r>
              <w:rPr>
                <w:rFonts w:hint="default" w:ascii="Times New Roman" w:hAnsi="Times New Roman" w:eastAsia="宋体" w:cs="Times New Roman"/>
                <w:snapToGrid w:val="0"/>
                <w:color w:val="auto"/>
                <w:sz w:val="21"/>
                <w:szCs w:val="21"/>
                <w:highlight w:val="none"/>
                <w:vertAlign w:val="baseline"/>
                <w:lang w:val="en-US" w:eastAsia="zh-CN"/>
              </w:rPr>
              <w:t>序号</w:t>
            </w:r>
            <w:bookmarkEnd w:id="1"/>
            <w:bookmarkEnd w:id="2"/>
            <w:bookmarkEnd w:id="3"/>
          </w:p>
        </w:tc>
        <w:tc>
          <w:tcPr>
            <w:tcW w:w="1144" w:type="dxa"/>
            <w:tcBorders>
              <w:top w:val="single" w:color="auto" w:sz="12" w:space="0"/>
            </w:tcBorders>
            <w:vAlign w:val="center"/>
          </w:tcPr>
          <w:p>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auto"/>
                <w:sz w:val="21"/>
                <w:szCs w:val="21"/>
                <w:highlight w:val="none"/>
                <w:vertAlign w:val="baseline"/>
                <w:lang w:val="en-US" w:eastAsia="zh-CN"/>
              </w:rPr>
            </w:pPr>
            <w:bookmarkStart w:id="4" w:name="_Toc16058"/>
            <w:bookmarkStart w:id="5" w:name="_Toc26263"/>
            <w:r>
              <w:rPr>
                <w:rFonts w:hint="default" w:ascii="Times New Roman" w:hAnsi="Times New Roman" w:eastAsia="宋体" w:cs="Times New Roman"/>
                <w:snapToGrid w:val="0"/>
                <w:color w:val="auto"/>
                <w:sz w:val="21"/>
                <w:szCs w:val="21"/>
                <w:highlight w:val="none"/>
                <w:vertAlign w:val="baseline"/>
                <w:lang w:val="en-US" w:eastAsia="zh-CN"/>
              </w:rPr>
              <w:t>管控类别</w:t>
            </w:r>
            <w:bookmarkEnd w:id="4"/>
            <w:bookmarkEnd w:id="5"/>
          </w:p>
        </w:tc>
        <w:tc>
          <w:tcPr>
            <w:tcW w:w="7821" w:type="dxa"/>
            <w:gridSpan w:val="2"/>
            <w:tcBorders>
              <w:top w:val="single" w:color="auto" w:sz="12" w:space="0"/>
            </w:tcBorders>
            <w:vAlign w:val="center"/>
          </w:tcPr>
          <w:p>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auto"/>
                <w:sz w:val="21"/>
                <w:szCs w:val="21"/>
                <w:highlight w:val="none"/>
                <w:vertAlign w:val="baseline"/>
                <w:lang w:val="en-US" w:eastAsia="zh-CN"/>
              </w:rPr>
            </w:pPr>
            <w:bookmarkStart w:id="6" w:name="_Toc9444"/>
            <w:bookmarkStart w:id="7" w:name="_Toc23028"/>
            <w:r>
              <w:rPr>
                <w:rFonts w:hint="default" w:ascii="Times New Roman" w:hAnsi="Times New Roman" w:eastAsia="宋体" w:cs="Times New Roman"/>
                <w:snapToGrid w:val="0"/>
                <w:color w:val="auto"/>
                <w:sz w:val="21"/>
                <w:szCs w:val="21"/>
                <w:highlight w:val="none"/>
                <w:vertAlign w:val="baseline"/>
                <w:lang w:val="en-US" w:eastAsia="zh-CN"/>
              </w:rPr>
              <w:t>管控要求</w:t>
            </w:r>
            <w:bookmarkEnd w:id="6"/>
            <w:bookmarkEnd w:id="7"/>
          </w:p>
        </w:tc>
        <w:tc>
          <w:tcPr>
            <w:tcW w:w="3343" w:type="dxa"/>
            <w:tcBorders>
              <w:top w:val="single" w:color="auto" w:sz="12" w:space="0"/>
            </w:tcBorders>
            <w:vAlign w:val="center"/>
          </w:tcPr>
          <w:p>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auto"/>
                <w:sz w:val="21"/>
                <w:szCs w:val="21"/>
                <w:highlight w:val="none"/>
                <w:vertAlign w:val="baseline"/>
                <w:lang w:val="en-US" w:eastAsia="zh-CN"/>
              </w:rPr>
            </w:pPr>
            <w:bookmarkStart w:id="8" w:name="_Toc17924"/>
            <w:bookmarkStart w:id="9" w:name="_Toc24817"/>
            <w:r>
              <w:rPr>
                <w:rFonts w:hint="default" w:ascii="Times New Roman" w:hAnsi="Times New Roman" w:eastAsia="宋体" w:cs="Times New Roman"/>
                <w:snapToGrid w:val="0"/>
                <w:color w:val="auto"/>
                <w:sz w:val="21"/>
                <w:szCs w:val="21"/>
                <w:highlight w:val="none"/>
                <w:vertAlign w:val="baseline"/>
                <w:lang w:val="en-US" w:eastAsia="zh-CN"/>
              </w:rPr>
              <w:t>本项目情况</w:t>
            </w:r>
            <w:bookmarkEnd w:id="8"/>
            <w:bookmarkEnd w:id="9"/>
          </w:p>
        </w:tc>
        <w:tc>
          <w:tcPr>
            <w:tcW w:w="971" w:type="dxa"/>
            <w:tcBorders>
              <w:top w:val="single" w:color="auto" w:sz="12" w:space="0"/>
              <w:right w:val="single" w:color="auto" w:sz="12" w:space="0"/>
            </w:tcBorders>
            <w:vAlign w:val="center"/>
          </w:tcPr>
          <w:p>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auto"/>
                <w:sz w:val="21"/>
                <w:szCs w:val="21"/>
                <w:highlight w:val="none"/>
                <w:vertAlign w:val="baseline"/>
                <w:lang w:val="en-US" w:eastAsia="zh-CN"/>
              </w:rPr>
            </w:pPr>
            <w:bookmarkStart w:id="10" w:name="_Toc14911"/>
            <w:bookmarkStart w:id="11" w:name="_Toc9069"/>
            <w:r>
              <w:rPr>
                <w:rFonts w:hint="default" w:ascii="Times New Roman" w:hAnsi="Times New Roman" w:eastAsia="宋体" w:cs="Times New Roman"/>
                <w:snapToGrid w:val="0"/>
                <w:color w:val="auto"/>
                <w:sz w:val="21"/>
                <w:szCs w:val="21"/>
                <w:highlight w:val="none"/>
                <w:vertAlign w:val="baseline"/>
                <w:lang w:val="en-US" w:eastAsia="zh-CN"/>
              </w:rPr>
              <w:t>符合性</w:t>
            </w:r>
            <w:bookmarkEnd w:id="10"/>
            <w:bookmarkEnd w:id="1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13" w:type="dxa"/>
            <w:tcBorders>
              <w:left w:val="single" w:color="auto" w:sz="12" w:space="0"/>
            </w:tcBorders>
            <w:vAlign w:val="center"/>
          </w:tcPr>
          <w:p>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auto"/>
                <w:sz w:val="21"/>
                <w:szCs w:val="21"/>
                <w:highlight w:val="none"/>
                <w:vertAlign w:val="baseline"/>
                <w:lang w:val="en-US" w:eastAsia="zh-CN"/>
              </w:rPr>
            </w:pPr>
            <w:bookmarkStart w:id="12" w:name="_Toc21422"/>
            <w:bookmarkStart w:id="13" w:name="_Toc31153"/>
            <w:bookmarkStart w:id="14" w:name="_Toc29007"/>
            <w:r>
              <w:rPr>
                <w:rFonts w:hint="default" w:ascii="Times New Roman" w:hAnsi="Times New Roman" w:eastAsia="宋体" w:cs="Times New Roman"/>
                <w:snapToGrid w:val="0"/>
                <w:color w:val="auto"/>
                <w:sz w:val="21"/>
                <w:szCs w:val="21"/>
                <w:highlight w:val="none"/>
                <w:vertAlign w:val="baseline"/>
                <w:lang w:val="en-US" w:eastAsia="zh-CN"/>
              </w:rPr>
              <w:t>1</w:t>
            </w:r>
            <w:bookmarkEnd w:id="12"/>
            <w:bookmarkEnd w:id="13"/>
            <w:bookmarkEnd w:id="14"/>
          </w:p>
        </w:tc>
        <w:tc>
          <w:tcPr>
            <w:tcW w:w="1144" w:type="dxa"/>
            <w:vAlign w:val="center"/>
          </w:tcPr>
          <w:p>
            <w:pPr>
              <w:pStyle w:val="33"/>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auto"/>
                <w:sz w:val="21"/>
                <w:szCs w:val="21"/>
                <w:highlight w:val="none"/>
                <w:vertAlign w:val="baseline"/>
                <w:lang w:val="en-US" w:eastAsia="zh-CN"/>
              </w:rPr>
            </w:pPr>
            <w:bookmarkStart w:id="15" w:name="_Toc13461"/>
            <w:bookmarkStart w:id="16" w:name="_Toc28207"/>
            <w:r>
              <w:rPr>
                <w:rFonts w:hint="default" w:ascii="Times New Roman" w:hAnsi="Times New Roman" w:eastAsia="宋体" w:cs="Times New Roman"/>
                <w:snapToGrid w:val="0"/>
                <w:color w:val="auto"/>
                <w:sz w:val="21"/>
                <w:szCs w:val="21"/>
                <w:highlight w:val="none"/>
                <w:vertAlign w:val="baseline"/>
                <w:lang w:val="en-US" w:eastAsia="zh-CN"/>
              </w:rPr>
              <w:t>空间布局约束</w:t>
            </w:r>
            <w:bookmarkEnd w:id="15"/>
            <w:bookmarkEnd w:id="16"/>
          </w:p>
        </w:tc>
        <w:tc>
          <w:tcPr>
            <w:tcW w:w="7821" w:type="dxa"/>
            <w:gridSpan w:val="2"/>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遏制“两高”项目盲目扩张。新建、改建、扩建“两高”项目须符合生态环境保护法律法规和相关法定规划，满足重点污染物排放总量控制、碳排放达峰目标、生态环境准入清单、相关规划环评和相应行业建设项目环境准入条件、环评文件审批原则要求。 </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2、新建“两高”项目应按照《关于加强重点行业建设项目区域削减措施监督管理的通知》要求，依据区域环境质量改善目标,制定配套区域污染物削减方案，采取有效的污染物区域削减措施,腾出足够的环境容量。 </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3、新建、扩建“两高”项目应采用先进适用的工艺技术和装备，单位产品物耗、能耗、水耗等达到清洁生产先进水平，依法制定并严格落实防治土壤与地下水污染的措施。 </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4、优化焦化钢铁企业布局。汾河谷地平川区域焦化企业按照“退城入园、退川入谷”的原则，钢铁企业按照“入园入区，集聚发展”的要求，实施关小上大、转型升级、布局调整。 </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5、市区城市规划区155平方公里区域范围内禁止建设洗选煤企业；高铁、高速沿线两侧1公里范围内不得新建洗选煤企业。 </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6、对洗选煤企业项目建设审批手续不全的、违规占用基本农田、在自然保护区、风景名胜区、集中式饮用水水源保护区、泉域重点保护区、湿地公园、森林公园、山西省永久性生态公益林等依法划定需特别保护的环境敏感区范围内的项目予以取缔关闭。</w:t>
            </w:r>
          </w:p>
        </w:tc>
        <w:tc>
          <w:tcPr>
            <w:tcW w:w="3343"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本项目</w:t>
            </w:r>
            <w:r>
              <w:rPr>
                <w:rFonts w:hint="default" w:ascii="Times New Roman" w:hAnsi="Times New Roman" w:cs="Times New Roman"/>
                <w:color w:val="auto"/>
                <w:kern w:val="0"/>
                <w:sz w:val="21"/>
                <w:szCs w:val="21"/>
                <w:highlight w:val="none"/>
                <w:lang w:val="en-US" w:eastAsia="zh-CN" w:bidi="ar"/>
              </w:rPr>
              <w:t>为布草洗涤项目</w:t>
            </w:r>
            <w:r>
              <w:rPr>
                <w:rFonts w:hint="default" w:ascii="Times New Roman" w:hAnsi="Times New Roman" w:eastAsia="宋体" w:cs="Times New Roman"/>
                <w:color w:val="auto"/>
                <w:kern w:val="0"/>
                <w:sz w:val="21"/>
                <w:szCs w:val="21"/>
                <w:highlight w:val="none"/>
                <w:lang w:val="en-US" w:eastAsia="zh-CN" w:bidi="ar"/>
              </w:rPr>
              <w:t>，不属于“两高”项目，也不属于焦化钢铁企业和洗选煤企业。</w:t>
            </w:r>
          </w:p>
        </w:tc>
        <w:tc>
          <w:tcPr>
            <w:tcW w:w="971" w:type="dxa"/>
            <w:tcBorders>
              <w:right w:val="single" w:color="auto" w:sz="12" w:space="0"/>
            </w:tcBorders>
            <w:vAlign w:val="center"/>
          </w:tcPr>
          <w:p>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auto"/>
                <w:sz w:val="21"/>
                <w:szCs w:val="21"/>
                <w:highlight w:val="none"/>
                <w:vertAlign w:val="baseline"/>
                <w:lang w:val="en-US" w:eastAsia="zh-CN"/>
              </w:rPr>
            </w:pPr>
            <w:bookmarkStart w:id="17" w:name="_Toc27229"/>
            <w:bookmarkStart w:id="18" w:name="_Toc11353"/>
            <w:bookmarkStart w:id="19" w:name="_Toc9480"/>
            <w:r>
              <w:rPr>
                <w:rFonts w:hint="default" w:ascii="Times New Roman" w:hAnsi="Times New Roman" w:eastAsia="宋体" w:cs="Times New Roman"/>
                <w:snapToGrid w:val="0"/>
                <w:color w:val="auto"/>
                <w:sz w:val="21"/>
                <w:szCs w:val="21"/>
                <w:highlight w:val="none"/>
                <w:vertAlign w:val="baseline"/>
                <w:lang w:val="en-US" w:eastAsia="zh-CN"/>
              </w:rPr>
              <w:t>符合</w:t>
            </w:r>
            <w:bookmarkEnd w:id="17"/>
            <w:bookmarkEnd w:id="18"/>
            <w:bookmarkEnd w:id="1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13" w:type="dxa"/>
            <w:tcBorders>
              <w:left w:val="single" w:color="auto" w:sz="12" w:space="0"/>
            </w:tcBorders>
            <w:vAlign w:val="center"/>
          </w:tcPr>
          <w:p>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auto"/>
                <w:sz w:val="21"/>
                <w:szCs w:val="21"/>
                <w:highlight w:val="none"/>
                <w:vertAlign w:val="baseline"/>
                <w:lang w:val="en-US" w:eastAsia="zh-CN"/>
              </w:rPr>
            </w:pPr>
            <w:bookmarkStart w:id="20" w:name="_Toc7101"/>
            <w:bookmarkStart w:id="21" w:name="_Toc32746"/>
            <w:bookmarkStart w:id="22" w:name="_Toc27374"/>
            <w:r>
              <w:rPr>
                <w:rFonts w:hint="default" w:ascii="Times New Roman" w:hAnsi="Times New Roman" w:eastAsia="宋体" w:cs="Times New Roman"/>
                <w:snapToGrid w:val="0"/>
                <w:color w:val="auto"/>
                <w:sz w:val="21"/>
                <w:szCs w:val="21"/>
                <w:highlight w:val="none"/>
                <w:vertAlign w:val="baseline"/>
                <w:lang w:val="en-US" w:eastAsia="zh-CN"/>
              </w:rPr>
              <w:t>2</w:t>
            </w:r>
            <w:bookmarkEnd w:id="20"/>
            <w:bookmarkEnd w:id="21"/>
            <w:bookmarkEnd w:id="22"/>
          </w:p>
        </w:tc>
        <w:tc>
          <w:tcPr>
            <w:tcW w:w="1144" w:type="dxa"/>
            <w:vAlign w:val="center"/>
          </w:tcPr>
          <w:p>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auto"/>
                <w:sz w:val="21"/>
                <w:szCs w:val="21"/>
                <w:highlight w:val="none"/>
                <w:vertAlign w:val="baseline"/>
                <w:lang w:val="en-US" w:eastAsia="zh-CN"/>
              </w:rPr>
            </w:pPr>
            <w:bookmarkStart w:id="23" w:name="_Toc15441"/>
            <w:bookmarkStart w:id="24" w:name="_Toc13690"/>
            <w:r>
              <w:rPr>
                <w:rFonts w:hint="default" w:ascii="Times New Roman" w:hAnsi="Times New Roman" w:eastAsia="宋体" w:cs="Times New Roman"/>
                <w:snapToGrid w:val="0"/>
                <w:color w:val="auto"/>
                <w:sz w:val="21"/>
                <w:szCs w:val="21"/>
                <w:highlight w:val="none"/>
                <w:vertAlign w:val="baseline"/>
                <w:lang w:val="en-US" w:eastAsia="zh-CN"/>
              </w:rPr>
              <w:t>污染物排放管控</w:t>
            </w:r>
            <w:bookmarkEnd w:id="23"/>
            <w:bookmarkEnd w:id="24"/>
          </w:p>
        </w:tc>
        <w:tc>
          <w:tcPr>
            <w:tcW w:w="7821" w:type="dxa"/>
            <w:gridSpan w:val="2"/>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1、定期通报降尘量监测结果，降尘量最高值高于9吨/月·平方公里的市县要开展降尘专项整治。 </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2、2021年10月底前，全面完成钢铁企业在产设备超低排放改造。 </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3、焦化行业超低排放改造于</w:t>
            </w:r>
            <w:r>
              <w:rPr>
                <w:rFonts w:hint="eastAsia" w:ascii="Times New Roman" w:cs="Times New Roman"/>
                <w:color w:val="auto"/>
                <w:kern w:val="0"/>
                <w:sz w:val="21"/>
                <w:szCs w:val="21"/>
                <w:highlight w:val="none"/>
                <w:lang w:val="en-US" w:eastAsia="zh-CN" w:bidi="ar"/>
              </w:rPr>
              <w:t>2</w:t>
            </w:r>
            <w:r>
              <w:rPr>
                <w:rFonts w:hint="default" w:ascii="Times New Roman" w:hAnsi="Times New Roman" w:eastAsia="宋体" w:cs="Times New Roman"/>
                <w:color w:val="auto"/>
                <w:kern w:val="0"/>
                <w:sz w:val="21"/>
                <w:szCs w:val="21"/>
                <w:highlight w:val="none"/>
                <w:lang w:val="en-US" w:eastAsia="zh-CN" w:bidi="ar"/>
              </w:rPr>
              <w:t xml:space="preserve">023年底前全部完成。 </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4、年货运量150万吨以上工业企业公路运输的车辆要全部达到国五及以上标准，其中位于市区规划区的钢铁等企业</w:t>
            </w:r>
            <w:r>
              <w:rPr>
                <w:rFonts w:hint="default" w:ascii="Times New Roman" w:hAnsi="Times New Roman"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进出厂大宗物料2021年10月1日前要全部采用铁路或管道、管状带式输送机等清洁方式运输，公路运输采用国六排放标准及以上的汽车或新能源车辆。</w:t>
            </w:r>
          </w:p>
        </w:tc>
        <w:tc>
          <w:tcPr>
            <w:tcW w:w="3343"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eastAsia="宋体" w:cs="Times New Roman"/>
                <w:snapToGrid w:val="0"/>
                <w:color w:val="auto"/>
                <w:sz w:val="21"/>
                <w:szCs w:val="21"/>
                <w:highlight w:val="yellow"/>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本项目</w:t>
            </w:r>
            <w:r>
              <w:rPr>
                <w:rFonts w:hint="default" w:ascii="Times New Roman" w:hAnsi="Times New Roman" w:cs="Times New Roman"/>
                <w:color w:val="auto"/>
                <w:kern w:val="0"/>
                <w:sz w:val="21"/>
                <w:szCs w:val="21"/>
                <w:highlight w:val="none"/>
                <w:lang w:val="en-US" w:eastAsia="zh-CN" w:bidi="ar"/>
              </w:rPr>
              <w:t>为布草洗涤项目，</w:t>
            </w:r>
            <w:r>
              <w:rPr>
                <w:rFonts w:hint="default" w:ascii="Times New Roman" w:hAnsi="Times New Roman" w:eastAsia="宋体" w:cs="Times New Roman"/>
                <w:color w:val="auto"/>
                <w:kern w:val="0"/>
                <w:sz w:val="21"/>
                <w:szCs w:val="21"/>
                <w:highlight w:val="none"/>
                <w:lang w:val="en-US" w:eastAsia="zh-CN" w:bidi="ar"/>
              </w:rPr>
              <w:t>不属于钢铁、焦化行业</w:t>
            </w:r>
            <w:r>
              <w:rPr>
                <w:rFonts w:hint="default" w:ascii="Times New Roman" w:hAnsi="Times New Roman" w:cs="Times New Roman"/>
                <w:color w:val="auto"/>
                <w:kern w:val="0"/>
                <w:sz w:val="21"/>
                <w:szCs w:val="21"/>
                <w:highlight w:val="none"/>
                <w:lang w:val="en-US" w:eastAsia="zh-CN" w:bidi="ar"/>
              </w:rPr>
              <w:t>，且</w:t>
            </w:r>
            <w:r>
              <w:rPr>
                <w:rFonts w:hint="default" w:ascii="Times New Roman" w:hAnsi="Times New Roman" w:eastAsia="宋体" w:cs="Times New Roman"/>
                <w:color w:val="auto"/>
                <w:kern w:val="0"/>
                <w:sz w:val="21"/>
                <w:szCs w:val="21"/>
                <w:highlight w:val="none"/>
                <w:lang w:val="en-US" w:eastAsia="zh-CN" w:bidi="ar"/>
              </w:rPr>
              <w:t>货运量小于150万吨。</w:t>
            </w:r>
            <w:r>
              <w:rPr>
                <w:rFonts w:hint="default" w:ascii="Times New Roman" w:hAnsi="Times New Roman" w:cs="Times New Roman"/>
                <w:color w:val="auto"/>
                <w:kern w:val="0"/>
                <w:sz w:val="21"/>
                <w:szCs w:val="21"/>
                <w:highlight w:val="none"/>
                <w:lang w:val="en-US" w:eastAsia="zh-CN" w:bidi="ar"/>
              </w:rPr>
              <w:t>原辅材料</w:t>
            </w:r>
            <w:r>
              <w:rPr>
                <w:rFonts w:hint="default" w:ascii="Times New Roman" w:hAnsi="Times New Roman" w:eastAsia="宋体" w:cs="Times New Roman"/>
                <w:color w:val="auto"/>
                <w:kern w:val="0"/>
                <w:sz w:val="21"/>
                <w:szCs w:val="21"/>
                <w:highlight w:val="none"/>
                <w:lang w:val="en-US" w:eastAsia="zh-CN" w:bidi="ar"/>
              </w:rPr>
              <w:t>运入及产品运出</w:t>
            </w:r>
            <w:r>
              <w:rPr>
                <w:rFonts w:hint="default" w:ascii="Times New Roman" w:hAnsi="Times New Roman" w:cs="Times New Roman"/>
                <w:color w:val="auto"/>
                <w:kern w:val="0"/>
                <w:sz w:val="21"/>
                <w:szCs w:val="21"/>
                <w:highlight w:val="none"/>
                <w:lang w:val="en-US" w:eastAsia="zh-CN" w:bidi="ar"/>
              </w:rPr>
              <w:t>均为</w:t>
            </w:r>
            <w:r>
              <w:rPr>
                <w:rFonts w:hint="default" w:ascii="Times New Roman" w:hAnsi="Times New Roman" w:eastAsia="宋体" w:cs="Times New Roman"/>
                <w:color w:val="auto"/>
                <w:kern w:val="0"/>
                <w:sz w:val="21"/>
                <w:szCs w:val="21"/>
                <w:highlight w:val="none"/>
                <w:lang w:val="en-US" w:eastAsia="zh-CN" w:bidi="ar"/>
              </w:rPr>
              <w:t>社会车辆公路运输。评价要求物料运输时采用新能源汽车或国六标准及以上的车辆，尽量采用厢式货车。</w:t>
            </w:r>
          </w:p>
        </w:tc>
        <w:tc>
          <w:tcPr>
            <w:tcW w:w="971" w:type="dxa"/>
            <w:tcBorders>
              <w:right w:val="single" w:color="auto" w:sz="12" w:space="0"/>
            </w:tcBorders>
            <w:vAlign w:val="center"/>
          </w:tcPr>
          <w:p>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auto"/>
                <w:sz w:val="21"/>
                <w:szCs w:val="21"/>
                <w:highlight w:val="yellow"/>
                <w:vertAlign w:val="baseline"/>
                <w:lang w:val="en-US" w:eastAsia="zh-CN"/>
              </w:rPr>
            </w:pPr>
            <w:bookmarkStart w:id="25" w:name="_Toc5654"/>
            <w:bookmarkStart w:id="26" w:name="_Toc20339"/>
            <w:bookmarkStart w:id="27" w:name="_Toc12385"/>
            <w:r>
              <w:rPr>
                <w:rFonts w:hint="default" w:ascii="Times New Roman" w:hAnsi="Times New Roman" w:eastAsia="宋体" w:cs="Times New Roman"/>
                <w:snapToGrid w:val="0"/>
                <w:color w:val="auto"/>
                <w:sz w:val="21"/>
                <w:szCs w:val="21"/>
                <w:highlight w:val="none"/>
                <w:vertAlign w:val="baseline"/>
                <w:lang w:val="en-US" w:eastAsia="zh-CN"/>
              </w:rPr>
              <w:t>符合</w:t>
            </w:r>
            <w:bookmarkEnd w:id="25"/>
            <w:bookmarkEnd w:id="26"/>
            <w:bookmarkEnd w:id="2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4" w:hRule="atLeast"/>
        </w:trPr>
        <w:tc>
          <w:tcPr>
            <w:tcW w:w="713" w:type="dxa"/>
            <w:tcBorders>
              <w:left w:val="single" w:color="auto" w:sz="12" w:space="0"/>
            </w:tcBorders>
            <w:vAlign w:val="center"/>
          </w:tcPr>
          <w:p>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auto"/>
                <w:sz w:val="21"/>
                <w:szCs w:val="21"/>
                <w:highlight w:val="none"/>
                <w:vertAlign w:val="baseline"/>
                <w:lang w:val="en-US" w:eastAsia="zh-CN"/>
              </w:rPr>
            </w:pPr>
            <w:bookmarkStart w:id="28" w:name="_Toc25905"/>
            <w:bookmarkStart w:id="29" w:name="_Toc29563"/>
            <w:bookmarkStart w:id="30" w:name="_Toc30466"/>
            <w:r>
              <w:rPr>
                <w:rFonts w:hint="default" w:ascii="Times New Roman" w:hAnsi="Times New Roman" w:eastAsia="宋体" w:cs="Times New Roman"/>
                <w:snapToGrid w:val="0"/>
                <w:color w:val="auto"/>
                <w:sz w:val="21"/>
                <w:szCs w:val="21"/>
                <w:highlight w:val="none"/>
                <w:vertAlign w:val="baseline"/>
                <w:lang w:val="en-US" w:eastAsia="zh-CN"/>
              </w:rPr>
              <w:t>3</w:t>
            </w:r>
            <w:bookmarkEnd w:id="28"/>
            <w:bookmarkEnd w:id="29"/>
            <w:bookmarkEnd w:id="30"/>
          </w:p>
        </w:tc>
        <w:tc>
          <w:tcPr>
            <w:tcW w:w="1144" w:type="dxa"/>
            <w:vAlign w:val="center"/>
          </w:tcPr>
          <w:p>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auto"/>
                <w:sz w:val="21"/>
                <w:szCs w:val="21"/>
                <w:highlight w:val="none"/>
                <w:vertAlign w:val="baseline"/>
                <w:lang w:val="en-US" w:eastAsia="zh-CN"/>
              </w:rPr>
            </w:pPr>
            <w:bookmarkStart w:id="31" w:name="_Toc15931"/>
            <w:bookmarkStart w:id="32" w:name="_Toc8381"/>
            <w:r>
              <w:rPr>
                <w:rFonts w:hint="default" w:ascii="Times New Roman" w:hAnsi="Times New Roman" w:eastAsia="宋体" w:cs="Times New Roman"/>
                <w:snapToGrid w:val="0"/>
                <w:color w:val="auto"/>
                <w:sz w:val="21"/>
                <w:szCs w:val="21"/>
                <w:highlight w:val="none"/>
                <w:vertAlign w:val="baseline"/>
                <w:lang w:val="en-US" w:eastAsia="zh-CN"/>
              </w:rPr>
              <w:t>环境风险防控</w:t>
            </w:r>
            <w:bookmarkEnd w:id="31"/>
            <w:bookmarkEnd w:id="32"/>
          </w:p>
        </w:tc>
        <w:tc>
          <w:tcPr>
            <w:tcW w:w="7821" w:type="dxa"/>
            <w:gridSpan w:val="2"/>
            <w:vAlign w:val="top"/>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val="en-US" w:eastAsia="zh-CN" w:bidi="ar"/>
              </w:rPr>
              <w:t>1</w:t>
            </w:r>
            <w:r>
              <w:rPr>
                <w:rFonts w:hint="default" w:ascii="Times New Roman" w:hAnsi="Times New Roman" w:eastAsia="宋体" w:cs="Times New Roman"/>
                <w:color w:val="auto"/>
                <w:kern w:val="0"/>
                <w:sz w:val="21"/>
                <w:szCs w:val="21"/>
                <w:highlight w:val="none"/>
                <w:lang w:val="en-US" w:eastAsia="zh-CN" w:bidi="ar"/>
              </w:rPr>
              <w:t>、项目防护距离应符合相关国家标准或规范要求。装置外部安全防护距离要符合《危险化学品生产、储存装置个人可接受风险标准和社会可接受风险标准》要求。</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2、在环境风险防控重点区域如居民集中区、医院和学校附近、重要水源涵养生态功能区等，以及因环境污染导致环境质量不能稳定达标的区域内，禁止新建或扩建可能引发环境风险的项目。 </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3、加强汾河、沁河等流域及饮用水水源地水环境风险防控工作，确定重点水环境风险源清单，建立应急物资储备库及保障机制。</w:t>
            </w:r>
          </w:p>
        </w:tc>
        <w:tc>
          <w:tcPr>
            <w:tcW w:w="3343"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本项目没有防护距离。本项目在采取环评报告中规定的措施后，废气、</w:t>
            </w:r>
            <w:r>
              <w:rPr>
                <w:rFonts w:hint="default" w:ascii="Times New Roman" w:hAnsi="Times New Roman" w:cs="Times New Roman"/>
                <w:color w:val="auto"/>
                <w:kern w:val="0"/>
                <w:sz w:val="21"/>
                <w:szCs w:val="21"/>
                <w:highlight w:val="none"/>
                <w:lang w:val="en-US" w:eastAsia="zh-CN" w:bidi="ar"/>
              </w:rPr>
              <w:t>废水、</w:t>
            </w:r>
            <w:r>
              <w:rPr>
                <w:rFonts w:hint="default" w:ascii="Times New Roman" w:hAnsi="Times New Roman" w:eastAsia="宋体" w:cs="Times New Roman"/>
                <w:color w:val="auto"/>
                <w:kern w:val="0"/>
                <w:sz w:val="21"/>
                <w:szCs w:val="21"/>
                <w:highlight w:val="none"/>
                <w:lang w:val="en-US" w:eastAsia="zh-CN" w:bidi="ar"/>
              </w:rPr>
              <w:t>噪声可达标排放；固体废物合理处置。</w:t>
            </w:r>
            <w:r>
              <w:rPr>
                <w:rFonts w:hint="default" w:ascii="Times New Roman" w:hAnsi="Times New Roman" w:cs="Times New Roman"/>
                <w:color w:val="auto"/>
                <w:kern w:val="0"/>
                <w:sz w:val="21"/>
                <w:szCs w:val="21"/>
                <w:highlight w:val="none"/>
                <w:lang w:val="en-US" w:eastAsia="zh-CN" w:bidi="ar"/>
              </w:rPr>
              <w:t>本项目距周围最近村庄</w:t>
            </w:r>
            <w:r>
              <w:rPr>
                <w:rFonts w:hint="eastAsia" w:ascii="Times New Roman" w:cs="Times New Roman"/>
                <w:color w:val="auto"/>
                <w:spacing w:val="0"/>
                <w:kern w:val="2"/>
                <w:sz w:val="21"/>
                <w:szCs w:val="21"/>
                <w:highlight w:val="none"/>
                <w:lang w:val="en-US" w:eastAsia="zh-CN" w:bidi="ar-SA"/>
              </w:rPr>
              <w:t>谭</w:t>
            </w:r>
            <w:r>
              <w:rPr>
                <w:rFonts w:hint="default" w:ascii="Times New Roman" w:hAnsi="Times New Roman" w:cs="Times New Roman"/>
                <w:color w:val="auto"/>
                <w:spacing w:val="0"/>
                <w:kern w:val="2"/>
                <w:sz w:val="21"/>
                <w:szCs w:val="21"/>
                <w:highlight w:val="none"/>
                <w:lang w:val="en-US" w:eastAsia="zh-CN" w:bidi="ar-SA"/>
              </w:rPr>
              <w:t>村</w:t>
            </w:r>
            <w:r>
              <w:rPr>
                <w:rFonts w:hint="default" w:ascii="Times New Roman" w:hAnsi="Times New Roman" w:cs="Times New Roman"/>
                <w:color w:val="auto"/>
                <w:kern w:val="0"/>
                <w:sz w:val="21"/>
                <w:szCs w:val="21"/>
                <w:highlight w:val="none"/>
                <w:lang w:val="en-US" w:eastAsia="zh-CN" w:bidi="ar"/>
              </w:rPr>
              <w:t>约</w:t>
            </w:r>
            <w:r>
              <w:rPr>
                <w:rFonts w:hint="eastAsia" w:ascii="Times New Roman" w:cs="Times New Roman"/>
                <w:color w:val="auto"/>
                <w:kern w:val="0"/>
                <w:sz w:val="21"/>
                <w:szCs w:val="21"/>
                <w:highlight w:val="none"/>
                <w:lang w:val="en-US" w:eastAsia="zh-CN" w:bidi="ar"/>
              </w:rPr>
              <w:t>168</w:t>
            </w:r>
            <w:r>
              <w:rPr>
                <w:rFonts w:hint="default" w:ascii="Times New Roman" w:hAnsi="Times New Roman" w:cs="Times New Roman"/>
                <w:color w:val="auto"/>
                <w:kern w:val="0"/>
                <w:sz w:val="21"/>
                <w:szCs w:val="21"/>
                <w:highlight w:val="none"/>
                <w:lang w:val="en-US" w:eastAsia="zh-CN" w:bidi="ar"/>
              </w:rPr>
              <w:t>m。距离项目最近地表水水体为项目南侧2.</w:t>
            </w:r>
            <w:r>
              <w:rPr>
                <w:rFonts w:hint="eastAsia" w:ascii="Times New Roman" w:cs="Times New Roman"/>
                <w:color w:val="auto"/>
                <w:kern w:val="0"/>
                <w:sz w:val="21"/>
                <w:szCs w:val="21"/>
                <w:highlight w:val="none"/>
                <w:lang w:val="en-US" w:eastAsia="zh-CN" w:bidi="ar"/>
              </w:rPr>
              <w:t>47</w:t>
            </w:r>
            <w:r>
              <w:rPr>
                <w:rFonts w:hint="default" w:ascii="Times New Roman" w:hAnsi="Times New Roman" w:cs="Times New Roman"/>
                <w:color w:val="auto"/>
                <w:kern w:val="0"/>
                <w:sz w:val="21"/>
                <w:szCs w:val="21"/>
                <w:highlight w:val="none"/>
                <w:lang w:val="en-US" w:eastAsia="zh-CN" w:bidi="ar"/>
              </w:rPr>
              <w:t>km的浍河。采取环评规定的风险防范措施后，本项目的环境风险在可接受范围。</w:t>
            </w:r>
          </w:p>
        </w:tc>
        <w:tc>
          <w:tcPr>
            <w:tcW w:w="971" w:type="dxa"/>
            <w:tcBorders>
              <w:right w:val="single" w:color="auto" w:sz="12" w:space="0"/>
            </w:tcBorders>
            <w:vAlign w:val="center"/>
          </w:tcPr>
          <w:p>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auto"/>
                <w:sz w:val="21"/>
                <w:szCs w:val="21"/>
                <w:highlight w:val="none"/>
                <w:vertAlign w:val="baseline"/>
                <w:lang w:val="en-US" w:eastAsia="zh-CN"/>
              </w:rPr>
            </w:pPr>
            <w:bookmarkStart w:id="33" w:name="_Toc32250"/>
            <w:bookmarkStart w:id="34" w:name="_Toc3893"/>
            <w:bookmarkStart w:id="35" w:name="_Toc11288"/>
            <w:r>
              <w:rPr>
                <w:rFonts w:hint="default" w:ascii="Times New Roman" w:hAnsi="Times New Roman" w:eastAsia="宋体" w:cs="Times New Roman"/>
                <w:snapToGrid w:val="0"/>
                <w:color w:val="auto"/>
                <w:sz w:val="21"/>
                <w:szCs w:val="21"/>
                <w:highlight w:val="none"/>
                <w:vertAlign w:val="baseline"/>
                <w:lang w:val="en-US" w:eastAsia="zh-CN"/>
              </w:rPr>
              <w:t>符合</w:t>
            </w:r>
            <w:bookmarkEnd w:id="33"/>
            <w:bookmarkEnd w:id="34"/>
            <w:bookmarkEnd w:id="3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13" w:type="dxa"/>
            <w:vMerge w:val="restart"/>
            <w:tcBorders>
              <w:left w:val="single" w:color="auto" w:sz="12" w:space="0"/>
            </w:tcBorders>
            <w:vAlign w:val="center"/>
          </w:tcPr>
          <w:p>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auto"/>
                <w:sz w:val="21"/>
                <w:szCs w:val="21"/>
                <w:highlight w:val="none"/>
                <w:vertAlign w:val="baseline"/>
                <w:lang w:val="en-US" w:eastAsia="zh-CN"/>
              </w:rPr>
            </w:pPr>
            <w:bookmarkStart w:id="36" w:name="_Toc19807"/>
            <w:bookmarkStart w:id="37" w:name="_Toc12715"/>
            <w:bookmarkStart w:id="38" w:name="_Toc32570"/>
            <w:r>
              <w:rPr>
                <w:rFonts w:hint="default" w:ascii="Times New Roman" w:hAnsi="Times New Roman" w:eastAsia="宋体" w:cs="Times New Roman"/>
                <w:snapToGrid w:val="0"/>
                <w:color w:val="auto"/>
                <w:sz w:val="21"/>
                <w:szCs w:val="21"/>
                <w:highlight w:val="none"/>
                <w:vertAlign w:val="baseline"/>
                <w:lang w:val="en-US" w:eastAsia="zh-CN"/>
              </w:rPr>
              <w:t>4</w:t>
            </w:r>
            <w:bookmarkEnd w:id="36"/>
            <w:bookmarkEnd w:id="37"/>
            <w:bookmarkEnd w:id="38"/>
          </w:p>
        </w:tc>
        <w:tc>
          <w:tcPr>
            <w:tcW w:w="1144" w:type="dxa"/>
            <w:vMerge w:val="restart"/>
            <w:vAlign w:val="center"/>
          </w:tcPr>
          <w:p>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auto"/>
                <w:sz w:val="21"/>
                <w:szCs w:val="21"/>
                <w:highlight w:val="none"/>
                <w:vertAlign w:val="baseline"/>
                <w:lang w:val="en-US" w:eastAsia="zh-CN"/>
              </w:rPr>
            </w:pPr>
            <w:bookmarkStart w:id="39" w:name="_Toc2268"/>
            <w:bookmarkStart w:id="40" w:name="_Toc25120"/>
            <w:r>
              <w:rPr>
                <w:rFonts w:hint="default" w:ascii="Times New Roman" w:hAnsi="Times New Roman" w:eastAsia="宋体" w:cs="Times New Roman"/>
                <w:snapToGrid w:val="0"/>
                <w:color w:val="auto"/>
                <w:sz w:val="21"/>
                <w:szCs w:val="21"/>
                <w:highlight w:val="none"/>
                <w:vertAlign w:val="baseline"/>
                <w:lang w:val="en-US" w:eastAsia="zh-CN"/>
              </w:rPr>
              <w:t>资源利用效率</w:t>
            </w:r>
            <w:bookmarkEnd w:id="39"/>
            <w:bookmarkEnd w:id="40"/>
          </w:p>
        </w:tc>
        <w:tc>
          <w:tcPr>
            <w:tcW w:w="1088"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vertAlign w:val="baseline"/>
                <w:lang w:val="en-US" w:eastAsia="zh-CN"/>
              </w:rPr>
              <w:t>资源利用</w:t>
            </w:r>
          </w:p>
        </w:tc>
        <w:tc>
          <w:tcPr>
            <w:tcW w:w="6733" w:type="dxa"/>
            <w:vAlign w:val="center"/>
          </w:tcPr>
          <w:p>
            <w:pPr>
              <w:keepNext w:val="0"/>
              <w:keepLines w:val="0"/>
              <w:pageBreakBefore w:val="0"/>
              <w:widowControl/>
              <w:numPr>
                <w:ilvl w:val="0"/>
                <w:numId w:val="5"/>
              </w:numPr>
              <w:suppressLineNumbers w:val="0"/>
              <w:kinsoku/>
              <w:wordWrap/>
              <w:overflowPunct/>
              <w:topLinePunct w:val="0"/>
              <w:autoSpaceDE/>
              <w:autoSpaceDN/>
              <w:bidi w:val="0"/>
              <w:adjustRightInd/>
              <w:snapToGrid/>
              <w:spacing w:line="320" w:lineRule="exact"/>
              <w:ind w:left="-480" w:leftChars="0" w:right="0" w:rightChars="0" w:firstLine="0" w:firstLineChars="0"/>
              <w:jc w:val="left"/>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水资源利用上线严格落实“十四五”相关目标指标。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2、实施最严格水资源管控，加强岩溶泉域水资源的保护和管理。</w:t>
            </w:r>
          </w:p>
        </w:tc>
        <w:tc>
          <w:tcPr>
            <w:tcW w:w="3343" w:type="dxa"/>
            <w:vAlign w:val="center"/>
          </w:tcPr>
          <w:p>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auto"/>
              <w:outlineLvl w:val="9"/>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cs="Times New Roman"/>
                <w:bCs/>
                <w:color w:val="auto"/>
                <w:spacing w:val="4"/>
                <w:sz w:val="21"/>
                <w:szCs w:val="21"/>
                <w:highlight w:val="none"/>
              </w:rPr>
              <w:t>本项目所在厂址不涉及泉域，本项目与周围泉域的位置关系见附图</w:t>
            </w:r>
            <w:r>
              <w:rPr>
                <w:rFonts w:hint="default" w:ascii="Times New Roman" w:hAnsi="Times New Roman" w:cs="Times New Roman"/>
                <w:bCs/>
                <w:color w:val="auto"/>
                <w:spacing w:val="4"/>
                <w:sz w:val="21"/>
                <w:szCs w:val="21"/>
                <w:highlight w:val="none"/>
                <w:lang w:val="en-US" w:eastAsia="zh-CN"/>
              </w:rPr>
              <w:t>6</w:t>
            </w:r>
            <w:r>
              <w:rPr>
                <w:rFonts w:hint="default" w:ascii="Times New Roman" w:hAnsi="Times New Roman" w:cs="Times New Roman"/>
                <w:bCs/>
                <w:color w:val="auto"/>
                <w:spacing w:val="4"/>
                <w:sz w:val="21"/>
                <w:szCs w:val="21"/>
                <w:highlight w:val="none"/>
              </w:rPr>
              <w:t>。本项目水资源利用量相对较少，满足资源利用上线要求。</w:t>
            </w:r>
          </w:p>
        </w:tc>
        <w:tc>
          <w:tcPr>
            <w:tcW w:w="971" w:type="dxa"/>
            <w:tcBorders>
              <w:right w:val="single" w:color="auto" w:sz="12" w:space="0"/>
            </w:tcBorders>
            <w:vAlign w:val="center"/>
          </w:tcPr>
          <w:p>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auto"/>
                <w:sz w:val="21"/>
                <w:szCs w:val="21"/>
                <w:highlight w:val="none"/>
                <w:vertAlign w:val="baseline"/>
                <w:lang w:val="en-US" w:eastAsia="zh-CN"/>
              </w:rPr>
            </w:pPr>
            <w:bookmarkStart w:id="41" w:name="_Toc16532"/>
            <w:bookmarkStart w:id="42" w:name="_Toc4205"/>
            <w:bookmarkStart w:id="43" w:name="_Toc10792"/>
            <w:r>
              <w:rPr>
                <w:rFonts w:hint="default" w:ascii="Times New Roman" w:hAnsi="Times New Roman" w:eastAsia="宋体" w:cs="Times New Roman"/>
                <w:snapToGrid w:val="0"/>
                <w:color w:val="auto"/>
                <w:sz w:val="21"/>
                <w:szCs w:val="21"/>
                <w:highlight w:val="none"/>
                <w:vertAlign w:val="baseline"/>
                <w:lang w:val="en-US" w:eastAsia="zh-CN"/>
              </w:rPr>
              <w:t>符合</w:t>
            </w:r>
            <w:bookmarkEnd w:id="41"/>
            <w:bookmarkEnd w:id="42"/>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13" w:type="dxa"/>
            <w:vMerge w:val="continue"/>
            <w:tcBorders>
              <w:left w:val="single" w:color="auto" w:sz="12" w:space="0"/>
            </w:tcBorders>
            <w:vAlign w:val="center"/>
          </w:tcPr>
          <w:p>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auto"/>
                <w:sz w:val="21"/>
                <w:szCs w:val="21"/>
                <w:highlight w:val="none"/>
                <w:vertAlign w:val="baseline"/>
                <w:lang w:val="en-US" w:eastAsia="zh-CN"/>
              </w:rPr>
            </w:pPr>
          </w:p>
        </w:tc>
        <w:tc>
          <w:tcPr>
            <w:tcW w:w="1144" w:type="dxa"/>
            <w:vMerge w:val="continue"/>
            <w:vAlign w:val="center"/>
          </w:tcPr>
          <w:p>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auto"/>
                <w:sz w:val="21"/>
                <w:szCs w:val="21"/>
                <w:highlight w:val="none"/>
                <w:vertAlign w:val="baseline"/>
                <w:lang w:val="en-US" w:eastAsia="zh-CN"/>
              </w:rPr>
            </w:pPr>
          </w:p>
        </w:tc>
        <w:tc>
          <w:tcPr>
            <w:tcW w:w="1088"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snapToGrid w:val="0"/>
                <w:color w:val="auto"/>
                <w:sz w:val="21"/>
                <w:szCs w:val="21"/>
                <w:highlight w:val="none"/>
                <w:vertAlign w:val="baseline"/>
                <w:lang w:val="en-US" w:eastAsia="zh-CN"/>
              </w:rPr>
              <w:t>能源利用</w:t>
            </w:r>
          </w:p>
        </w:tc>
        <w:tc>
          <w:tcPr>
            <w:tcW w:w="6733"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1、到2022年，实现未达标处置存量矸石回填矿井、新建矿井不可利用矸石全部返井。 </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2、煤矿企业主要污染物达标排放率达到100%，煤矸石利用率达到75%以上。 </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3、保持煤炭消费总量负增长，积极推进碳达峰碳中和目标愿景。</w:t>
            </w:r>
          </w:p>
        </w:tc>
        <w:tc>
          <w:tcPr>
            <w:tcW w:w="3343" w:type="dxa"/>
            <w:vAlign w:val="center"/>
          </w:tcPr>
          <w:p>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auto"/>
              <w:outlineLvl w:val="9"/>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cs="Times New Roman"/>
                <w:bCs/>
                <w:color w:val="auto"/>
                <w:spacing w:val="4"/>
                <w:sz w:val="21"/>
                <w:szCs w:val="21"/>
              </w:rPr>
              <w:t>本项目不属于煤矿企业，运营期内不涉及原煤的使用，能源消耗主要为水、电，但是其资源消耗量相对区域资源利用总量较少，不会突破区域资源利用上线。</w:t>
            </w:r>
          </w:p>
        </w:tc>
        <w:tc>
          <w:tcPr>
            <w:tcW w:w="971" w:type="dxa"/>
            <w:tcBorders>
              <w:right w:val="single" w:color="auto" w:sz="12" w:space="0"/>
            </w:tcBorders>
            <w:vAlign w:val="center"/>
          </w:tcPr>
          <w:p>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13" w:type="dxa"/>
            <w:vMerge w:val="continue"/>
            <w:tcBorders>
              <w:left w:val="single" w:color="auto" w:sz="12" w:space="0"/>
            </w:tcBorders>
            <w:vAlign w:val="center"/>
          </w:tcPr>
          <w:p>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auto"/>
                <w:sz w:val="21"/>
                <w:szCs w:val="21"/>
                <w:highlight w:val="none"/>
                <w:vertAlign w:val="baseline"/>
                <w:lang w:val="en-US" w:eastAsia="zh-CN"/>
              </w:rPr>
            </w:pPr>
          </w:p>
        </w:tc>
        <w:tc>
          <w:tcPr>
            <w:tcW w:w="1144" w:type="dxa"/>
            <w:vMerge w:val="continue"/>
            <w:vAlign w:val="center"/>
          </w:tcPr>
          <w:p>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auto"/>
                <w:sz w:val="21"/>
                <w:szCs w:val="21"/>
                <w:highlight w:val="none"/>
                <w:vertAlign w:val="baseline"/>
                <w:lang w:val="en-US" w:eastAsia="zh-CN"/>
              </w:rPr>
            </w:pPr>
          </w:p>
        </w:tc>
        <w:tc>
          <w:tcPr>
            <w:tcW w:w="1088" w:type="dxa"/>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snapToGrid w:val="0"/>
                <w:color w:val="auto"/>
                <w:sz w:val="21"/>
                <w:szCs w:val="21"/>
                <w:highlight w:val="none"/>
                <w:vertAlign w:val="baseline"/>
                <w:lang w:val="en-US" w:eastAsia="zh-CN"/>
              </w:rPr>
              <w:t>土地资源利用</w:t>
            </w:r>
          </w:p>
        </w:tc>
        <w:tc>
          <w:tcPr>
            <w:tcW w:w="6733" w:type="dxa"/>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1、土地资源利用上线严格落实国土空间规划和“十四五”相关目标指标。 </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2、严守耕地红线，坚决遏制耕地“非农化”，防止“非粮化”。 </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 xml:space="preserve">3、以黄河干流沿岸县(市、区)为重点，全面实行在墀面修建软捻田、螈面缓坡地建果园、坡耕地全面退耕造林并实行封禁、沟底打坝造地建设高标准基本农田的水土保持治理模式，促进黄河流域生态保护和高质量发展。 </w:t>
            </w:r>
          </w:p>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4、开展黄河流域历史遗留矿山生态修复项目，推动矿山生态恢复治理示范工程建设。</w:t>
            </w:r>
          </w:p>
        </w:tc>
        <w:tc>
          <w:tcPr>
            <w:tcW w:w="3343" w:type="dxa"/>
            <w:vAlign w:val="center"/>
          </w:tcPr>
          <w:p>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both"/>
              <w:textAlignment w:val="auto"/>
              <w:outlineLvl w:val="9"/>
              <w:rPr>
                <w:rFonts w:hint="default" w:ascii="Times New Roman" w:hAnsi="Times New Roman" w:eastAsia="宋体" w:cs="Times New Roman"/>
                <w:snapToGrid w:val="0"/>
                <w:color w:val="auto"/>
                <w:sz w:val="21"/>
                <w:szCs w:val="21"/>
                <w:highlight w:val="yellow"/>
                <w:vertAlign w:val="baseline"/>
                <w:lang w:val="en-US" w:eastAsia="zh-CN"/>
              </w:rPr>
            </w:pPr>
            <w:r>
              <w:rPr>
                <w:rFonts w:hint="default" w:ascii="Times New Roman" w:hAnsi="Times New Roman" w:cs="Times New Roman"/>
                <w:bCs/>
                <w:color w:val="auto"/>
                <w:spacing w:val="4"/>
                <w:sz w:val="21"/>
                <w:szCs w:val="21"/>
              </w:rPr>
              <w:t>本项</w:t>
            </w:r>
            <w:r>
              <w:rPr>
                <w:rFonts w:hint="default" w:ascii="Times New Roman" w:hAnsi="Times New Roman" w:cs="Times New Roman"/>
                <w:bCs/>
                <w:color w:val="auto"/>
                <w:spacing w:val="4"/>
                <w:sz w:val="21"/>
                <w:szCs w:val="21"/>
                <w:highlight w:val="none"/>
              </w:rPr>
              <w:t>目</w:t>
            </w:r>
            <w:r>
              <w:rPr>
                <w:rFonts w:hint="default" w:ascii="Times New Roman" w:hAnsi="Times New Roman" w:cs="Times New Roman"/>
                <w:bCs/>
                <w:color w:val="auto"/>
                <w:spacing w:val="4"/>
                <w:sz w:val="21"/>
                <w:szCs w:val="21"/>
                <w:highlight w:val="none"/>
                <w:lang w:val="en-US" w:eastAsia="zh-CN"/>
              </w:rPr>
              <w:t>租</w:t>
            </w:r>
            <w:r>
              <w:rPr>
                <w:rFonts w:hint="default" w:ascii="Times New Roman" w:hAnsi="Times New Roman" w:cs="Times New Roman"/>
                <w:bCs/>
                <w:color w:val="auto"/>
                <w:spacing w:val="4"/>
                <w:sz w:val="21"/>
                <w:szCs w:val="21"/>
                <w:highlight w:val="none"/>
              </w:rPr>
              <w:t>用</w:t>
            </w:r>
            <w:r>
              <w:rPr>
                <w:rFonts w:hint="eastAsia" w:ascii="Times New Roman" w:hAnsi="Times New Roman" w:cs="Times New Roman"/>
                <w:bCs/>
                <w:color w:val="auto"/>
                <w:spacing w:val="4"/>
                <w:sz w:val="21"/>
                <w:szCs w:val="21"/>
                <w:highlight w:val="none"/>
                <w:lang w:val="en-US" w:eastAsia="zh-CN"/>
              </w:rPr>
              <w:t>石胜强塑料制品厂</w:t>
            </w:r>
            <w:r>
              <w:rPr>
                <w:rFonts w:hint="default" w:ascii="Times New Roman" w:hAnsi="Times New Roman" w:cs="Times New Roman"/>
                <w:bCs/>
                <w:color w:val="auto"/>
                <w:spacing w:val="4"/>
                <w:sz w:val="21"/>
                <w:szCs w:val="21"/>
                <w:highlight w:val="none"/>
              </w:rPr>
              <w:t>用地，不涉及耕地及基本农田的占用，项</w:t>
            </w:r>
            <w:r>
              <w:rPr>
                <w:rFonts w:hint="default" w:ascii="Times New Roman" w:hAnsi="Times New Roman" w:cs="Times New Roman"/>
                <w:bCs/>
                <w:color w:val="auto"/>
                <w:spacing w:val="4"/>
                <w:sz w:val="21"/>
                <w:szCs w:val="21"/>
              </w:rPr>
              <w:t>目不涉及矿山开采；满足土地节约集约利用的管理要求。</w:t>
            </w:r>
          </w:p>
        </w:tc>
        <w:tc>
          <w:tcPr>
            <w:tcW w:w="971" w:type="dxa"/>
            <w:tcBorders>
              <w:right w:val="single" w:color="auto" w:sz="12" w:space="0"/>
            </w:tcBorders>
            <w:vAlign w:val="center"/>
          </w:tcPr>
          <w:p>
            <w:pPr>
              <w:pStyle w:val="33"/>
              <w:keepNext w:val="0"/>
              <w:keepLines w:val="0"/>
              <w:pageBreakBefore w:val="0"/>
              <w:widowControl/>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outlineLvl w:val="9"/>
              <w:rPr>
                <w:rFonts w:hint="default" w:ascii="Times New Roman" w:hAnsi="Times New Roman" w:eastAsia="宋体" w:cs="Times New Roman"/>
                <w:snapToGrid w:val="0"/>
                <w:color w:val="auto"/>
                <w:sz w:val="21"/>
                <w:szCs w:val="21"/>
                <w:highlight w:val="none"/>
                <w:vertAlign w:val="baseline"/>
                <w:lang w:val="en-US" w:eastAsia="zh-CN"/>
              </w:rPr>
            </w:pPr>
            <w:r>
              <w:rPr>
                <w:rFonts w:hint="default" w:ascii="Times New Roman" w:hAnsi="Times New Roman" w:eastAsia="宋体" w:cs="Times New Roman"/>
                <w:snapToGrid w:val="0"/>
                <w:color w:val="auto"/>
                <w:sz w:val="21"/>
                <w:szCs w:val="21"/>
                <w:highlight w:val="none"/>
                <w:vertAlign w:val="baseline"/>
                <w:lang w:val="en-US" w:eastAsia="zh-CN"/>
              </w:rPr>
              <w:t>符合</w:t>
            </w:r>
          </w:p>
        </w:tc>
      </w:tr>
    </w:tbl>
    <w:p>
      <w:pPr>
        <w:keepNext w:val="0"/>
        <w:keepLines w:val="0"/>
        <w:pageBreakBefore w:val="0"/>
        <w:kinsoku/>
        <w:overflowPunct/>
        <w:topLinePunct w:val="0"/>
        <w:bidi w:val="0"/>
        <w:snapToGrid/>
        <w:textAlignment w:val="auto"/>
        <w:outlineLvl w:val="9"/>
        <w:rPr>
          <w:rFonts w:hint="default" w:ascii="Times New Roman" w:hAnsi="Times New Roman" w:cs="Times New Roman"/>
          <w:color w:val="auto"/>
        </w:rPr>
        <w:sectPr>
          <w:pgSz w:w="16838" w:h="11906" w:orient="landscape"/>
          <w:pgMar w:top="1531" w:right="1531" w:bottom="1531" w:left="1531" w:header="850" w:footer="850" w:gutter="0"/>
          <w:pgBorders>
            <w:top w:val="none" w:sz="0" w:space="0"/>
            <w:left w:val="none" w:sz="0" w:space="0"/>
            <w:bottom w:val="none" w:sz="0" w:space="0"/>
            <w:right w:val="none" w:sz="0" w:space="0"/>
          </w:pgBorders>
          <w:pgNumType w:fmt="decimal"/>
          <w:cols w:space="720" w:num="1"/>
          <w:rtlGutter w:val="0"/>
          <w:docGrid w:linePitch="312" w:charSpace="0"/>
        </w:sectPr>
      </w:pP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5"/>
        <w:gridCol w:w="7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0" w:hRule="atLeast"/>
        </w:trPr>
        <w:tc>
          <w:tcPr>
            <w:tcW w:w="1775" w:type="dxa"/>
            <w:vAlign w:val="center"/>
          </w:tcPr>
          <w:p>
            <w:pPr>
              <w:pStyle w:val="33"/>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line="460" w:lineRule="exact"/>
              <w:ind w:right="0" w:rightChars="0"/>
              <w:jc w:val="center"/>
              <w:textAlignment w:val="auto"/>
              <w:outlineLvl w:val="9"/>
              <w:rPr>
                <w:rFonts w:hint="default" w:ascii="Times New Roman" w:hAnsi="Times New Roman" w:eastAsia="黑体" w:cs="Times New Roman"/>
                <w:snapToGrid w:val="0"/>
                <w:color w:val="auto"/>
                <w:sz w:val="30"/>
                <w:szCs w:val="30"/>
                <w:highlight w:val="none"/>
                <w:vertAlign w:val="baseline"/>
              </w:rPr>
            </w:pPr>
            <w:r>
              <w:rPr>
                <w:rFonts w:hint="default" w:ascii="Times New Roman" w:hAnsi="Times New Roman" w:cs="Times New Roman"/>
                <w:color w:val="auto"/>
                <w:kern w:val="0"/>
                <w:sz w:val="24"/>
                <w:szCs w:val="24"/>
                <w:highlight w:val="none"/>
                <w:lang w:val="en-US" w:eastAsia="zh-CN"/>
              </w:rPr>
              <w:t>其它符合性分析</w:t>
            </w:r>
          </w:p>
        </w:tc>
        <w:tc>
          <w:tcPr>
            <w:tcW w:w="7285" w:type="dxa"/>
            <w:vAlign w:val="top"/>
          </w:tcPr>
          <w:p>
            <w:pPr>
              <w:keepNext w:val="0"/>
              <w:keepLines w:val="0"/>
              <w:pageBreakBefore w:val="0"/>
              <w:widowControl/>
              <w:kinsoku/>
              <w:wordWrap/>
              <w:overflowPunct/>
              <w:topLinePunct w:val="0"/>
              <w:autoSpaceDE/>
              <w:autoSpaceDN/>
              <w:bidi w:val="0"/>
              <w:adjustRightInd/>
              <w:snapToGrid/>
              <w:spacing w:line="460" w:lineRule="exact"/>
              <w:ind w:firstLine="482" w:firstLineChars="200"/>
              <w:jc w:val="left"/>
              <w:textAlignment w:val="auto"/>
              <w:outlineLvl w:val="9"/>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3、与《翼城县国土空间总体规划（2021-2035年）》的符合性分析</w:t>
            </w:r>
          </w:p>
          <w:p>
            <w:pPr>
              <w:keepNext w:val="0"/>
              <w:keepLines w:val="0"/>
              <w:pageBreakBefore w:val="0"/>
              <w:kinsoku/>
              <w:wordWrap/>
              <w:overflowPunct/>
              <w:topLinePunct w:val="0"/>
              <w:autoSpaceDE w:val="0"/>
              <w:autoSpaceDN w:val="0"/>
              <w:bidi w:val="0"/>
              <w:adjustRightInd w:val="0"/>
              <w:snapToGrid w:val="0"/>
              <w:spacing w:line="460" w:lineRule="exact"/>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kern w:val="0"/>
                <w:sz w:val="24"/>
                <w:szCs w:val="24"/>
                <w:highlight w:val="none"/>
              </w:rPr>
              <w:t>《</w:t>
            </w:r>
            <w:r>
              <w:rPr>
                <w:rFonts w:hint="default" w:ascii="Times New Roman" w:hAnsi="Times New Roman" w:cs="Times New Roman"/>
                <w:color w:val="auto"/>
                <w:sz w:val="24"/>
                <w:szCs w:val="24"/>
                <w:highlight w:val="none"/>
              </w:rPr>
              <w:t>翼城县国土空间总体规划（2021-2035年）》</w:t>
            </w:r>
            <w:r>
              <w:rPr>
                <w:rFonts w:hint="default" w:ascii="Times New Roman" w:hAnsi="Times New Roman" w:cs="Times New Roman"/>
                <w:color w:val="auto"/>
                <w:sz w:val="24"/>
                <w:szCs w:val="24"/>
                <w:highlight w:val="none"/>
                <w:lang w:eastAsia="zh-CN"/>
              </w:rPr>
              <w:t>统筹划定了“三区三线”，提出：坚持底线约束，统筹落实永久基本农田、生态保护红线、城镇开发边界划定。要求</w:t>
            </w:r>
            <w:r>
              <w:rPr>
                <w:rFonts w:hint="default" w:ascii="Times New Roman" w:hAnsi="Times New Roman" w:cs="Times New Roman"/>
                <w:color w:val="auto"/>
                <w:sz w:val="24"/>
                <w:szCs w:val="24"/>
                <w:highlight w:val="none"/>
              </w:rPr>
              <w:t>落实最严格的耕地保护制度，严格控制将耕地转为非耕地</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鼓励高标准农田建设和土地整治，以保障国家粮食安全和重要农产品供给</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将自然保护地、生态功能极重要区域以及生态极敏感脆弱区域划入生态保护红线</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在一定时期内因城镇发展需要，可以集中进行城镇开发建设、以城镇功能为主的区域边界，包括中心城区、建制镇以及工业园区等。</w:t>
            </w:r>
          </w:p>
          <w:p>
            <w:pPr>
              <w:keepNext w:val="0"/>
              <w:keepLines w:val="0"/>
              <w:pageBreakBefore w:val="0"/>
              <w:kinsoku/>
              <w:wordWrap/>
              <w:overflowPunct/>
              <w:topLinePunct w:val="0"/>
              <w:autoSpaceDE w:val="0"/>
              <w:autoSpaceDN w:val="0"/>
              <w:bidi w:val="0"/>
              <w:adjustRightInd w:val="0"/>
              <w:snapToGrid w:val="0"/>
              <w:spacing w:line="460" w:lineRule="exact"/>
              <w:ind w:firstLine="480" w:firstLineChars="20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规划提出构建“一心、两带、三区”、“中产城、东生态、西农旅”的国土空间总体格局，其中“一心”：</w:t>
            </w:r>
            <w:r>
              <w:rPr>
                <w:rFonts w:hint="default" w:ascii="Times New Roman" w:hAnsi="Times New Roman" w:cs="Times New Roman"/>
                <w:color w:val="auto"/>
                <w:sz w:val="24"/>
                <w:szCs w:val="24"/>
                <w:highlight w:val="none"/>
                <w:lang w:val="en-US" w:eastAsia="zh-CN"/>
              </w:rPr>
              <w:t>翼城县高质量发展核心区域。“两带”：南北城镇空间发展带、浍河生态保育带。“三区”：中部产业转型与城镇高质量发展提质区、东部生态保护与休闲旅游绿色屏障区、西部现代农业与田园康养乡村发展示范区。</w:t>
            </w:r>
          </w:p>
          <w:p>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color w:val="auto"/>
                <w:kern w:val="0"/>
                <w:sz w:val="24"/>
                <w:szCs w:val="24"/>
                <w:highlight w:val="none"/>
              </w:rPr>
              <w:t>本项目与临汾国土空间规划相对位置关系图</w:t>
            </w:r>
            <w:r>
              <w:rPr>
                <w:rFonts w:hint="default" w:ascii="Times New Roman" w:hAnsi="Times New Roman" w:cs="Times New Roman"/>
                <w:color w:val="auto"/>
                <w:kern w:val="0"/>
                <w:sz w:val="24"/>
                <w:szCs w:val="24"/>
                <w:highlight w:val="none"/>
                <w:lang w:val="en-US" w:eastAsia="zh-CN"/>
              </w:rPr>
              <w:t>见附图7，</w:t>
            </w:r>
            <w:r>
              <w:rPr>
                <w:rFonts w:hint="default" w:ascii="Times New Roman" w:hAnsi="Times New Roman" w:cs="Times New Roman"/>
                <w:color w:val="auto"/>
                <w:kern w:val="0"/>
                <w:sz w:val="24"/>
                <w:szCs w:val="24"/>
                <w:highlight w:val="none"/>
              </w:rPr>
              <w:t>本项目</w:t>
            </w:r>
            <w:r>
              <w:rPr>
                <w:rFonts w:hint="eastAsia" w:ascii="Times New Roman" w:cs="Times New Roman"/>
                <w:color w:val="auto"/>
                <w:kern w:val="0"/>
                <w:sz w:val="24"/>
                <w:szCs w:val="24"/>
                <w:highlight w:val="none"/>
                <w:lang w:val="en-US" w:eastAsia="zh-CN"/>
              </w:rPr>
              <w:t>不占用</w:t>
            </w:r>
            <w:r>
              <w:rPr>
                <w:rFonts w:hint="default" w:ascii="Times New Roman" w:hAnsi="Times New Roman" w:cs="Times New Roman"/>
                <w:color w:val="auto"/>
                <w:sz w:val="24"/>
                <w:szCs w:val="24"/>
                <w:highlight w:val="none"/>
                <w:lang w:eastAsia="zh-CN"/>
              </w:rPr>
              <w:t>永久基本农田、生态保护红线</w:t>
            </w:r>
            <w:r>
              <w:rPr>
                <w:rFonts w:hint="default" w:ascii="Times New Roman" w:hAnsi="Times New Roman" w:cs="Times New Roman"/>
                <w:color w:val="auto"/>
                <w:kern w:val="0"/>
                <w:sz w:val="24"/>
                <w:szCs w:val="24"/>
                <w:highlight w:val="none"/>
                <w:lang w:val="en-US" w:eastAsia="zh-CN"/>
              </w:rPr>
              <w:t>，处于</w:t>
            </w:r>
            <w:r>
              <w:rPr>
                <w:rFonts w:hint="default" w:ascii="Times New Roman" w:hAnsi="Times New Roman" w:cs="Times New Roman"/>
                <w:color w:val="auto"/>
                <w:sz w:val="24"/>
                <w:szCs w:val="24"/>
                <w:highlight w:val="none"/>
                <w:lang w:val="en-US" w:eastAsia="zh-CN"/>
              </w:rPr>
              <w:t>中部产业转型与城镇高质量发展提质区</w:t>
            </w:r>
            <w:r>
              <w:rPr>
                <w:rFonts w:hint="default" w:ascii="Times New Roman" w:hAnsi="Times New Roman" w:cs="Times New Roman"/>
                <w:color w:val="auto"/>
                <w:kern w:val="0"/>
                <w:sz w:val="24"/>
                <w:szCs w:val="24"/>
                <w:highlight w:val="none"/>
                <w:lang w:val="en-US" w:eastAsia="zh-CN"/>
              </w:rPr>
              <w:t>，本项目的建设能够满足翼城县国土空间总体规划相关要求。</w:t>
            </w:r>
          </w:p>
          <w:p>
            <w:pPr>
              <w:pStyle w:val="134"/>
              <w:keepNext w:val="0"/>
              <w:keepLines w:val="0"/>
              <w:pageBreakBefore w:val="0"/>
              <w:numPr>
                <w:ilvl w:val="0"/>
                <w:numId w:val="0"/>
              </w:numPr>
              <w:kinsoku/>
              <w:wordWrap/>
              <w:overflowPunct/>
              <w:topLinePunct w:val="0"/>
              <w:bidi w:val="0"/>
              <w:snapToGrid w:val="0"/>
              <w:spacing w:line="460" w:lineRule="exact"/>
              <w:ind w:firstLine="482" w:firstLineChars="200"/>
              <w:textAlignment w:val="auto"/>
              <w:rPr>
                <w:rFonts w:hint="default" w:ascii="Times New Roman" w:hAnsi="Times New Roman" w:eastAsia="宋体" w:cs="Times New Roman"/>
                <w:b/>
                <w:snapToGrid w:val="0"/>
                <w:color w:val="000000"/>
                <w:kern w:val="0"/>
                <w:szCs w:val="24"/>
                <w:lang w:val="en-US" w:eastAsia="zh-CN"/>
              </w:rPr>
            </w:pPr>
            <w:r>
              <w:rPr>
                <w:rFonts w:hint="default" w:ascii="Times New Roman" w:hAnsi="Times New Roman" w:eastAsia="宋体" w:cs="Times New Roman"/>
                <w:b/>
                <w:snapToGrid w:val="0"/>
                <w:color w:val="000000"/>
                <w:kern w:val="0"/>
                <w:sz w:val="24"/>
                <w:szCs w:val="24"/>
                <w:lang w:val="en-US" w:eastAsia="zh-CN" w:bidi="ar-SA"/>
              </w:rPr>
              <w:t>4、</w:t>
            </w:r>
            <w:r>
              <w:rPr>
                <w:rFonts w:hint="default" w:ascii="Times New Roman" w:hAnsi="Times New Roman" w:eastAsia="宋体" w:cs="Times New Roman"/>
                <w:b/>
                <w:snapToGrid w:val="0"/>
                <w:color w:val="000000"/>
                <w:kern w:val="0"/>
                <w:szCs w:val="24"/>
                <w:lang w:val="en-US" w:eastAsia="zh-CN"/>
              </w:rPr>
              <w:t>关于印发《临汾市2023年空气质量提升行动计划暨综合指数稳定“退后十”攻坚行动方案》、《临汾市水环境质量再提升2023年行动计划》、《临汾市土壤污染防治2023年行动计划》、《临汾市地下水污染防治2023年行动计划》符合性分析</w:t>
            </w:r>
          </w:p>
          <w:p>
            <w:pPr>
              <w:keepNext w:val="0"/>
              <w:keepLines w:val="0"/>
              <w:pageBreakBefore w:val="0"/>
              <w:widowControl w:val="0"/>
              <w:numPr>
                <w:ilvl w:val="0"/>
                <w:numId w:val="0"/>
              </w:numPr>
              <w:kinsoku/>
              <w:wordWrap/>
              <w:overflowPunct/>
              <w:topLinePunct w:val="0"/>
              <w:bidi w:val="0"/>
              <w:snapToGrid w:val="0"/>
              <w:spacing w:line="460" w:lineRule="exact"/>
              <w:ind w:firstLine="480" w:firstLineChars="200"/>
              <w:jc w:val="both"/>
              <w:textAlignment w:val="auto"/>
              <w:rPr>
                <w:rFonts w:hint="default" w:ascii="Times New Roman" w:hAnsi="Times New Roman" w:eastAsia="方正书宋简体" w:cs="Times New Roman"/>
                <w:b/>
                <w:snapToGrid w:val="0"/>
                <w:color w:val="000000"/>
                <w:kern w:val="0"/>
                <w:sz w:val="24"/>
                <w:szCs w:val="24"/>
                <w:highlight w:val="none"/>
                <w:lang w:val="en-US" w:eastAsia="zh-CN" w:bidi="ar-SA"/>
              </w:rPr>
            </w:pPr>
            <w:r>
              <w:rPr>
                <w:rFonts w:hint="default" w:ascii="Times New Roman" w:hAnsi="Times New Roman" w:eastAsia="宋体" w:cs="Times New Roman"/>
                <w:b w:val="0"/>
                <w:bCs/>
                <w:snapToGrid w:val="0"/>
                <w:color w:val="000000"/>
                <w:kern w:val="0"/>
                <w:sz w:val="24"/>
                <w:szCs w:val="24"/>
                <w:lang w:val="en-US" w:eastAsia="zh-CN" w:bidi="ar-SA"/>
              </w:rPr>
              <w:t>本项目不属于“两高项目”，</w:t>
            </w:r>
            <w:r>
              <w:rPr>
                <w:rFonts w:hint="default" w:ascii="Times New Roman" w:hAnsi="Times New Roman" w:eastAsia="方正书宋简体" w:cs="Times New Roman"/>
                <w:kern w:val="2"/>
                <w:sz w:val="24"/>
                <w:szCs w:val="28"/>
                <w:lang w:val="en-US" w:eastAsia="zh-CN" w:bidi="ar-SA"/>
              </w:rPr>
              <w:t>施工时严格落实建筑施工扬尘“六个百分之百”，运营期严格按照环评提出的污染治理措施，废气对环境影响可接受，符</w:t>
            </w:r>
            <w:r>
              <w:rPr>
                <w:rFonts w:hint="default" w:ascii="Times New Roman" w:hAnsi="Times New Roman" w:eastAsia="方正书宋简体" w:cs="Times New Roman"/>
                <w:kern w:val="2"/>
                <w:sz w:val="24"/>
                <w:szCs w:val="28"/>
                <w:highlight w:val="none"/>
                <w:lang w:val="en-US" w:eastAsia="zh-CN" w:bidi="ar-SA"/>
              </w:rPr>
              <w:t>合《临汾市2023年空气质量提升行动计划暨综合指数稳定“退后十”攻坚行动方案》的相关要求。</w:t>
            </w:r>
          </w:p>
          <w:p>
            <w:pPr>
              <w:keepNext w:val="0"/>
              <w:keepLines w:val="0"/>
              <w:pageBreakBefore w:val="0"/>
              <w:widowControl w:val="0"/>
              <w:numPr>
                <w:ilvl w:val="0"/>
                <w:numId w:val="0"/>
              </w:numPr>
              <w:kinsoku/>
              <w:wordWrap/>
              <w:overflowPunct/>
              <w:topLinePunct w:val="0"/>
              <w:bidi w:val="0"/>
              <w:snapToGrid w:val="0"/>
              <w:spacing w:line="460" w:lineRule="exact"/>
              <w:ind w:firstLine="480" w:firstLineChars="200"/>
              <w:jc w:val="both"/>
              <w:textAlignment w:val="auto"/>
              <w:rPr>
                <w:rFonts w:hint="default" w:ascii="Times New Roman" w:hAnsi="Times New Roman" w:eastAsia="方正书宋简体" w:cs="Times New Roman"/>
                <w:b/>
                <w:snapToGrid w:val="0"/>
                <w:color w:val="000000"/>
                <w:kern w:val="0"/>
                <w:sz w:val="24"/>
                <w:szCs w:val="24"/>
                <w:highlight w:val="none"/>
                <w:lang w:val="en-US" w:eastAsia="zh-CN" w:bidi="ar-SA"/>
              </w:rPr>
            </w:pPr>
            <w:r>
              <w:rPr>
                <w:rFonts w:hint="eastAsia" w:ascii="Times New Roman" w:eastAsia="方正书宋简体" w:cs="Times New Roman"/>
                <w:bCs/>
                <w:kern w:val="2"/>
                <w:sz w:val="24"/>
                <w:szCs w:val="28"/>
                <w:highlight w:val="none"/>
                <w:lang w:val="en-US" w:eastAsia="zh-CN" w:bidi="ar-SA"/>
              </w:rPr>
              <w:t>生活污水、洗涤废水、锅炉排污水经污水处理站处理后，由罐车每天拉至市政污水管网排放点</w:t>
            </w:r>
            <w:r>
              <w:rPr>
                <w:rFonts w:hint="eastAsia" w:ascii="Times New Roman" w:hAnsi="Times New Roman" w:eastAsia="方正书宋简体" w:cs="Times New Roman"/>
                <w:bCs/>
                <w:kern w:val="2"/>
                <w:sz w:val="24"/>
                <w:szCs w:val="28"/>
                <w:highlight w:val="none"/>
                <w:lang w:val="en-US" w:eastAsia="zh-CN" w:bidi="ar-SA"/>
              </w:rPr>
              <w:t>，</w:t>
            </w:r>
            <w:r>
              <w:rPr>
                <w:rFonts w:hint="eastAsia" w:ascii="Times New Roman" w:eastAsia="方正书宋简体" w:cs="Times New Roman"/>
                <w:bCs/>
                <w:kern w:val="2"/>
                <w:sz w:val="24"/>
                <w:szCs w:val="28"/>
                <w:highlight w:val="none"/>
                <w:lang w:val="en-US" w:eastAsia="zh-CN" w:bidi="ar-SA"/>
              </w:rPr>
              <w:t>进入</w:t>
            </w:r>
            <w:r>
              <w:rPr>
                <w:rFonts w:hint="eastAsia" w:ascii="Times New Roman" w:hAnsi="Times New Roman" w:eastAsia="方正书宋简体" w:cs="Times New Roman"/>
                <w:bCs/>
                <w:kern w:val="2"/>
                <w:sz w:val="24"/>
                <w:szCs w:val="28"/>
                <w:highlight w:val="none"/>
                <w:lang w:val="en-US" w:eastAsia="zh-CN" w:bidi="ar-SA"/>
              </w:rPr>
              <w:t>翼城县润灏水务有限公司处理，</w:t>
            </w:r>
            <w:r>
              <w:rPr>
                <w:rFonts w:hint="default" w:ascii="Times New Roman" w:hAnsi="Times New Roman" w:eastAsia="方正书宋简体" w:cs="Times New Roman"/>
                <w:kern w:val="2"/>
                <w:sz w:val="24"/>
                <w:szCs w:val="28"/>
                <w:highlight w:val="none"/>
                <w:lang w:val="en-US" w:eastAsia="zh-CN" w:bidi="ar-SA"/>
              </w:rPr>
              <w:t>符合《临汾市水环境质量再提升2023年行动计划》的相关要求。</w:t>
            </w:r>
          </w:p>
          <w:p>
            <w:pPr>
              <w:keepNext w:val="0"/>
              <w:keepLines w:val="0"/>
              <w:pageBreakBefore w:val="0"/>
              <w:kinsoku/>
              <w:wordWrap/>
              <w:overflowPunct/>
              <w:topLinePunct w:val="0"/>
              <w:autoSpaceDE w:val="0"/>
              <w:autoSpaceDN w:val="0"/>
              <w:bidi w:val="0"/>
              <w:adjustRightInd w:val="0"/>
              <w:snapToGrid w:val="0"/>
              <w:spacing w:line="460" w:lineRule="exact"/>
              <w:ind w:firstLine="480" w:firstLineChars="200"/>
              <w:textAlignment w:val="auto"/>
              <w:rPr>
                <w:rFonts w:hint="default" w:ascii="Times New Roman" w:hAnsi="Times New Roman" w:cs="Times New Roman"/>
                <w:kern w:val="2"/>
                <w:sz w:val="24"/>
                <w:szCs w:val="24"/>
                <w:highlight w:val="none"/>
              </w:rPr>
            </w:pPr>
            <w:r>
              <w:rPr>
                <w:rFonts w:hint="default" w:ascii="Times New Roman" w:hAnsi="Times New Roman" w:cs="Times New Roman"/>
                <w:kern w:val="2"/>
                <w:sz w:val="24"/>
                <w:szCs w:val="24"/>
                <w:highlight w:val="none"/>
              </w:rPr>
              <w:t>本项目</w:t>
            </w:r>
            <w:r>
              <w:rPr>
                <w:rFonts w:hint="default" w:ascii="Times New Roman" w:hAnsi="Times New Roman" w:cs="Times New Roman"/>
                <w:kern w:val="2"/>
                <w:sz w:val="24"/>
                <w:szCs w:val="28"/>
                <w:highlight w:val="none"/>
              </w:rPr>
              <w:t>租用</w:t>
            </w:r>
            <w:r>
              <w:rPr>
                <w:rFonts w:hint="eastAsia" w:ascii="Times New Roman" w:cs="Times New Roman"/>
                <w:kern w:val="2"/>
                <w:sz w:val="24"/>
                <w:szCs w:val="28"/>
                <w:highlight w:val="none"/>
                <w:lang w:val="en-US" w:eastAsia="zh-CN"/>
              </w:rPr>
              <w:t>石胜强塑料制品厂</w:t>
            </w:r>
            <w:r>
              <w:rPr>
                <w:rFonts w:hint="default" w:ascii="Times New Roman" w:hAnsi="Times New Roman" w:cs="Times New Roman"/>
                <w:kern w:val="2"/>
                <w:sz w:val="24"/>
                <w:szCs w:val="28"/>
                <w:highlight w:val="none"/>
              </w:rPr>
              <w:t>用地</w:t>
            </w:r>
            <w:r>
              <w:rPr>
                <w:rFonts w:hint="default" w:ascii="Times New Roman" w:hAnsi="Times New Roman" w:cs="Times New Roman"/>
                <w:kern w:val="2"/>
                <w:sz w:val="24"/>
                <w:szCs w:val="24"/>
                <w:highlight w:val="none"/>
              </w:rPr>
              <w:t>，</w:t>
            </w:r>
            <w:r>
              <w:rPr>
                <w:rFonts w:hint="default" w:ascii="Times New Roman" w:hAnsi="Times New Roman" w:cs="Times New Roman"/>
                <w:color w:val="000000"/>
                <w:kern w:val="0"/>
                <w:sz w:val="24"/>
                <w:szCs w:val="24"/>
                <w:highlight w:val="none"/>
              </w:rPr>
              <w:t>建设单位运营后落实各项环保措施，</w:t>
            </w:r>
            <w:r>
              <w:rPr>
                <w:rFonts w:hint="default" w:ascii="Times New Roman" w:hAnsi="Times New Roman" w:cs="Times New Roman"/>
                <w:color w:val="000000"/>
                <w:kern w:val="0"/>
                <w:sz w:val="24"/>
                <w:szCs w:val="24"/>
                <w:highlight w:val="none"/>
                <w:lang w:val="en-US" w:eastAsia="zh-CN"/>
              </w:rPr>
              <w:t>废水不外排，</w:t>
            </w:r>
            <w:r>
              <w:rPr>
                <w:rFonts w:hint="default" w:ascii="Times New Roman" w:hAnsi="Times New Roman" w:cs="Times New Roman"/>
                <w:color w:val="000000"/>
                <w:kern w:val="0"/>
                <w:sz w:val="24"/>
                <w:szCs w:val="24"/>
                <w:highlight w:val="none"/>
              </w:rPr>
              <w:t>确保厂区分区防渗，则对区域土壤</w:t>
            </w:r>
            <w:r>
              <w:rPr>
                <w:rFonts w:hint="default" w:ascii="Times New Roman" w:hAnsi="Times New Roman" w:cs="Times New Roman"/>
                <w:color w:val="000000"/>
                <w:kern w:val="0"/>
                <w:sz w:val="24"/>
                <w:szCs w:val="24"/>
                <w:highlight w:val="none"/>
                <w:lang w:eastAsia="zh-CN"/>
              </w:rPr>
              <w:t>、</w:t>
            </w:r>
            <w:r>
              <w:rPr>
                <w:rFonts w:hint="default" w:ascii="Times New Roman" w:hAnsi="Times New Roman" w:cs="Times New Roman"/>
                <w:color w:val="000000"/>
                <w:kern w:val="0"/>
                <w:sz w:val="24"/>
                <w:szCs w:val="24"/>
                <w:highlight w:val="none"/>
                <w:lang w:val="en-US" w:eastAsia="zh-CN"/>
              </w:rPr>
              <w:t>地下水</w:t>
            </w:r>
            <w:r>
              <w:rPr>
                <w:rFonts w:hint="default" w:ascii="Times New Roman" w:hAnsi="Times New Roman" w:cs="Times New Roman"/>
                <w:color w:val="000000"/>
                <w:kern w:val="0"/>
                <w:sz w:val="24"/>
                <w:szCs w:val="24"/>
                <w:highlight w:val="none"/>
              </w:rPr>
              <w:t>环境基本不存在影响</w:t>
            </w:r>
            <w:r>
              <w:rPr>
                <w:rFonts w:hint="default" w:ascii="Times New Roman" w:hAnsi="Times New Roman" w:cs="Times New Roman"/>
                <w:kern w:val="2"/>
                <w:sz w:val="24"/>
                <w:szCs w:val="24"/>
                <w:highlight w:val="none"/>
              </w:rPr>
              <w:t>。</w:t>
            </w:r>
            <w:r>
              <w:rPr>
                <w:rFonts w:hint="default" w:ascii="Times New Roman" w:hAnsi="Times New Roman" w:cs="Times New Roman"/>
                <w:kern w:val="2"/>
                <w:sz w:val="24"/>
                <w:szCs w:val="24"/>
                <w:highlight w:val="none"/>
                <w:lang w:val="en-US" w:eastAsia="zh-CN"/>
              </w:rPr>
              <w:t>符合《临汾市土壤污染防治2023年行动计划》、《临汾市地下水污染防治2023年行动计划》相关要求。</w:t>
            </w:r>
          </w:p>
          <w:p>
            <w:pPr>
              <w:keepNext w:val="0"/>
              <w:keepLines w:val="0"/>
              <w:pageBreakBefore w:val="0"/>
              <w:widowControl/>
              <w:kinsoku/>
              <w:wordWrap/>
              <w:overflowPunct/>
              <w:topLinePunct w:val="0"/>
              <w:autoSpaceDE/>
              <w:autoSpaceDN/>
              <w:bidi w:val="0"/>
              <w:adjustRightInd/>
              <w:snapToGrid/>
              <w:spacing w:line="460" w:lineRule="exact"/>
              <w:ind w:firstLine="482" w:firstLineChars="200"/>
              <w:jc w:val="left"/>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5、与《山西省汾河保护条例》、《山西省人民政府关于坚决打赢汾河流域治理攻坚战的决定》的符合性</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根据《山西省汾河保护条例》中第四十八条要求</w:t>
            </w:r>
            <w:r>
              <w:rPr>
                <w:rFonts w:hint="default"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“汾河流域县级以上人民政府应当在汾河干流河道管理范围以外不小于一百米，支流不小于五十米划定生态功能保护线，建设缓冲隔离防护林带和水源涵养林带，提高汾河流域河流自净能力。”</w:t>
            </w:r>
          </w:p>
          <w:p>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根据</w:t>
            </w:r>
            <w:r>
              <w:rPr>
                <w:rFonts w:hint="default" w:ascii="Times New Roman" w:hAnsi="Times New Roman" w:eastAsia="宋体" w:cs="Times New Roman"/>
                <w:color w:val="auto"/>
                <w:kern w:val="2"/>
                <w:sz w:val="24"/>
                <w:szCs w:val="24"/>
                <w:highlight w:val="none"/>
                <w:lang w:val="en-US" w:eastAsia="zh-CN" w:bidi="ar-SA"/>
              </w:rPr>
              <w:t>《山西省人民政府关于坚决打赢汾河流域治理攻坚战的决定》中第十一条要求</w:t>
            </w:r>
            <w:r>
              <w:rPr>
                <w:rFonts w:hint="default"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“在汾河干流河道水岸线以外原则上不小于一百米、支流原则上不小于五十米，划定生态功能保护线，建设缓冲隔离防护林带和水源涵养林带，改变农防段种植结构，提高汾河流域河流自净能力。”</w:t>
            </w:r>
          </w:p>
          <w:p>
            <w:pPr>
              <w:pStyle w:val="86"/>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kern w:val="2"/>
                <w:sz w:val="24"/>
                <w:szCs w:val="24"/>
                <w:highlight w:val="none"/>
                <w:lang w:val="en-US" w:eastAsia="zh-CN" w:bidi="ar-SA"/>
              </w:rPr>
              <w:t>翼城县</w:t>
            </w:r>
            <w:r>
              <w:rPr>
                <w:rFonts w:hint="default" w:ascii="Times New Roman" w:hAnsi="Times New Roman" w:eastAsia="宋体" w:cs="Times New Roman"/>
                <w:color w:val="auto"/>
                <w:kern w:val="2"/>
                <w:sz w:val="24"/>
                <w:szCs w:val="24"/>
                <w:highlight w:val="none"/>
                <w:lang w:val="en-US" w:eastAsia="zh-CN" w:bidi="ar-SA"/>
              </w:rPr>
              <w:t>地表水系图见附图</w:t>
            </w:r>
            <w:r>
              <w:rPr>
                <w:rFonts w:hint="default" w:ascii="Times New Roman" w:hAnsi="Times New Roman" w:cs="Times New Roman"/>
                <w:color w:val="auto"/>
                <w:kern w:val="2"/>
                <w:sz w:val="24"/>
                <w:szCs w:val="24"/>
                <w:highlight w:val="none"/>
                <w:lang w:val="en-US" w:eastAsia="zh-CN" w:bidi="ar-SA"/>
              </w:rPr>
              <w:t>8</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cs="Times New Roman"/>
                <w:color w:val="auto"/>
                <w:sz w:val="24"/>
                <w:highlight w:val="none"/>
              </w:rPr>
              <w:t>距离项目最近地表水</w:t>
            </w:r>
            <w:r>
              <w:rPr>
                <w:rFonts w:hint="default" w:ascii="Times New Roman" w:hAnsi="Times New Roman" w:cs="Times New Roman"/>
                <w:color w:val="auto"/>
                <w:sz w:val="24"/>
                <w:highlight w:val="none"/>
                <w:lang w:val="en-US" w:eastAsia="zh-CN"/>
              </w:rPr>
              <w:t>水体为项目南侧2.</w:t>
            </w:r>
            <w:r>
              <w:rPr>
                <w:rFonts w:hint="eastAsia" w:ascii="Times New Roman" w:cs="Times New Roman"/>
                <w:color w:val="auto"/>
                <w:sz w:val="24"/>
                <w:highlight w:val="none"/>
                <w:lang w:val="en-US" w:eastAsia="zh-CN"/>
              </w:rPr>
              <w:t>47</w:t>
            </w:r>
            <w:r>
              <w:rPr>
                <w:rFonts w:hint="default" w:ascii="Times New Roman" w:hAnsi="Times New Roman" w:cs="Times New Roman"/>
                <w:color w:val="auto"/>
                <w:sz w:val="24"/>
                <w:highlight w:val="none"/>
                <w:lang w:val="en-US" w:eastAsia="zh-CN"/>
              </w:rPr>
              <w:t>km的浍河，本</w:t>
            </w:r>
            <w:r>
              <w:rPr>
                <w:rFonts w:hint="default" w:ascii="Times New Roman" w:hAnsi="Times New Roman" w:eastAsia="宋体" w:cs="Times New Roman"/>
                <w:color w:val="auto"/>
                <w:kern w:val="2"/>
                <w:sz w:val="24"/>
                <w:szCs w:val="24"/>
                <w:highlight w:val="none"/>
                <w:lang w:val="en-US" w:eastAsia="zh-CN" w:bidi="ar-SA"/>
              </w:rPr>
              <w:t>项目不占用河道及河滩，厂址周边无其他地表水体分布，</w:t>
            </w:r>
            <w:r>
              <w:rPr>
                <w:rFonts w:hint="default" w:ascii="Times New Roman" w:hAnsi="Times New Roman" w:cs="Times New Roman"/>
                <w:color w:val="auto"/>
                <w:kern w:val="2"/>
                <w:sz w:val="24"/>
                <w:szCs w:val="24"/>
                <w:highlight w:val="none"/>
                <w:lang w:val="en-US" w:eastAsia="zh-CN" w:bidi="ar-SA"/>
              </w:rPr>
              <w:t>满足相关要求</w:t>
            </w:r>
            <w:r>
              <w:rPr>
                <w:rFonts w:hint="default" w:ascii="Times New Roman" w:hAnsi="Times New Roman" w:eastAsia="宋体" w:cs="Times New Roman"/>
                <w:color w:val="auto"/>
                <w:kern w:val="2"/>
                <w:sz w:val="24"/>
                <w:szCs w:val="24"/>
                <w:highlight w:val="none"/>
                <w:lang w:val="en-US" w:eastAsia="zh-CN" w:bidi="ar-SA"/>
              </w:rPr>
              <w:t>。</w:t>
            </w:r>
          </w:p>
          <w:p>
            <w:pPr>
              <w:pStyle w:val="86"/>
              <w:keepNext w:val="0"/>
              <w:keepLines w:val="0"/>
              <w:pageBreakBefore w:val="0"/>
              <w:widowControl w:val="0"/>
              <w:numPr>
                <w:ilvl w:val="0"/>
                <w:numId w:val="0"/>
              </w:numPr>
              <w:kinsoku/>
              <w:wordWrap/>
              <w:overflowPunct/>
              <w:topLinePunct w:val="0"/>
              <w:autoSpaceDE/>
              <w:autoSpaceDN/>
              <w:bidi w:val="0"/>
              <w:adjustRightInd/>
              <w:snapToGrid/>
              <w:spacing w:line="460" w:lineRule="exact"/>
              <w:ind w:left="0" w:leftChars="0" w:firstLine="482" w:firstLineChars="200"/>
              <w:textAlignment w:val="auto"/>
              <w:rPr>
                <w:rFonts w:hint="eastAsia" w:ascii="Times New Roman" w:hAnsi="Times New Roman" w:eastAsia="宋体" w:cs="Times New Roman"/>
                <w:b/>
                <w:bCs/>
                <w:color w:val="auto"/>
                <w:kern w:val="0"/>
                <w:sz w:val="24"/>
                <w:szCs w:val="24"/>
                <w:highlight w:val="none"/>
                <w:lang w:val="en-US" w:eastAsia="zh-CN" w:bidi="ar-SA"/>
              </w:rPr>
            </w:pPr>
            <w:r>
              <w:rPr>
                <w:rFonts w:hint="eastAsia" w:ascii="Times New Roman" w:hAnsi="Times New Roman" w:eastAsia="宋体" w:cs="Times New Roman"/>
                <w:b/>
                <w:bCs/>
                <w:color w:val="auto"/>
                <w:kern w:val="0"/>
                <w:sz w:val="24"/>
                <w:szCs w:val="24"/>
                <w:lang w:val="en-US" w:eastAsia="zh-CN" w:bidi="ar-SA"/>
              </w:rPr>
              <w:t>6、</w:t>
            </w:r>
            <w:r>
              <w:rPr>
                <w:rFonts w:hint="eastAsia" w:ascii="Times New Roman" w:hAnsi="Times New Roman" w:eastAsia="宋体" w:cs="Times New Roman"/>
                <w:b/>
                <w:bCs/>
                <w:color w:val="auto"/>
                <w:kern w:val="0"/>
                <w:sz w:val="24"/>
                <w:szCs w:val="24"/>
                <w:highlight w:val="none"/>
                <w:lang w:val="en-US" w:eastAsia="zh-CN" w:bidi="ar-SA"/>
              </w:rPr>
              <w:t>与</w:t>
            </w:r>
            <w:r>
              <w:rPr>
                <w:rFonts w:hint="default" w:ascii="Times New Roman" w:hAnsi="Times New Roman" w:eastAsia="宋体" w:cs="Times New Roman"/>
                <w:b/>
                <w:bCs/>
                <w:color w:val="auto"/>
                <w:kern w:val="0"/>
                <w:sz w:val="24"/>
                <w:szCs w:val="24"/>
                <w:highlight w:val="none"/>
                <w:lang w:val="en-US" w:eastAsia="zh-CN" w:bidi="ar-SA"/>
              </w:rPr>
              <w:t>《洗染业管理办法》</w:t>
            </w:r>
            <w:r>
              <w:rPr>
                <w:rFonts w:hint="eastAsia" w:ascii="Times New Roman" w:hAnsi="Times New Roman" w:eastAsia="宋体" w:cs="Times New Roman"/>
                <w:b/>
                <w:bCs/>
                <w:color w:val="auto"/>
                <w:kern w:val="0"/>
                <w:sz w:val="24"/>
                <w:szCs w:val="24"/>
                <w:highlight w:val="none"/>
                <w:lang w:val="en-US" w:eastAsia="zh-CN" w:bidi="ar-SA"/>
              </w:rPr>
              <w:t>符合性分析</w:t>
            </w:r>
          </w:p>
          <w:p>
            <w:pPr>
              <w:keepNext w:val="0"/>
              <w:keepLines w:val="0"/>
              <w:pageBreakBefore w:val="0"/>
              <w:widowControl w:val="0"/>
              <w:numPr>
                <w:ilvl w:val="0"/>
                <w:numId w:val="0"/>
              </w:numPr>
              <w:kinsoku/>
              <w:wordWrap/>
              <w:overflowPunct/>
              <w:topLinePunct w:val="0"/>
              <w:bidi w:val="0"/>
              <w:snapToGrid w:val="0"/>
              <w:spacing w:line="460" w:lineRule="exact"/>
              <w:ind w:firstLine="480" w:firstLineChars="200"/>
              <w:jc w:val="both"/>
              <w:textAlignment w:val="auto"/>
              <w:rPr>
                <w:rFonts w:hint="default" w:ascii="Times New Roman" w:hAnsi="Times New Roman" w:eastAsia="方正书宋简体" w:cs="Times New Roman"/>
                <w:bCs/>
                <w:color w:val="auto"/>
                <w:kern w:val="2"/>
                <w:sz w:val="24"/>
                <w:szCs w:val="28"/>
                <w:highlight w:val="none"/>
                <w:lang w:val="en-US" w:eastAsia="zh-CN" w:bidi="ar-SA"/>
              </w:rPr>
            </w:pPr>
            <w:r>
              <w:rPr>
                <w:rFonts w:hint="eastAsia" w:ascii="Times New Roman" w:hAnsi="Times New Roman" w:eastAsia="方正书宋简体" w:cs="Times New Roman"/>
                <w:bCs/>
                <w:color w:val="auto"/>
                <w:kern w:val="2"/>
                <w:sz w:val="24"/>
                <w:szCs w:val="28"/>
                <w:highlight w:val="none"/>
                <w:lang w:val="en-US" w:eastAsia="zh-CN" w:bidi="ar-SA"/>
              </w:rPr>
              <w:t>“</w:t>
            </w:r>
            <w:r>
              <w:rPr>
                <w:rFonts w:hint="default" w:ascii="Times New Roman" w:hAnsi="Times New Roman" w:eastAsia="方正书宋简体" w:cs="Times New Roman"/>
                <w:bCs/>
                <w:color w:val="auto"/>
                <w:kern w:val="2"/>
                <w:sz w:val="24"/>
                <w:szCs w:val="28"/>
                <w:highlight w:val="none"/>
                <w:lang w:val="en-US" w:eastAsia="zh-CN" w:bidi="ar-SA"/>
              </w:rPr>
              <w:t>第八条　洗染业污染物的排放应当达到国家或地方规定的污染物排放标准的要求。新的行业污染物排放标准出台后，应执行新的行业排放标准。</w:t>
            </w:r>
          </w:p>
          <w:p>
            <w:pPr>
              <w:keepNext w:val="0"/>
              <w:keepLines w:val="0"/>
              <w:pageBreakBefore w:val="0"/>
              <w:widowControl w:val="0"/>
              <w:numPr>
                <w:ilvl w:val="0"/>
                <w:numId w:val="0"/>
              </w:numPr>
              <w:kinsoku/>
              <w:wordWrap/>
              <w:overflowPunct/>
              <w:topLinePunct w:val="0"/>
              <w:bidi w:val="0"/>
              <w:snapToGrid w:val="0"/>
              <w:spacing w:line="460" w:lineRule="exact"/>
              <w:ind w:firstLine="480" w:firstLineChars="200"/>
              <w:jc w:val="both"/>
              <w:textAlignment w:val="auto"/>
              <w:rPr>
                <w:rFonts w:hint="default" w:ascii="Times New Roman" w:hAnsi="Times New Roman" w:eastAsia="方正书宋简体" w:cs="Times New Roman"/>
                <w:bCs/>
                <w:color w:val="auto"/>
                <w:kern w:val="2"/>
                <w:sz w:val="24"/>
                <w:szCs w:val="28"/>
                <w:highlight w:val="none"/>
                <w:lang w:val="en-US" w:eastAsia="zh-CN" w:bidi="ar-SA"/>
              </w:rPr>
            </w:pPr>
            <w:r>
              <w:rPr>
                <w:rFonts w:hint="default" w:ascii="Times New Roman" w:hAnsi="Times New Roman" w:eastAsia="方正书宋简体" w:cs="Times New Roman"/>
                <w:bCs/>
                <w:color w:val="auto"/>
                <w:kern w:val="2"/>
                <w:sz w:val="24"/>
                <w:szCs w:val="28"/>
                <w:highlight w:val="none"/>
                <w:lang w:val="en-US" w:eastAsia="zh-CN" w:bidi="ar-SA"/>
              </w:rPr>
              <w:t>干洗中产生的含有干洗溶剂的残渣、废水应进行妥善收集、处理，属于危险废物的，应依法委托持有危险废物经营许可证的单位进行处理、处置。</w:t>
            </w:r>
            <w:r>
              <w:rPr>
                <w:rFonts w:hint="default" w:ascii="Times New Roman" w:hAnsi="Times New Roman" w:eastAsia="方正书宋简体" w:cs="Times New Roman"/>
                <w:bCs/>
                <w:color w:val="auto"/>
                <w:kern w:val="2"/>
                <w:sz w:val="24"/>
                <w:szCs w:val="28"/>
                <w:highlight w:val="none"/>
                <w:lang w:val="en-US" w:eastAsia="zh-CN" w:bidi="ar-SA"/>
              </w:rPr>
              <w:br w:type="textWrapping"/>
            </w:r>
            <w:r>
              <w:rPr>
                <w:rFonts w:hint="default" w:ascii="Times New Roman" w:hAnsi="Times New Roman" w:eastAsia="方正书宋简体" w:cs="Times New Roman"/>
                <w:bCs/>
                <w:color w:val="auto"/>
                <w:kern w:val="2"/>
                <w:sz w:val="24"/>
                <w:szCs w:val="28"/>
                <w:highlight w:val="none"/>
                <w:lang w:val="en-US" w:eastAsia="zh-CN" w:bidi="ar-SA"/>
              </w:rPr>
              <w:t>　　外排废水排入城市污水管网进行集中处理的，应当符合相应污水处理厂对进水水质的要求。有废水处理设施的，应对产生的污泥进行无害化处理。</w:t>
            </w:r>
            <w:r>
              <w:rPr>
                <w:rFonts w:hint="default" w:ascii="Times New Roman" w:hAnsi="Times New Roman" w:eastAsia="方正书宋简体" w:cs="Times New Roman"/>
                <w:bCs/>
                <w:color w:val="auto"/>
                <w:kern w:val="2"/>
                <w:sz w:val="24"/>
                <w:szCs w:val="28"/>
                <w:highlight w:val="none"/>
                <w:lang w:val="en-US" w:eastAsia="zh-CN" w:bidi="ar-SA"/>
              </w:rPr>
              <w:br w:type="textWrapping"/>
            </w:r>
            <w:r>
              <w:rPr>
                <w:rFonts w:hint="default" w:ascii="Times New Roman" w:hAnsi="Times New Roman" w:eastAsia="方正书宋简体" w:cs="Times New Roman"/>
                <w:bCs/>
                <w:color w:val="auto"/>
                <w:kern w:val="2"/>
                <w:sz w:val="24"/>
                <w:szCs w:val="28"/>
                <w:highlight w:val="none"/>
                <w:lang w:val="en-US" w:eastAsia="zh-CN" w:bidi="ar-SA"/>
              </w:rPr>
              <w:t>　　不得将不符合排放标准的废水直接排放到河流、湖泊、雨水管线、渗坑、渗井等。</w:t>
            </w:r>
            <w:r>
              <w:rPr>
                <w:rFonts w:hint="default" w:ascii="Times New Roman" w:hAnsi="Times New Roman" w:eastAsia="方正书宋简体" w:cs="Times New Roman"/>
                <w:bCs/>
                <w:color w:val="auto"/>
                <w:kern w:val="2"/>
                <w:sz w:val="24"/>
                <w:szCs w:val="28"/>
                <w:highlight w:val="none"/>
                <w:lang w:val="en-US" w:eastAsia="zh-CN" w:bidi="ar-SA"/>
              </w:rPr>
              <w:br w:type="textWrapping"/>
            </w:r>
            <w:r>
              <w:rPr>
                <w:rFonts w:hint="default" w:ascii="Times New Roman" w:hAnsi="Times New Roman" w:eastAsia="方正书宋简体" w:cs="Times New Roman"/>
                <w:bCs/>
                <w:color w:val="auto"/>
                <w:kern w:val="2"/>
                <w:sz w:val="24"/>
                <w:szCs w:val="28"/>
                <w:highlight w:val="none"/>
                <w:lang w:val="en-US" w:eastAsia="zh-CN" w:bidi="ar-SA"/>
              </w:rPr>
              <w:t>　　洗染店、水洗厂的厂界噪声应当符合《工业企业厂界噪声标准》（GB12348—90）相应区域的规定标准。</w:t>
            </w:r>
            <w:r>
              <w:rPr>
                <w:rFonts w:hint="eastAsia" w:ascii="Times New Roman" w:hAnsi="Times New Roman" w:eastAsia="方正书宋简体" w:cs="Times New Roman"/>
                <w:bCs/>
                <w:color w:val="auto"/>
                <w:kern w:val="2"/>
                <w:sz w:val="24"/>
                <w:szCs w:val="28"/>
                <w:highlight w:val="none"/>
                <w:lang w:val="en-US" w:eastAsia="zh-CN" w:bidi="ar-SA"/>
              </w:rPr>
              <w:t>”</w:t>
            </w:r>
          </w:p>
          <w:p>
            <w:pPr>
              <w:keepNext w:val="0"/>
              <w:keepLines w:val="0"/>
              <w:pageBreakBefore w:val="0"/>
              <w:widowControl w:val="0"/>
              <w:numPr>
                <w:ilvl w:val="0"/>
                <w:numId w:val="0"/>
              </w:numPr>
              <w:kinsoku/>
              <w:wordWrap/>
              <w:overflowPunct/>
              <w:topLinePunct w:val="0"/>
              <w:bidi w:val="0"/>
              <w:snapToGrid w:val="0"/>
              <w:spacing w:line="460" w:lineRule="exact"/>
              <w:ind w:firstLine="480" w:firstLineChars="200"/>
              <w:jc w:val="both"/>
              <w:textAlignment w:val="auto"/>
              <w:rPr>
                <w:rFonts w:hint="eastAsia" w:ascii="Times New Roman" w:hAnsi="Times New Roman" w:eastAsia="宋体" w:cs="Times New Roman"/>
                <w:b/>
                <w:snapToGrid w:val="0"/>
                <w:color w:val="auto"/>
                <w:kern w:val="0"/>
                <w:sz w:val="24"/>
                <w:szCs w:val="24"/>
                <w:lang w:val="en-US" w:eastAsia="zh-CN" w:bidi="ar-SA"/>
              </w:rPr>
            </w:pPr>
            <w:r>
              <w:rPr>
                <w:rFonts w:hint="default" w:ascii="Times New Roman" w:hAnsi="Times New Roman" w:eastAsia="方正书宋简体" w:cs="Times New Roman"/>
                <w:bCs/>
                <w:color w:val="auto"/>
                <w:kern w:val="2"/>
                <w:sz w:val="24"/>
                <w:szCs w:val="28"/>
                <w:highlight w:val="none"/>
                <w:lang w:val="en-US" w:eastAsia="zh-CN" w:bidi="ar-SA"/>
              </w:rPr>
              <w:t>本项目洗涤废水、生活污水及锅炉排水</w:t>
            </w:r>
            <w:r>
              <w:rPr>
                <w:rFonts w:hint="default" w:ascii="Times New Roman" w:hAnsi="Times New Roman" w:cs="Times New Roman"/>
                <w:bCs/>
                <w:color w:val="auto"/>
                <w:sz w:val="24"/>
                <w:szCs w:val="24"/>
                <w:highlight w:val="none"/>
                <w:lang w:val="en-US" w:eastAsia="zh-CN"/>
              </w:rPr>
              <w:t>排入</w:t>
            </w:r>
            <w:r>
              <w:rPr>
                <w:rFonts w:hint="eastAsia" w:ascii="Times New Roman" w:cs="Times New Roman"/>
                <w:bCs/>
                <w:color w:val="auto"/>
                <w:sz w:val="24"/>
                <w:szCs w:val="24"/>
                <w:highlight w:val="none"/>
                <w:lang w:val="en-US" w:eastAsia="zh-CN"/>
              </w:rPr>
              <w:t>地埋式</w:t>
            </w:r>
            <w:r>
              <w:rPr>
                <w:rFonts w:hint="default" w:ascii="Times New Roman" w:hAnsi="Times New Roman" w:cs="Times New Roman"/>
                <w:bCs/>
                <w:color w:val="auto"/>
                <w:sz w:val="24"/>
                <w:szCs w:val="24"/>
                <w:highlight w:val="none"/>
                <w:lang w:val="en-US" w:eastAsia="zh-CN"/>
              </w:rPr>
              <w:t>一体化污水处理设施（处理能力：</w:t>
            </w:r>
            <w:r>
              <w:rPr>
                <w:rFonts w:hint="eastAsia" w:ascii="Times New Roman" w:cs="Times New Roman"/>
                <w:bCs/>
                <w:color w:val="auto"/>
                <w:sz w:val="24"/>
                <w:szCs w:val="24"/>
                <w:highlight w:val="none"/>
                <w:lang w:val="en-US" w:eastAsia="zh-CN"/>
              </w:rPr>
              <w:t>10</w:t>
            </w:r>
            <w:r>
              <w:rPr>
                <w:rFonts w:hint="default" w:ascii="Times New Roman" w:hAnsi="Times New Roman" w:cs="Times New Roman"/>
                <w:bCs/>
                <w:color w:val="auto"/>
                <w:sz w:val="24"/>
                <w:szCs w:val="24"/>
                <w:highlight w:val="none"/>
                <w:lang w:val="en-US" w:eastAsia="zh-CN"/>
              </w:rPr>
              <w:t>m</w:t>
            </w:r>
            <w:r>
              <w:rPr>
                <w:rFonts w:hint="default" w:ascii="Times New Roman" w:hAnsi="Times New Roman" w:cs="Times New Roman"/>
                <w:bCs/>
                <w:color w:val="auto"/>
                <w:sz w:val="24"/>
                <w:szCs w:val="24"/>
                <w:highlight w:val="none"/>
                <w:vertAlign w:val="superscript"/>
                <w:lang w:val="en-US" w:eastAsia="zh-CN"/>
              </w:rPr>
              <w:t>3</w:t>
            </w:r>
            <w:r>
              <w:rPr>
                <w:rFonts w:hint="default" w:ascii="Times New Roman" w:hAnsi="Times New Roman" w:cs="Times New Roman"/>
                <w:bCs/>
                <w:color w:val="auto"/>
                <w:sz w:val="24"/>
                <w:szCs w:val="24"/>
                <w:highlight w:val="none"/>
                <w:lang w:val="en-US" w:eastAsia="zh-CN"/>
              </w:rPr>
              <w:t>/d；工艺：</w:t>
            </w:r>
            <w:r>
              <w:rPr>
                <w:rFonts w:hint="eastAsia" w:ascii="Times New Roman" w:cs="Times New Roman"/>
                <w:bCs/>
                <w:color w:val="auto"/>
                <w:sz w:val="24"/>
                <w:szCs w:val="24"/>
                <w:highlight w:val="none"/>
                <w:lang w:val="en-US" w:eastAsia="zh-CN"/>
              </w:rPr>
              <w:t>格栅+调节+水解酸化+好氧生物+沉淀</w:t>
            </w:r>
            <w:r>
              <w:rPr>
                <w:rFonts w:hint="default" w:ascii="Times New Roman" w:hAnsi="Times New Roman" w:cs="Times New Roman"/>
                <w:bCs/>
                <w:color w:val="auto"/>
                <w:sz w:val="24"/>
                <w:szCs w:val="24"/>
                <w:highlight w:val="none"/>
                <w:lang w:val="en-US" w:eastAsia="zh-CN"/>
              </w:rPr>
              <w:t>）进行处理，出水质满足《污水排入城镇下水道水质标准》（GB/T31962-2015）中的A等级标准后，</w:t>
            </w:r>
            <w:r>
              <w:rPr>
                <w:rFonts w:hint="default" w:ascii="Times New Roman" w:hAnsi="Times New Roman" w:cs="Times New Roman"/>
                <w:color w:val="auto"/>
                <w:sz w:val="24"/>
                <w:szCs w:val="24"/>
                <w:highlight w:val="none"/>
                <w:lang w:val="en-US" w:eastAsia="zh-CN"/>
              </w:rPr>
              <w:t>排入市政污水管网，进入翼城县润灏水务有限公司处理</w:t>
            </w:r>
            <w:r>
              <w:rPr>
                <w:rFonts w:hint="default" w:ascii="Times New Roman" w:hAnsi="Times New Roman" w:cs="Times New Roman"/>
                <w:bCs/>
                <w:color w:val="auto"/>
                <w:sz w:val="24"/>
                <w:szCs w:val="24"/>
                <w:highlight w:val="none"/>
                <w:lang w:val="en-US" w:eastAsia="zh-CN"/>
              </w:rPr>
              <w:t>。</w:t>
            </w:r>
            <w:r>
              <w:rPr>
                <w:rFonts w:hint="default" w:ascii="Times New Roman" w:hAnsi="Times New Roman" w:cs="Times New Roman"/>
                <w:color w:val="auto"/>
                <w:spacing w:val="-2"/>
                <w:sz w:val="24"/>
                <w:szCs w:val="24"/>
                <w:highlight w:val="none"/>
                <w:lang w:val="en-US" w:eastAsia="zh-CN"/>
              </w:rPr>
              <w:t>项目污水经自建污水处理系统处理后将产生沉渣与污泥，项目废水主要为布草洗涤废水，成分相对简单，主要为布草洗涤过程产生的脱落物质，定期清理，脱水后交由环卫部门清运，不在厂区内长时间停留。</w:t>
            </w:r>
            <w:r>
              <w:rPr>
                <w:rFonts w:hint="default" w:ascii="Times New Roman" w:hAnsi="Times New Roman" w:cs="Times New Roman"/>
                <w:color w:val="auto"/>
                <w:kern w:val="1"/>
                <w:sz w:val="24"/>
              </w:rPr>
              <w:t>本项目运营期</w:t>
            </w:r>
            <w:r>
              <w:rPr>
                <w:rFonts w:hint="eastAsia" w:ascii="Times New Roman" w:hAnsi="Times New Roman" w:cs="Times New Roman"/>
                <w:color w:val="auto"/>
                <w:kern w:val="1"/>
                <w:sz w:val="24"/>
                <w:lang w:val="en-US" w:eastAsia="zh-CN"/>
              </w:rPr>
              <w:t>在执行环评要求的各项环保措施后，</w:t>
            </w:r>
            <w:r>
              <w:rPr>
                <w:rFonts w:hint="default" w:ascii="Times New Roman" w:hAnsi="Times New Roman" w:cs="Times New Roman"/>
                <w:color w:val="auto"/>
                <w:kern w:val="1"/>
                <w:sz w:val="24"/>
              </w:rPr>
              <w:t>厂界噪声</w:t>
            </w:r>
            <w:r>
              <w:rPr>
                <w:rFonts w:hint="eastAsia" w:ascii="Times New Roman" w:hAnsi="Times New Roman" w:cs="Times New Roman"/>
                <w:color w:val="auto"/>
                <w:kern w:val="1"/>
                <w:sz w:val="24"/>
                <w:lang w:val="en-US" w:eastAsia="zh-CN"/>
              </w:rPr>
              <w:t>可满足</w:t>
            </w:r>
            <w:r>
              <w:rPr>
                <w:rFonts w:hint="default" w:ascii="Times New Roman" w:hAnsi="Times New Roman" w:cs="Times New Roman"/>
                <w:color w:val="auto"/>
                <w:kern w:val="1"/>
                <w:sz w:val="24"/>
              </w:rPr>
              <w:t>《</w:t>
            </w:r>
            <w:r>
              <w:rPr>
                <w:rFonts w:hint="default" w:ascii="Times New Roman" w:hAnsi="Times New Roman" w:cs="Times New Roman"/>
                <w:color w:val="auto"/>
                <w:kern w:val="1"/>
                <w:sz w:val="24"/>
                <w:highlight w:val="none"/>
              </w:rPr>
              <w:t>工业企业厂界环境噪声排放标准》（GB12348-2008）中</w:t>
            </w:r>
            <w:r>
              <w:rPr>
                <w:rFonts w:hint="eastAsia" w:ascii="Times New Roman" w:cs="Times New Roman"/>
                <w:color w:val="auto"/>
                <w:kern w:val="1"/>
                <w:sz w:val="24"/>
                <w:highlight w:val="none"/>
                <w:lang w:val="en-US" w:eastAsia="zh-CN"/>
              </w:rPr>
              <w:t>2</w:t>
            </w:r>
            <w:r>
              <w:rPr>
                <w:rFonts w:hint="default" w:ascii="Times New Roman" w:hAnsi="Times New Roman" w:cs="Times New Roman"/>
                <w:color w:val="auto"/>
                <w:kern w:val="1"/>
                <w:sz w:val="24"/>
                <w:highlight w:val="none"/>
              </w:rPr>
              <w:t>类标准</w:t>
            </w:r>
            <w:r>
              <w:rPr>
                <w:rFonts w:hint="eastAsia" w:ascii="Times New Roman" w:hAnsi="Times New Roman" w:cs="Times New Roman"/>
                <w:color w:val="auto"/>
                <w:kern w:val="1"/>
                <w:sz w:val="24"/>
                <w:highlight w:val="none"/>
                <w:lang w:eastAsia="zh-CN"/>
              </w:rPr>
              <w:t>。</w:t>
            </w:r>
          </w:p>
          <w:p>
            <w:pPr>
              <w:pStyle w:val="86"/>
              <w:keepNext w:val="0"/>
              <w:keepLines w:val="0"/>
              <w:pageBreakBefore w:val="0"/>
              <w:widowControl w:val="0"/>
              <w:kinsoku/>
              <w:wordWrap/>
              <w:overflowPunct/>
              <w:topLinePunct w:val="0"/>
              <w:autoSpaceDE/>
              <w:autoSpaceDN/>
              <w:bidi w:val="0"/>
              <w:adjustRightInd/>
              <w:snapToGrid/>
              <w:spacing w:line="460" w:lineRule="exact"/>
              <w:ind w:firstLine="480"/>
              <w:textAlignment w:val="auto"/>
              <w:rPr>
                <w:rFonts w:hint="default" w:ascii="Times New Roman" w:hAnsi="Times New Roman" w:eastAsia="宋体" w:cs="Times New Roman"/>
                <w:color w:val="auto"/>
                <w:kern w:val="2"/>
                <w:sz w:val="24"/>
                <w:szCs w:val="24"/>
                <w:highlight w:val="none"/>
                <w:lang w:val="en-US" w:eastAsia="zh-CN" w:bidi="ar-SA"/>
              </w:rPr>
            </w:pPr>
          </w:p>
        </w:tc>
      </w:tr>
    </w:tbl>
    <w:p>
      <w:pPr>
        <w:pStyle w:val="33"/>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line="460" w:lineRule="exact"/>
        <w:ind w:left="0" w:leftChars="0" w:right="0" w:rightChars="0" w:firstLine="0" w:firstLineChars="0"/>
        <w:jc w:val="center"/>
        <w:textAlignment w:val="auto"/>
        <w:outlineLvl w:val="9"/>
        <w:rPr>
          <w:rFonts w:hint="default" w:ascii="Times New Roman" w:hAnsi="Times New Roman" w:eastAsia="黑体" w:cs="Times New Roman"/>
          <w:snapToGrid w:val="0"/>
          <w:color w:val="auto"/>
          <w:sz w:val="30"/>
          <w:szCs w:val="30"/>
          <w:highlight w:val="none"/>
        </w:rPr>
        <w:sectPr>
          <w:pgSz w:w="11906" w:h="16838"/>
          <w:pgMar w:top="1531" w:right="1531" w:bottom="1531" w:left="1531"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p>
      <w:pPr>
        <w:pStyle w:val="33"/>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line="460" w:lineRule="exact"/>
        <w:ind w:left="0" w:leftChars="0" w:right="0" w:rightChars="0" w:firstLine="0" w:firstLineChars="0"/>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二、建设项目工程分析</w:t>
      </w:r>
    </w:p>
    <w:tbl>
      <w:tblPr>
        <w:tblStyle w:val="38"/>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00"/>
        <w:gridCol w:w="84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600" w:type="dxa"/>
            <w:vAlign w:val="center"/>
          </w:tcPr>
          <w:p>
            <w:pPr>
              <w:pStyle w:val="33"/>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建设内容</w:t>
            </w:r>
          </w:p>
        </w:tc>
        <w:tc>
          <w:tcPr>
            <w:tcW w:w="8460" w:type="dxa"/>
            <w:vAlign w:val="top"/>
          </w:tcPr>
          <w:p>
            <w:pPr>
              <w:pStyle w:val="85"/>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2" w:firstLineChars="200"/>
              <w:jc w:val="both"/>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lang w:val="en-US" w:eastAsia="zh-CN"/>
              </w:rPr>
              <w:t>工程组成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本项目工程组成见表2-1。</w:t>
            </w:r>
          </w:p>
          <w:p>
            <w:pPr>
              <w:pStyle w:val="89"/>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宋体" w:cs="Times New Roman"/>
                <w:b/>
                <w:bCs/>
                <w:color w:val="auto"/>
                <w:kern w:val="2"/>
                <w:sz w:val="21"/>
                <w:szCs w:val="21"/>
                <w:highlight w:val="green"/>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表2-1 项目建设内容一览表</w:t>
            </w:r>
          </w:p>
          <w:tbl>
            <w:tblPr>
              <w:tblStyle w:val="38"/>
              <w:tblW w:w="821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672"/>
              <w:gridCol w:w="733"/>
              <w:gridCol w:w="805"/>
              <w:gridCol w:w="1260"/>
              <w:gridCol w:w="3990"/>
              <w:gridCol w:w="7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7" w:hRule="atLeast"/>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工程</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类型</w:t>
                  </w:r>
                </w:p>
              </w:tc>
              <w:tc>
                <w:tcPr>
                  <w:tcW w:w="7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工程</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w:t>
                  </w:r>
                </w:p>
              </w:tc>
              <w:tc>
                <w:tcPr>
                  <w:tcW w:w="605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建设内容</w:t>
                  </w:r>
                </w:p>
              </w:tc>
              <w:tc>
                <w:tcPr>
                  <w:tcW w:w="7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Times New Roman"/>
                      <w:b/>
                      <w:bCs/>
                      <w:color w:val="auto"/>
                      <w:sz w:val="21"/>
                      <w:szCs w:val="21"/>
                      <w:highlight w:val="none"/>
                      <w:lang w:val="en-US" w:eastAsia="zh-CN"/>
                    </w:rPr>
                  </w:pPr>
                  <w:r>
                    <w:rPr>
                      <w:rFonts w:hint="eastAsia" w:ascii="Times New Roman" w:cs="Times New Roman"/>
                      <w:b/>
                      <w:bCs/>
                      <w:color w:val="auto"/>
                      <w:sz w:val="21"/>
                      <w:szCs w:val="21"/>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5" w:hRule="atLeast"/>
              </w:trPr>
              <w:tc>
                <w:tcPr>
                  <w:tcW w:w="6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w:t>
                  </w:r>
                </w:p>
              </w:tc>
              <w:tc>
                <w:tcPr>
                  <w:tcW w:w="7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生产车间</w:t>
                  </w:r>
                </w:p>
              </w:tc>
              <w:tc>
                <w:tcPr>
                  <w:tcW w:w="605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default" w:ascii="Times New Roman" w:hAnsi="Times New Roman" w:cs="Times New Roman"/>
                      <w:color w:val="auto"/>
                      <w:spacing w:val="0"/>
                      <w:sz w:val="21"/>
                      <w:szCs w:val="21"/>
                      <w:highlight w:val="none"/>
                      <w:lang w:val="en-US" w:eastAsia="zh-CN"/>
                    </w:rPr>
                  </w:pPr>
                  <w:r>
                    <w:rPr>
                      <w:rFonts w:hint="default" w:ascii="Times New Roman" w:hAnsi="Times New Roman" w:cs="Times New Roman"/>
                      <w:color w:val="auto"/>
                      <w:sz w:val="21"/>
                      <w:szCs w:val="21"/>
                      <w:highlight w:val="none"/>
                      <w:lang w:val="en-US" w:eastAsia="zh-CN"/>
                    </w:rPr>
                    <w:t>为1层彩钢结构全封闭厂房，占地面积3</w:t>
                  </w:r>
                  <w:r>
                    <w:rPr>
                      <w:rFonts w:hint="eastAsia" w:asci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vertAlign w:val="baseline"/>
                      <w:lang w:val="en-US" w:eastAsia="zh-CN"/>
                    </w:rPr>
                    <w:t>，位于厂区北侧，设有洗涤区、烘干区、熨烫区、折叠区等</w:t>
                  </w:r>
                </w:p>
              </w:tc>
              <w:tc>
                <w:tcPr>
                  <w:tcW w:w="7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67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辅助</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工程</w:t>
                  </w:r>
                </w:p>
              </w:tc>
              <w:tc>
                <w:tcPr>
                  <w:tcW w:w="7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锅炉</w:t>
                  </w:r>
                  <w:r>
                    <w:rPr>
                      <w:rFonts w:hint="default" w:ascii="Times New Roman" w:hAnsi="Times New Roman" w:eastAsia="宋体" w:cs="Times New Roman"/>
                      <w:color w:val="auto"/>
                      <w:sz w:val="21"/>
                      <w:szCs w:val="21"/>
                      <w:highlight w:val="none"/>
                      <w:lang w:val="en-US" w:eastAsia="zh-CN"/>
                    </w:rPr>
                    <w:t>房</w:t>
                  </w:r>
                </w:p>
              </w:tc>
              <w:tc>
                <w:tcPr>
                  <w:tcW w:w="605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占地面积</w:t>
                  </w:r>
                  <w:r>
                    <w:rPr>
                      <w:rFonts w:hint="eastAsia" w:ascii="Times New Roman" w:cs="Times New Roman"/>
                      <w:color w:val="auto"/>
                      <w:sz w:val="21"/>
                      <w:szCs w:val="21"/>
                      <w:highlight w:val="none"/>
                      <w:lang w:val="en-US" w:eastAsia="zh-CN"/>
                    </w:rPr>
                    <w:t>45</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，1层彩钢结构全封闭厂房，设置一台2.5t/h生物质锅炉</w:t>
                  </w:r>
                </w:p>
              </w:tc>
              <w:tc>
                <w:tcPr>
                  <w:tcW w:w="7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6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7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办公区</w:t>
                  </w:r>
                </w:p>
              </w:tc>
              <w:tc>
                <w:tcPr>
                  <w:tcW w:w="605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占地面积</w:t>
                  </w:r>
                  <w:r>
                    <w:rPr>
                      <w:rFonts w:hint="eastAsia" w:asci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vertAlign w:val="baseline"/>
                      <w:lang w:val="en-US" w:eastAsia="zh-CN"/>
                    </w:rPr>
                    <w:t>，砖混结构，用于职工办公</w:t>
                  </w:r>
                </w:p>
              </w:tc>
              <w:tc>
                <w:tcPr>
                  <w:tcW w:w="7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67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储运工程</w:t>
                  </w:r>
                </w:p>
              </w:tc>
              <w:tc>
                <w:tcPr>
                  <w:tcW w:w="7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原料区</w:t>
                  </w:r>
                </w:p>
              </w:tc>
              <w:tc>
                <w:tcPr>
                  <w:tcW w:w="605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占地面积10m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，位于生产车间内，储存项目所需洗涤剂</w:t>
                  </w:r>
                </w:p>
              </w:tc>
              <w:tc>
                <w:tcPr>
                  <w:tcW w:w="7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6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7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布草区</w:t>
                  </w:r>
                </w:p>
              </w:tc>
              <w:tc>
                <w:tcPr>
                  <w:tcW w:w="605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占地面积</w:t>
                  </w:r>
                  <w:r>
                    <w:rPr>
                      <w:rFonts w:hint="eastAsia" w:asci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0m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，主要用于存放清洗后成品布草</w:t>
                  </w:r>
                </w:p>
              </w:tc>
              <w:tc>
                <w:tcPr>
                  <w:tcW w:w="7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6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p>
              </w:tc>
              <w:tc>
                <w:tcPr>
                  <w:tcW w:w="7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库房</w:t>
                  </w:r>
                </w:p>
              </w:tc>
              <w:tc>
                <w:tcPr>
                  <w:tcW w:w="605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位于厂区东侧，</w:t>
                  </w:r>
                  <w:r>
                    <w:rPr>
                      <w:rFonts w:hint="default" w:ascii="Times New Roman" w:hAnsi="Times New Roman" w:cs="Times New Roman"/>
                      <w:color w:val="auto"/>
                      <w:sz w:val="21"/>
                      <w:szCs w:val="21"/>
                      <w:highlight w:val="none"/>
                      <w:lang w:val="en-US" w:eastAsia="zh-CN"/>
                    </w:rPr>
                    <w:t>占地面积</w:t>
                  </w:r>
                  <w:r>
                    <w:rPr>
                      <w:rFonts w:hint="eastAsia" w:asci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0m</w:t>
                  </w:r>
                  <w:r>
                    <w:rPr>
                      <w:rFonts w:hint="default" w:ascii="Times New Roman" w:hAnsi="Times New Roman" w:cs="Times New Roman"/>
                      <w:color w:val="auto"/>
                      <w:sz w:val="21"/>
                      <w:szCs w:val="21"/>
                      <w:highlight w:val="none"/>
                      <w:vertAlign w:val="superscript"/>
                      <w:lang w:val="en-US" w:eastAsia="zh-CN"/>
                    </w:rPr>
                    <w:t>2</w:t>
                  </w:r>
                  <w:r>
                    <w:rPr>
                      <w:rFonts w:hint="eastAsia" w:ascii="Times New Roman" w:cs="Times New Roman"/>
                      <w:color w:val="auto"/>
                      <w:sz w:val="21"/>
                      <w:szCs w:val="21"/>
                      <w:highlight w:val="none"/>
                      <w:vertAlign w:val="baseline"/>
                      <w:lang w:val="en-US" w:eastAsia="zh-CN"/>
                    </w:rPr>
                    <w:t>，</w:t>
                  </w:r>
                  <w:r>
                    <w:rPr>
                      <w:rFonts w:hint="eastAsia" w:ascii="Times New Roman" w:cs="Times New Roman"/>
                      <w:color w:val="auto"/>
                      <w:sz w:val="21"/>
                      <w:szCs w:val="21"/>
                      <w:highlight w:val="none"/>
                      <w:lang w:val="en-US" w:eastAsia="zh-CN"/>
                    </w:rPr>
                    <w:t>存放生物质燃料</w:t>
                  </w:r>
                </w:p>
              </w:tc>
              <w:tc>
                <w:tcPr>
                  <w:tcW w:w="7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67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公用</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highlight w:val="none"/>
                    </w:rPr>
                    <w:t>工程</w:t>
                  </w:r>
                </w:p>
              </w:tc>
              <w:tc>
                <w:tcPr>
                  <w:tcW w:w="7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给水</w:t>
                  </w:r>
                </w:p>
              </w:tc>
              <w:tc>
                <w:tcPr>
                  <w:tcW w:w="605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lang w:val="en-US" w:eastAsia="zh-CN"/>
                    </w:rPr>
                  </w:pPr>
                  <w:r>
                    <w:rPr>
                      <w:rFonts w:hint="eastAsia" w:ascii="Times New Roman" w:cs="Times New Roman"/>
                      <w:sz w:val="21"/>
                      <w:szCs w:val="21"/>
                      <w:highlight w:val="none"/>
                      <w:lang w:val="en-US" w:eastAsia="zh-CN"/>
                    </w:rPr>
                    <w:t>本项目</w:t>
                  </w:r>
                  <w:r>
                    <w:rPr>
                      <w:rFonts w:hint="default" w:ascii="Times New Roman" w:hAnsi="Times New Roman" w:cs="Times New Roman"/>
                      <w:sz w:val="21"/>
                      <w:szCs w:val="21"/>
                      <w:highlight w:val="none"/>
                    </w:rPr>
                    <w:t>用水水源</w:t>
                  </w:r>
                  <w:r>
                    <w:rPr>
                      <w:rFonts w:hint="eastAsia" w:ascii="Times New Roman" w:cs="Times New Roman"/>
                      <w:sz w:val="21"/>
                      <w:szCs w:val="21"/>
                      <w:highlight w:val="none"/>
                      <w:lang w:val="en-US" w:eastAsia="zh-CN"/>
                    </w:rPr>
                    <w:t>由谭</w:t>
                  </w:r>
                  <w:r>
                    <w:rPr>
                      <w:rFonts w:hint="default" w:ascii="Times New Roman" w:hAnsi="Times New Roman" w:cs="Times New Roman"/>
                      <w:sz w:val="21"/>
                      <w:szCs w:val="21"/>
                      <w:highlight w:val="none"/>
                      <w:lang w:val="en-US" w:eastAsia="zh-CN"/>
                    </w:rPr>
                    <w:t>村</w:t>
                  </w:r>
                  <w:r>
                    <w:rPr>
                      <w:rFonts w:hint="default" w:ascii="Times New Roman" w:hAnsi="Times New Roman" w:cs="Times New Roman"/>
                      <w:sz w:val="21"/>
                      <w:szCs w:val="21"/>
                      <w:highlight w:val="none"/>
                    </w:rPr>
                    <w:t>提供</w:t>
                  </w:r>
                </w:p>
              </w:tc>
              <w:tc>
                <w:tcPr>
                  <w:tcW w:w="7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sz w:val="21"/>
                      <w:szCs w:val="21"/>
                    </w:rPr>
                  </w:pPr>
                  <w:r>
                    <w:rPr>
                      <w:rFonts w:hint="eastAsia" w:ascii="Times New Roman" w:cs="Times New Roman"/>
                      <w:color w:val="auto"/>
                      <w:sz w:val="21"/>
                      <w:szCs w:val="21"/>
                      <w:highlight w:val="none"/>
                      <w:lang w:val="en-US"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yellow"/>
                    </w:rPr>
                  </w:pPr>
                </w:p>
              </w:tc>
              <w:tc>
                <w:tcPr>
                  <w:tcW w:w="7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供电</w:t>
                  </w:r>
                </w:p>
              </w:tc>
              <w:tc>
                <w:tcPr>
                  <w:tcW w:w="605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lang w:val="en-US" w:eastAsia="zh-CN"/>
                    </w:rPr>
                  </w:pPr>
                  <w:bookmarkStart w:id="44" w:name="OLE_LINK2"/>
                  <w:r>
                    <w:rPr>
                      <w:rFonts w:hint="default" w:ascii="Times New Roman" w:hAnsi="Times New Roman" w:cs="Times New Roman"/>
                      <w:sz w:val="21"/>
                      <w:szCs w:val="21"/>
                      <w:highlight w:val="none"/>
                    </w:rPr>
                    <w:t>由</w:t>
                  </w:r>
                  <w:r>
                    <w:rPr>
                      <w:rFonts w:hint="eastAsia" w:ascii="Times New Roman" w:cs="Times New Roman"/>
                      <w:sz w:val="21"/>
                      <w:szCs w:val="21"/>
                      <w:highlight w:val="none"/>
                      <w:lang w:val="en-US" w:eastAsia="zh-CN"/>
                    </w:rPr>
                    <w:t>谭</w:t>
                  </w:r>
                  <w:r>
                    <w:rPr>
                      <w:rFonts w:hint="default" w:ascii="Times New Roman" w:hAnsi="Times New Roman" w:cs="Times New Roman"/>
                      <w:sz w:val="21"/>
                      <w:szCs w:val="21"/>
                      <w:highlight w:val="none"/>
                      <w:lang w:val="en-US" w:eastAsia="zh-CN"/>
                    </w:rPr>
                    <w:t>村</w:t>
                  </w:r>
                  <w:r>
                    <w:rPr>
                      <w:rFonts w:hint="default" w:ascii="Times New Roman" w:hAnsi="Times New Roman" w:cs="Times New Roman"/>
                      <w:sz w:val="21"/>
                      <w:szCs w:val="21"/>
                      <w:highlight w:val="none"/>
                    </w:rPr>
                    <w:t>供电系统提供</w:t>
                  </w:r>
                  <w:bookmarkEnd w:id="44"/>
                </w:p>
              </w:tc>
              <w:tc>
                <w:tcPr>
                  <w:tcW w:w="7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sz w:val="21"/>
                      <w:szCs w:val="21"/>
                    </w:rPr>
                  </w:pPr>
                  <w:r>
                    <w:rPr>
                      <w:rFonts w:hint="eastAsia" w:ascii="Times New Roman" w:cs="Times New Roman"/>
                      <w:color w:val="auto"/>
                      <w:sz w:val="21"/>
                      <w:szCs w:val="21"/>
                      <w:highlight w:val="none"/>
                      <w:lang w:val="en-US" w:eastAsia="zh-CN"/>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6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yellow"/>
                    </w:rPr>
                  </w:pPr>
                </w:p>
              </w:tc>
              <w:tc>
                <w:tcPr>
                  <w:tcW w:w="7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供暖</w:t>
                  </w:r>
                </w:p>
              </w:tc>
              <w:tc>
                <w:tcPr>
                  <w:tcW w:w="6055"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本项目冬季采暖采用空调。</w:t>
                  </w:r>
                </w:p>
              </w:tc>
              <w:tc>
                <w:tcPr>
                  <w:tcW w:w="7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3" w:hRule="atLeast"/>
              </w:trPr>
              <w:tc>
                <w:tcPr>
                  <w:tcW w:w="67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cs="Times New Roman"/>
                      <w:color w:val="auto"/>
                      <w:sz w:val="21"/>
                      <w:szCs w:val="21"/>
                      <w:highlight w:val="none"/>
                      <w:lang w:val="en-US" w:eastAsia="zh-CN"/>
                    </w:rPr>
                    <w:t>环保工程</w:t>
                  </w:r>
                </w:p>
              </w:tc>
              <w:tc>
                <w:tcPr>
                  <w:tcW w:w="7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废气</w:t>
                  </w:r>
                </w:p>
              </w:tc>
              <w:tc>
                <w:tcPr>
                  <w:tcW w:w="2065" w:type="dxa"/>
                  <w:gridSpan w:val="2"/>
                  <w:tcBorders>
                    <w:tl2br w:val="nil"/>
                    <w:tr2bl w:val="nil"/>
                  </w:tcBorders>
                  <w:vAlign w:val="center"/>
                </w:tcPr>
                <w:p>
                  <w:pPr>
                    <w:pStyle w:val="85"/>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outlineLvl w:val="9"/>
                    <w:rPr>
                      <w:rFonts w:hint="default" w:ascii="Times New Roman" w:hAnsi="Times New Roman" w:eastAsia="宋体" w:cs="Times New Roman"/>
                      <w:iCs w:val="0"/>
                      <w:color w:val="auto"/>
                      <w:spacing w:val="0"/>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锅炉废气</w:t>
                  </w:r>
                </w:p>
              </w:tc>
              <w:tc>
                <w:tcPr>
                  <w:tcW w:w="399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default" w:ascii="Times New Roman" w:hAnsi="Times New Roman" w:eastAsia="宋体" w:cs="Times New Roman"/>
                      <w:iCs w:val="0"/>
                      <w:color w:val="auto"/>
                      <w:spacing w:val="0"/>
                      <w:kern w:val="0"/>
                      <w:sz w:val="21"/>
                      <w:szCs w:val="21"/>
                      <w:highlight w:val="none"/>
                      <w:lang w:val="en-US" w:eastAsia="zh-CN" w:bidi="ar-SA"/>
                    </w:rPr>
                  </w:pPr>
                  <w:r>
                    <w:rPr>
                      <w:rFonts w:hint="default" w:ascii="Times New Roman" w:hAnsi="Times New Roman" w:eastAsia="宋体" w:cs="Times New Roman"/>
                      <w:iCs w:val="0"/>
                      <w:color w:val="auto"/>
                      <w:spacing w:val="0"/>
                      <w:kern w:val="0"/>
                      <w:sz w:val="21"/>
                      <w:szCs w:val="21"/>
                      <w:highlight w:val="none"/>
                      <w:lang w:val="en-US" w:eastAsia="zh-CN" w:bidi="ar-SA"/>
                    </w:rPr>
                    <w:t>燃用生物质成型燃料，</w:t>
                  </w:r>
                  <w:r>
                    <w:rPr>
                      <w:rFonts w:hint="eastAsia" w:ascii="Times New Roman" w:hAnsi="Times New Roman" w:cs="Times New Roman"/>
                      <w:iCs w:val="0"/>
                      <w:color w:val="auto"/>
                      <w:spacing w:val="0"/>
                      <w:kern w:val="0"/>
                      <w:sz w:val="21"/>
                      <w:szCs w:val="21"/>
                      <w:highlight w:val="none"/>
                      <w:lang w:val="en-US" w:eastAsia="zh-CN" w:bidi="ar-SA"/>
                    </w:rPr>
                    <w:t>对现有废气处理设施（水膜除尘）进行改建，改建后</w:t>
                  </w:r>
                  <w:r>
                    <w:rPr>
                      <w:rFonts w:hint="default" w:ascii="Times New Roman" w:hAnsi="Times New Roman" w:eastAsia="宋体" w:cs="Times New Roman"/>
                      <w:iCs w:val="0"/>
                      <w:color w:val="auto"/>
                      <w:spacing w:val="0"/>
                      <w:kern w:val="0"/>
                      <w:sz w:val="21"/>
                      <w:szCs w:val="21"/>
                      <w:highlight w:val="none"/>
                      <w:lang w:val="en-US" w:eastAsia="zh-CN" w:bidi="ar-SA"/>
                    </w:rPr>
                    <w:t>烟气经低氮燃烧+SNCR脱硝+</w:t>
                  </w:r>
                  <w:r>
                    <w:rPr>
                      <w:rFonts w:hint="default" w:ascii="Times New Roman" w:hAnsi="Times New Roman" w:cs="Times New Roman"/>
                      <w:iCs w:val="0"/>
                      <w:color w:val="auto"/>
                      <w:spacing w:val="0"/>
                      <w:kern w:val="0"/>
                      <w:sz w:val="21"/>
                      <w:szCs w:val="21"/>
                      <w:highlight w:val="none"/>
                      <w:lang w:val="en-US" w:eastAsia="zh-CN" w:bidi="ar-SA"/>
                    </w:rPr>
                    <w:t>旋风</w:t>
                  </w:r>
                  <w:r>
                    <w:rPr>
                      <w:rFonts w:hint="default" w:ascii="Times New Roman" w:hAnsi="Times New Roman" w:eastAsia="宋体" w:cs="Times New Roman"/>
                      <w:iCs w:val="0"/>
                      <w:color w:val="auto"/>
                      <w:spacing w:val="0"/>
                      <w:kern w:val="0"/>
                      <w:sz w:val="21"/>
                      <w:szCs w:val="21"/>
                      <w:highlight w:val="none"/>
                      <w:lang w:val="en-US" w:eastAsia="zh-CN" w:bidi="ar-SA"/>
                    </w:rPr>
                    <w:t>除尘+布袋除尘器处理后经1根</w:t>
                  </w:r>
                  <w:r>
                    <w:rPr>
                      <w:rFonts w:hint="default" w:ascii="Times New Roman" w:hAnsi="Times New Roman" w:cs="Times New Roman"/>
                      <w:iCs w:val="0"/>
                      <w:color w:val="auto"/>
                      <w:spacing w:val="0"/>
                      <w:kern w:val="0"/>
                      <w:sz w:val="21"/>
                      <w:szCs w:val="21"/>
                      <w:highlight w:val="none"/>
                      <w:lang w:val="en-US" w:eastAsia="zh-CN" w:bidi="ar-SA"/>
                    </w:rPr>
                    <w:t>30</w:t>
                  </w:r>
                  <w:r>
                    <w:rPr>
                      <w:rFonts w:hint="default" w:ascii="Times New Roman" w:hAnsi="Times New Roman" w:eastAsia="宋体" w:cs="Times New Roman"/>
                      <w:iCs w:val="0"/>
                      <w:color w:val="auto"/>
                      <w:spacing w:val="0"/>
                      <w:kern w:val="0"/>
                      <w:sz w:val="21"/>
                      <w:szCs w:val="21"/>
                      <w:highlight w:val="none"/>
                      <w:lang w:val="en-US" w:eastAsia="zh-CN" w:bidi="ar-SA"/>
                    </w:rPr>
                    <w:t>m高排气筒外排（DA00</w:t>
                  </w:r>
                  <w:r>
                    <w:rPr>
                      <w:rFonts w:hint="default" w:ascii="Times New Roman" w:hAnsi="Times New Roman" w:cs="Times New Roman"/>
                      <w:iCs w:val="0"/>
                      <w:color w:val="auto"/>
                      <w:spacing w:val="0"/>
                      <w:kern w:val="0"/>
                      <w:sz w:val="21"/>
                      <w:szCs w:val="21"/>
                      <w:highlight w:val="none"/>
                      <w:lang w:val="en-US" w:eastAsia="zh-CN" w:bidi="ar-SA"/>
                    </w:rPr>
                    <w:t>1</w:t>
                  </w:r>
                  <w:r>
                    <w:rPr>
                      <w:rFonts w:hint="default" w:ascii="Times New Roman" w:hAnsi="Times New Roman" w:eastAsia="宋体" w:cs="Times New Roman"/>
                      <w:iCs w:val="0"/>
                      <w:color w:val="auto"/>
                      <w:spacing w:val="0"/>
                      <w:kern w:val="0"/>
                      <w:sz w:val="21"/>
                      <w:szCs w:val="21"/>
                      <w:highlight w:val="none"/>
                      <w:lang w:val="en-US" w:eastAsia="zh-CN" w:bidi="ar-SA"/>
                    </w:rPr>
                    <w:t>）</w:t>
                  </w:r>
                </w:p>
              </w:tc>
              <w:tc>
                <w:tcPr>
                  <w:tcW w:w="7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iCs w:val="0"/>
                      <w:color w:val="auto"/>
                      <w:spacing w:val="0"/>
                      <w:kern w:val="0"/>
                      <w:sz w:val="21"/>
                      <w:szCs w:val="21"/>
                      <w:highlight w:val="none"/>
                      <w:lang w:val="en-US" w:eastAsia="zh-CN" w:bidi="ar-SA"/>
                    </w:rPr>
                  </w:pPr>
                  <w:r>
                    <w:rPr>
                      <w:rFonts w:hint="eastAsia" w:ascii="Times New Roman" w:cs="Times New Roman"/>
                      <w:color w:val="auto"/>
                      <w:sz w:val="21"/>
                      <w:szCs w:val="21"/>
                      <w:highlight w:val="none"/>
                      <w:lang w:val="en-US" w:eastAsia="zh-CN"/>
                    </w:rPr>
                    <w:t>改建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2" w:hRule="atLeast"/>
              </w:trPr>
              <w:tc>
                <w:tcPr>
                  <w:tcW w:w="6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yellow"/>
                    </w:rPr>
                  </w:pPr>
                </w:p>
              </w:tc>
              <w:tc>
                <w:tcPr>
                  <w:tcW w:w="7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废水</w:t>
                  </w:r>
                </w:p>
              </w:tc>
              <w:tc>
                <w:tcPr>
                  <w:tcW w:w="6055" w:type="dxa"/>
                  <w:gridSpan w:val="3"/>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生活污水、洗涤废水、锅炉排污水</w:t>
                  </w:r>
                  <w:r>
                    <w:rPr>
                      <w:rFonts w:hint="eastAsia" w:ascii="Times New Roman" w:hAnsi="Times New Roman" w:cs="Times New Roman"/>
                      <w:b w:val="0"/>
                      <w:bCs/>
                      <w:color w:val="auto"/>
                      <w:sz w:val="21"/>
                      <w:szCs w:val="21"/>
                      <w:highlight w:val="none"/>
                      <w:lang w:val="en-US" w:eastAsia="zh-CN"/>
                    </w:rPr>
                    <w:t>经地埋式一体化</w:t>
                  </w:r>
                  <w:r>
                    <w:rPr>
                      <w:rFonts w:hint="default" w:ascii="Times New Roman" w:hAnsi="Times New Roman" w:cs="Times New Roman"/>
                      <w:b w:val="0"/>
                      <w:bCs/>
                      <w:color w:val="auto"/>
                      <w:sz w:val="21"/>
                      <w:szCs w:val="21"/>
                      <w:highlight w:val="none"/>
                      <w:lang w:val="en-US" w:eastAsia="zh-CN"/>
                    </w:rPr>
                    <w:t>污水处理站（</w:t>
                  </w:r>
                  <w:r>
                    <w:rPr>
                      <w:rFonts w:hint="eastAsia" w:ascii="Times New Roman" w:hAnsi="Times New Roman" w:cs="Times New Roman"/>
                      <w:b w:val="0"/>
                      <w:bCs/>
                      <w:color w:val="auto"/>
                      <w:sz w:val="21"/>
                      <w:szCs w:val="21"/>
                      <w:highlight w:val="none"/>
                      <w:lang w:val="en-US" w:eastAsia="zh-CN"/>
                    </w:rPr>
                    <w:t>15</w:t>
                  </w:r>
                  <w:r>
                    <w:rPr>
                      <w:rFonts w:hint="default" w:ascii="Times New Roman" w:hAnsi="Times New Roman" w:cs="Times New Roman"/>
                      <w:b w:val="0"/>
                      <w:bCs/>
                      <w:color w:val="auto"/>
                      <w:sz w:val="21"/>
                      <w:szCs w:val="21"/>
                      <w:highlight w:val="none"/>
                      <w:lang w:val="en-US" w:eastAsia="zh-CN"/>
                    </w:rPr>
                    <w:t>m</w:t>
                  </w:r>
                  <w:r>
                    <w:rPr>
                      <w:rFonts w:hint="default" w:ascii="Times New Roman" w:hAnsi="Times New Roman" w:cs="Times New Roman"/>
                      <w:b w:val="0"/>
                      <w:bCs/>
                      <w:color w:val="auto"/>
                      <w:sz w:val="21"/>
                      <w:szCs w:val="21"/>
                      <w:highlight w:val="none"/>
                      <w:vertAlign w:val="superscript"/>
                      <w:lang w:val="en-US" w:eastAsia="zh-CN"/>
                    </w:rPr>
                    <w:t>3</w:t>
                  </w:r>
                  <w:r>
                    <w:rPr>
                      <w:rFonts w:hint="default" w:ascii="Times New Roman" w:hAnsi="Times New Roman" w:cs="Times New Roman"/>
                      <w:b w:val="0"/>
                      <w:bCs/>
                      <w:color w:val="auto"/>
                      <w:sz w:val="21"/>
                      <w:szCs w:val="21"/>
                      <w:highlight w:val="none"/>
                      <w:lang w:val="en-US" w:eastAsia="zh-CN"/>
                    </w:rPr>
                    <w:t>/d）处理</w:t>
                  </w:r>
                  <w:r>
                    <w:rPr>
                      <w:rFonts w:hint="eastAsia" w:ascii="Times New Roman" w:hAnsi="Times New Roman" w:cs="Times New Roman"/>
                      <w:b w:val="0"/>
                      <w:bCs/>
                      <w:color w:val="auto"/>
                      <w:sz w:val="21"/>
                      <w:szCs w:val="21"/>
                      <w:highlight w:val="none"/>
                      <w:lang w:val="en-US" w:eastAsia="zh-CN"/>
                    </w:rPr>
                    <w:t>后，</w:t>
                  </w:r>
                  <w:r>
                    <w:rPr>
                      <w:rFonts w:hint="default" w:ascii="Times New Roman" w:hAnsi="Times New Roman" w:cs="Times New Roman"/>
                      <w:b w:val="0"/>
                      <w:bCs/>
                      <w:color w:val="auto"/>
                      <w:sz w:val="21"/>
                      <w:szCs w:val="21"/>
                      <w:highlight w:val="none"/>
                      <w:lang w:val="en-US" w:eastAsia="zh-CN"/>
                    </w:rPr>
                    <w:t>由罐车</w:t>
                  </w:r>
                  <w:r>
                    <w:rPr>
                      <w:rFonts w:hint="eastAsia" w:ascii="Times New Roman" w:hAnsi="Times New Roman" w:cs="Times New Roman"/>
                      <w:b w:val="0"/>
                      <w:bCs/>
                      <w:color w:val="auto"/>
                      <w:sz w:val="21"/>
                      <w:szCs w:val="21"/>
                      <w:highlight w:val="none"/>
                      <w:lang w:val="en-US" w:eastAsia="zh-CN"/>
                    </w:rPr>
                    <w:t>每天</w:t>
                  </w:r>
                  <w:r>
                    <w:rPr>
                      <w:rFonts w:hint="default" w:ascii="Times New Roman" w:hAnsi="Times New Roman" w:cs="Times New Roman"/>
                      <w:b w:val="0"/>
                      <w:bCs/>
                      <w:color w:val="auto"/>
                      <w:sz w:val="21"/>
                      <w:szCs w:val="21"/>
                      <w:highlight w:val="none"/>
                      <w:lang w:val="en-US" w:eastAsia="zh-CN"/>
                    </w:rPr>
                    <w:t>拉至</w:t>
                  </w:r>
                  <w:r>
                    <w:rPr>
                      <w:rFonts w:hint="eastAsia" w:ascii="Times New Roman" w:hAnsi="Times New Roman" w:cs="Times New Roman"/>
                      <w:b w:val="0"/>
                      <w:bCs/>
                      <w:color w:val="auto"/>
                      <w:sz w:val="21"/>
                      <w:szCs w:val="21"/>
                      <w:highlight w:val="none"/>
                      <w:lang w:val="en-US" w:eastAsia="zh-CN"/>
                    </w:rPr>
                    <w:t>市政污水管网排放点</w:t>
                  </w:r>
                  <w:r>
                    <w:rPr>
                      <w:rFonts w:hint="default" w:ascii="Times New Roman" w:hAnsi="Times New Roman" w:cs="Times New Roman"/>
                      <w:b w:val="0"/>
                      <w:bCs/>
                      <w:color w:val="auto"/>
                      <w:sz w:val="21"/>
                      <w:szCs w:val="21"/>
                      <w:highlight w:val="none"/>
                      <w:lang w:val="en-US" w:eastAsia="zh-CN"/>
                    </w:rPr>
                    <w:t>，</w:t>
                  </w:r>
                  <w:r>
                    <w:rPr>
                      <w:rFonts w:hint="eastAsia" w:ascii="Times New Roman" w:hAnsi="Times New Roman" w:cs="Times New Roman"/>
                      <w:b w:val="0"/>
                      <w:bCs/>
                      <w:color w:val="auto"/>
                      <w:sz w:val="21"/>
                      <w:szCs w:val="21"/>
                      <w:highlight w:val="none"/>
                      <w:lang w:val="en-US" w:eastAsia="zh-CN"/>
                    </w:rPr>
                    <w:t>进入</w:t>
                  </w:r>
                  <w:r>
                    <w:rPr>
                      <w:rFonts w:hint="default" w:ascii="Times New Roman" w:hAnsi="Times New Roman" w:cs="Times New Roman"/>
                      <w:b w:val="0"/>
                      <w:bCs/>
                      <w:color w:val="auto"/>
                      <w:sz w:val="21"/>
                      <w:szCs w:val="21"/>
                      <w:highlight w:val="none"/>
                      <w:lang w:val="en-US" w:eastAsia="zh-CN"/>
                    </w:rPr>
                    <w:t>翼城县润灏水务有限公司处理</w:t>
                  </w:r>
                </w:p>
              </w:tc>
              <w:tc>
                <w:tcPr>
                  <w:tcW w:w="7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b w:val="0"/>
                      <w:bCs/>
                      <w:color w:val="auto"/>
                      <w:sz w:val="21"/>
                      <w:szCs w:val="21"/>
                      <w:highlight w:val="none"/>
                      <w:lang w:val="en-US" w:eastAsia="zh-CN"/>
                    </w:rPr>
                  </w:pPr>
                  <w:r>
                    <w:rPr>
                      <w:rFonts w:hint="eastAsia" w:ascii="Times New Roman" w:cs="Times New Roman"/>
                      <w:color w:val="auto"/>
                      <w:sz w:val="21"/>
                      <w:szCs w:val="21"/>
                      <w:highlight w:val="none"/>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6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yellow"/>
                    </w:rPr>
                  </w:pPr>
                </w:p>
              </w:tc>
              <w:tc>
                <w:tcPr>
                  <w:tcW w:w="73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80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一般固废</w:t>
                  </w:r>
                </w:p>
              </w:tc>
              <w:tc>
                <w:tcPr>
                  <w:tcW w:w="1260" w:type="dxa"/>
                  <w:tcBorders>
                    <w:tl2br w:val="nil"/>
                    <w:tr2bl w:val="nil"/>
                  </w:tcBorders>
                  <w:vAlign w:val="center"/>
                </w:tcPr>
                <w:p>
                  <w:pPr>
                    <w:wordWrap w:val="0"/>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废包装袋</w:t>
                  </w:r>
                </w:p>
              </w:tc>
              <w:tc>
                <w:tcPr>
                  <w:tcW w:w="3990" w:type="dxa"/>
                  <w:tcBorders>
                    <w:tl2br w:val="nil"/>
                    <w:tr2bl w:val="nil"/>
                  </w:tcBorders>
                  <w:vAlign w:val="center"/>
                </w:tcPr>
                <w:p>
                  <w:pPr>
                    <w:wordWrap w:val="0"/>
                    <w:spacing w:line="320" w:lineRule="exact"/>
                    <w:jc w:val="left"/>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sz w:val="21"/>
                      <w:szCs w:val="21"/>
                      <w:highlight w:val="none"/>
                      <w:lang w:val="en-US" w:eastAsia="zh-CN"/>
                    </w:rPr>
                    <w:t>暂存于一般固废区，</w:t>
                  </w:r>
                  <w:r>
                    <w:rPr>
                      <w:rFonts w:hint="default" w:ascii="Times New Roman" w:hAnsi="Times New Roman" w:cs="Times New Roman"/>
                      <w:color w:val="auto"/>
                      <w:kern w:val="0"/>
                      <w:sz w:val="21"/>
                      <w:szCs w:val="21"/>
                      <w:highlight w:val="none"/>
                    </w:rPr>
                    <w:t>卖于物资回收单位</w:t>
                  </w:r>
                </w:p>
              </w:tc>
              <w:tc>
                <w:tcPr>
                  <w:tcW w:w="753" w:type="dxa"/>
                  <w:tcBorders>
                    <w:tl2br w:val="nil"/>
                    <w:tr2bl w:val="nil"/>
                  </w:tcBorders>
                  <w:vAlign w:val="center"/>
                </w:tcPr>
                <w:p>
                  <w:pPr>
                    <w:wordWrap w:val="0"/>
                    <w:spacing w:line="320" w:lineRule="exact"/>
                    <w:jc w:val="center"/>
                    <w:rPr>
                      <w:rFonts w:hint="default" w:ascii="Times New Roman" w:hAnsi="Times New Roman" w:cs="Times New Roman"/>
                      <w:sz w:val="21"/>
                      <w:szCs w:val="21"/>
                      <w:lang w:val="en-US" w:eastAsia="zh-CN"/>
                    </w:rPr>
                  </w:pPr>
                  <w:r>
                    <w:rPr>
                      <w:rFonts w:hint="eastAsia" w:asci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6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yellow"/>
                    </w:rPr>
                  </w:pPr>
                </w:p>
              </w:tc>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8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sz w:val="21"/>
                      <w:szCs w:val="21"/>
                      <w:highlight w:val="none"/>
                      <w:lang w:val="en-US" w:eastAsia="zh-CN"/>
                    </w:rPr>
                  </w:pPr>
                </w:p>
              </w:tc>
              <w:tc>
                <w:tcPr>
                  <w:tcW w:w="1260" w:type="dxa"/>
                  <w:tcBorders>
                    <w:tl2br w:val="nil"/>
                    <w:tr2bl w:val="nil"/>
                  </w:tcBorders>
                  <w:vAlign w:val="center"/>
                </w:tcPr>
                <w:p>
                  <w:pPr>
                    <w:wordWrap w:val="0"/>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废离子交换树脂</w:t>
                  </w:r>
                </w:p>
              </w:tc>
              <w:tc>
                <w:tcPr>
                  <w:tcW w:w="3990" w:type="dxa"/>
                  <w:tcBorders>
                    <w:tl2br w:val="nil"/>
                    <w:tr2bl w:val="nil"/>
                  </w:tcBorders>
                  <w:vAlign w:val="center"/>
                </w:tcPr>
                <w:p>
                  <w:pPr>
                    <w:wordWrap w:val="0"/>
                    <w:spacing w:line="320" w:lineRule="exact"/>
                    <w:jc w:val="left"/>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bCs/>
                      <w:iCs/>
                      <w:color w:val="auto"/>
                      <w:kern w:val="0"/>
                      <w:sz w:val="21"/>
                      <w:szCs w:val="21"/>
                      <w:highlight w:val="none"/>
                    </w:rPr>
                    <w:t>由设备公司定期上门更换和回收，不在厂内储存</w:t>
                  </w:r>
                </w:p>
              </w:tc>
              <w:tc>
                <w:tcPr>
                  <w:tcW w:w="753" w:type="dxa"/>
                  <w:tcBorders>
                    <w:tl2br w:val="nil"/>
                    <w:tr2bl w:val="nil"/>
                  </w:tcBorders>
                  <w:vAlign w:val="center"/>
                </w:tcPr>
                <w:p>
                  <w:pPr>
                    <w:wordWrap w:val="0"/>
                    <w:spacing w:line="320" w:lineRule="exact"/>
                    <w:jc w:val="center"/>
                    <w:rPr>
                      <w:rFonts w:hint="eastAsia" w:ascii="Times New Roman" w:hAnsi="Times New Roman" w:eastAsia="宋体" w:cs="Times New Roman"/>
                      <w:bCs/>
                      <w:iCs/>
                      <w:color w:val="auto"/>
                      <w:kern w:val="0"/>
                      <w:sz w:val="21"/>
                      <w:szCs w:val="21"/>
                      <w:highlight w:val="none"/>
                      <w:lang w:val="en-US" w:eastAsia="zh-CN"/>
                    </w:rPr>
                  </w:pPr>
                  <w:r>
                    <w:rPr>
                      <w:rFonts w:hint="eastAsia" w:ascii="Times New Roman" w:cs="Times New Roman"/>
                      <w:bCs/>
                      <w:iCs/>
                      <w:color w:val="auto"/>
                      <w:kern w:val="0"/>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6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yellow"/>
                    </w:rPr>
                  </w:pPr>
                </w:p>
              </w:tc>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8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sz w:val="21"/>
                      <w:szCs w:val="21"/>
                      <w:highlight w:val="none"/>
                      <w:lang w:val="en-US" w:eastAsia="zh-CN"/>
                    </w:rPr>
                  </w:pPr>
                </w:p>
              </w:tc>
              <w:tc>
                <w:tcPr>
                  <w:tcW w:w="1260" w:type="dxa"/>
                  <w:tcBorders>
                    <w:tl2br w:val="nil"/>
                    <w:tr2bl w:val="nil"/>
                  </w:tcBorders>
                  <w:vAlign w:val="center"/>
                </w:tcPr>
                <w:p>
                  <w:pPr>
                    <w:wordWrap w:val="0"/>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污水处理站污泥</w:t>
                  </w:r>
                </w:p>
              </w:tc>
              <w:tc>
                <w:tcPr>
                  <w:tcW w:w="3990" w:type="dxa"/>
                  <w:tcBorders>
                    <w:tl2br w:val="nil"/>
                    <w:tr2bl w:val="nil"/>
                  </w:tcBorders>
                  <w:vAlign w:val="center"/>
                </w:tcPr>
                <w:p>
                  <w:pPr>
                    <w:wordWrap w:val="0"/>
                    <w:spacing w:line="320" w:lineRule="exact"/>
                    <w:jc w:val="left"/>
                    <w:rPr>
                      <w:rFonts w:hint="default" w:ascii="Times New Roman" w:hAnsi="Times New Roman" w:cs="Times New Roman"/>
                      <w:bCs/>
                      <w:iCs/>
                      <w:color w:val="auto"/>
                      <w:kern w:val="0"/>
                      <w:sz w:val="21"/>
                      <w:szCs w:val="21"/>
                      <w:highlight w:val="none"/>
                    </w:rPr>
                  </w:pPr>
                  <w:r>
                    <w:rPr>
                      <w:rFonts w:hint="default" w:ascii="Times New Roman" w:hAnsi="Times New Roman" w:cs="Times New Roman"/>
                      <w:bCs/>
                      <w:iCs/>
                      <w:color w:val="auto"/>
                      <w:kern w:val="0"/>
                      <w:sz w:val="21"/>
                      <w:szCs w:val="21"/>
                      <w:highlight w:val="none"/>
                      <w:lang w:val="en-US" w:eastAsia="zh-CN"/>
                    </w:rPr>
                    <w:t>定期清理，脱水后交由环卫部门清运，不在厂区内长时间停留</w:t>
                  </w:r>
                </w:p>
              </w:tc>
              <w:tc>
                <w:tcPr>
                  <w:tcW w:w="753" w:type="dxa"/>
                  <w:tcBorders>
                    <w:tl2br w:val="nil"/>
                    <w:tr2bl w:val="nil"/>
                  </w:tcBorders>
                  <w:vAlign w:val="center"/>
                </w:tcPr>
                <w:p>
                  <w:pPr>
                    <w:wordWrap w:val="0"/>
                    <w:spacing w:line="320" w:lineRule="exact"/>
                    <w:jc w:val="center"/>
                    <w:rPr>
                      <w:rFonts w:hint="default" w:ascii="Times New Roman" w:hAnsi="Times New Roman" w:cs="Times New Roman"/>
                      <w:bCs/>
                      <w:iCs/>
                      <w:color w:val="auto"/>
                      <w:kern w:val="0"/>
                      <w:sz w:val="21"/>
                      <w:szCs w:val="21"/>
                      <w:highlight w:val="none"/>
                      <w:lang w:val="en-US" w:eastAsia="zh-CN"/>
                    </w:rPr>
                  </w:pPr>
                  <w:r>
                    <w:rPr>
                      <w:rFonts w:hint="eastAsia" w:ascii="Times New Roman" w:cs="Times New Roman"/>
                      <w:bCs/>
                      <w:iCs/>
                      <w:color w:val="auto"/>
                      <w:kern w:val="0"/>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6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yellow"/>
                    </w:rPr>
                  </w:pPr>
                </w:p>
              </w:tc>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8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sz w:val="21"/>
                      <w:szCs w:val="21"/>
                      <w:highlight w:val="none"/>
                      <w:lang w:val="en-US" w:eastAsia="zh-CN"/>
                    </w:rPr>
                  </w:pPr>
                </w:p>
              </w:tc>
              <w:tc>
                <w:tcPr>
                  <w:tcW w:w="1260" w:type="dxa"/>
                  <w:tcBorders>
                    <w:tl2br w:val="nil"/>
                    <w:tr2bl w:val="nil"/>
                  </w:tcBorders>
                  <w:vAlign w:val="center"/>
                </w:tcPr>
                <w:p>
                  <w:pPr>
                    <w:wordWrap w:val="0"/>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spacing w:val="-2"/>
                      <w:sz w:val="21"/>
                      <w:szCs w:val="21"/>
                      <w:highlight w:val="none"/>
                      <w:lang w:val="en-US" w:eastAsia="zh-CN"/>
                    </w:rPr>
                    <w:t>炉渣</w:t>
                  </w:r>
                </w:p>
              </w:tc>
              <w:tc>
                <w:tcPr>
                  <w:tcW w:w="3990" w:type="dxa"/>
                  <w:vMerge w:val="restart"/>
                  <w:tcBorders>
                    <w:tl2br w:val="nil"/>
                    <w:tr2bl w:val="nil"/>
                  </w:tcBorders>
                  <w:vAlign w:val="center"/>
                </w:tcPr>
                <w:p>
                  <w:pPr>
                    <w:wordWrap w:val="0"/>
                    <w:spacing w:line="320" w:lineRule="exact"/>
                    <w:jc w:val="left"/>
                    <w:rPr>
                      <w:rFonts w:hint="default" w:ascii="Times New Roman" w:hAnsi="Times New Roman" w:eastAsia="宋体" w:cs="Times New Roman"/>
                      <w:bCs/>
                      <w:iCs/>
                      <w:color w:val="auto"/>
                      <w:kern w:val="0"/>
                      <w:sz w:val="21"/>
                      <w:szCs w:val="21"/>
                      <w:highlight w:val="none"/>
                      <w:lang w:val="en-US" w:eastAsia="zh-CN"/>
                    </w:rPr>
                  </w:pPr>
                  <w:r>
                    <w:rPr>
                      <w:rFonts w:hint="default" w:ascii="Times New Roman" w:hAnsi="Times New Roman" w:eastAsia="宋体" w:cs="Times New Roman"/>
                      <w:bCs/>
                      <w:iCs/>
                      <w:color w:val="auto"/>
                      <w:kern w:val="0"/>
                      <w:sz w:val="21"/>
                      <w:szCs w:val="21"/>
                      <w:highlight w:val="none"/>
                      <w:lang w:val="en-US" w:eastAsia="zh-CN"/>
                    </w:rPr>
                    <w:t>在</w:t>
                  </w:r>
                  <w:r>
                    <w:rPr>
                      <w:rFonts w:hint="eastAsia" w:ascii="Times New Roman" w:cs="Times New Roman"/>
                      <w:bCs/>
                      <w:iCs/>
                      <w:color w:val="auto"/>
                      <w:kern w:val="0"/>
                      <w:sz w:val="21"/>
                      <w:szCs w:val="21"/>
                      <w:highlight w:val="none"/>
                      <w:lang w:val="en-US" w:eastAsia="zh-CN"/>
                    </w:rPr>
                    <w:t>库房南侧</w:t>
                  </w:r>
                  <w:r>
                    <w:rPr>
                      <w:rFonts w:hint="default" w:ascii="Times New Roman" w:hAnsi="Times New Roman" w:eastAsia="宋体" w:cs="Times New Roman"/>
                      <w:bCs/>
                      <w:iCs/>
                      <w:color w:val="auto"/>
                      <w:kern w:val="0"/>
                      <w:sz w:val="21"/>
                      <w:szCs w:val="21"/>
                      <w:highlight w:val="none"/>
                      <w:lang w:val="en-US" w:eastAsia="zh-CN"/>
                    </w:rPr>
                    <w:t>设</w:t>
                  </w:r>
                  <w:r>
                    <w:rPr>
                      <w:rFonts w:hint="default" w:ascii="Times New Roman" w:hAnsi="Times New Roman" w:cs="Times New Roman"/>
                      <w:bCs/>
                      <w:iCs/>
                      <w:color w:val="auto"/>
                      <w:kern w:val="0"/>
                      <w:sz w:val="21"/>
                      <w:szCs w:val="21"/>
                      <w:highlight w:val="none"/>
                      <w:lang w:val="en-US" w:eastAsia="zh-CN"/>
                    </w:rPr>
                    <w:t>1</w:t>
                  </w:r>
                  <w:r>
                    <w:rPr>
                      <w:rFonts w:hint="default" w:ascii="Times New Roman" w:hAnsi="Times New Roman" w:eastAsia="宋体" w:cs="Times New Roman"/>
                      <w:bCs/>
                      <w:iCs/>
                      <w:color w:val="auto"/>
                      <w:kern w:val="0"/>
                      <w:sz w:val="21"/>
                      <w:szCs w:val="21"/>
                      <w:highlight w:val="none"/>
                      <w:lang w:val="en-US" w:eastAsia="zh-CN"/>
                    </w:rPr>
                    <w:t>0m</w:t>
                  </w:r>
                  <w:r>
                    <w:rPr>
                      <w:rFonts w:hint="default" w:ascii="Times New Roman" w:hAnsi="Times New Roman" w:eastAsia="宋体" w:cs="Times New Roman"/>
                      <w:bCs/>
                      <w:iCs/>
                      <w:color w:val="auto"/>
                      <w:kern w:val="0"/>
                      <w:sz w:val="21"/>
                      <w:szCs w:val="21"/>
                      <w:highlight w:val="none"/>
                      <w:vertAlign w:val="superscript"/>
                      <w:lang w:val="en-US" w:eastAsia="zh-CN"/>
                    </w:rPr>
                    <w:t>2</w:t>
                  </w:r>
                  <w:r>
                    <w:rPr>
                      <w:rFonts w:hint="default" w:ascii="Times New Roman" w:hAnsi="Times New Roman" w:eastAsia="宋体" w:cs="Times New Roman"/>
                      <w:bCs/>
                      <w:iCs/>
                      <w:color w:val="auto"/>
                      <w:kern w:val="0"/>
                      <w:sz w:val="21"/>
                      <w:szCs w:val="21"/>
                      <w:highlight w:val="none"/>
                      <w:lang w:val="en-US" w:eastAsia="zh-CN"/>
                    </w:rPr>
                    <w:t>一般固废暂存</w:t>
                  </w:r>
                  <w:r>
                    <w:rPr>
                      <w:rFonts w:hint="default" w:ascii="Times New Roman" w:hAnsi="Times New Roman" w:cs="Times New Roman"/>
                      <w:bCs/>
                      <w:iCs/>
                      <w:color w:val="auto"/>
                      <w:kern w:val="0"/>
                      <w:sz w:val="21"/>
                      <w:szCs w:val="21"/>
                      <w:highlight w:val="none"/>
                      <w:lang w:val="en-US" w:eastAsia="zh-CN"/>
                    </w:rPr>
                    <w:t>区</w:t>
                  </w:r>
                  <w:r>
                    <w:rPr>
                      <w:rFonts w:hint="default" w:ascii="Times New Roman" w:hAnsi="Times New Roman" w:eastAsia="宋体" w:cs="Times New Roman"/>
                      <w:bCs/>
                      <w:iCs/>
                      <w:color w:val="auto"/>
                      <w:kern w:val="0"/>
                      <w:sz w:val="21"/>
                      <w:szCs w:val="21"/>
                      <w:highlight w:val="none"/>
                      <w:lang w:val="en-US" w:eastAsia="zh-CN"/>
                    </w:rPr>
                    <w:t>，在</w:t>
                  </w:r>
                  <w:r>
                    <w:rPr>
                      <w:rFonts w:hint="default" w:ascii="Times New Roman" w:hAnsi="Times New Roman" w:cs="Times New Roman"/>
                      <w:bCs/>
                      <w:iCs/>
                      <w:color w:val="auto"/>
                      <w:kern w:val="0"/>
                      <w:sz w:val="21"/>
                      <w:szCs w:val="21"/>
                      <w:highlight w:val="none"/>
                      <w:lang w:val="en-US" w:eastAsia="zh-CN"/>
                    </w:rPr>
                    <w:t>一般固废暂存区</w:t>
                  </w:r>
                  <w:r>
                    <w:rPr>
                      <w:rFonts w:hint="default" w:ascii="Times New Roman" w:hAnsi="Times New Roman" w:eastAsia="宋体" w:cs="Times New Roman"/>
                      <w:bCs/>
                      <w:iCs/>
                      <w:color w:val="auto"/>
                      <w:kern w:val="0"/>
                      <w:sz w:val="21"/>
                      <w:szCs w:val="21"/>
                      <w:highlight w:val="none"/>
                      <w:lang w:val="en-US" w:eastAsia="zh-CN"/>
                    </w:rPr>
                    <w:t>暂存后外售至有机肥料厂综合利用</w:t>
                  </w:r>
                </w:p>
              </w:tc>
              <w:tc>
                <w:tcPr>
                  <w:tcW w:w="753" w:type="dxa"/>
                  <w:vMerge w:val="restart"/>
                  <w:tcBorders>
                    <w:tl2br w:val="nil"/>
                    <w:tr2bl w:val="nil"/>
                  </w:tcBorders>
                  <w:vAlign w:val="center"/>
                </w:tcPr>
                <w:p>
                  <w:pPr>
                    <w:jc w:val="center"/>
                    <w:rPr>
                      <w:rFonts w:hint="default"/>
                      <w:lang w:val="en-US" w:eastAsia="zh-CN"/>
                    </w:rPr>
                  </w:pPr>
                  <w:r>
                    <w:rPr>
                      <w:rFonts w:hint="eastAsia" w:ascii="Times New Roman" w:cs="Times New Roman"/>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6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yellow"/>
                    </w:rPr>
                  </w:pPr>
                </w:p>
              </w:tc>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80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sz w:val="21"/>
                      <w:szCs w:val="21"/>
                      <w:highlight w:val="none"/>
                      <w:lang w:val="en-US" w:eastAsia="zh-CN"/>
                    </w:rPr>
                  </w:pPr>
                </w:p>
              </w:tc>
              <w:tc>
                <w:tcPr>
                  <w:tcW w:w="1260" w:type="dxa"/>
                  <w:tcBorders>
                    <w:tl2br w:val="nil"/>
                    <w:tr2bl w:val="nil"/>
                  </w:tcBorders>
                  <w:vAlign w:val="center"/>
                </w:tcPr>
                <w:p>
                  <w:pPr>
                    <w:wordWrap w:val="0"/>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cs="Times New Roman"/>
                      <w:spacing w:val="-2"/>
                      <w:sz w:val="21"/>
                      <w:szCs w:val="21"/>
                      <w:highlight w:val="none"/>
                      <w:lang w:val="en-US" w:eastAsia="zh-CN"/>
                    </w:rPr>
                    <w:t>除尘灰</w:t>
                  </w:r>
                </w:p>
              </w:tc>
              <w:tc>
                <w:tcPr>
                  <w:tcW w:w="3990" w:type="dxa"/>
                  <w:vMerge w:val="continue"/>
                  <w:tcBorders>
                    <w:tl2br w:val="nil"/>
                    <w:tr2bl w:val="nil"/>
                  </w:tcBorders>
                  <w:vAlign w:val="center"/>
                </w:tcPr>
                <w:p>
                  <w:pPr>
                    <w:wordWrap w:val="0"/>
                    <w:spacing w:line="320" w:lineRule="exact"/>
                    <w:jc w:val="left"/>
                    <w:rPr>
                      <w:rFonts w:hint="default" w:ascii="Times New Roman" w:hAnsi="Times New Roman" w:eastAsia="宋体" w:cs="Times New Roman"/>
                      <w:bCs/>
                      <w:iCs/>
                      <w:color w:val="auto"/>
                      <w:kern w:val="0"/>
                      <w:sz w:val="21"/>
                      <w:szCs w:val="21"/>
                      <w:highlight w:val="green"/>
                      <w:lang w:val="en-US" w:eastAsia="zh-CN"/>
                    </w:rPr>
                  </w:pPr>
                </w:p>
              </w:tc>
              <w:tc>
                <w:tcPr>
                  <w:tcW w:w="753" w:type="dxa"/>
                  <w:vMerge w:val="continue"/>
                  <w:tcBorders>
                    <w:tl2br w:val="nil"/>
                    <w:tr2bl w:val="nil"/>
                  </w:tcBorders>
                  <w:vAlign w:val="center"/>
                </w:tcPr>
                <w:p>
                  <w:pPr>
                    <w:wordWrap w:val="0"/>
                    <w:spacing w:line="320" w:lineRule="exact"/>
                    <w:jc w:val="center"/>
                    <w:rPr>
                      <w:rFonts w:hint="default" w:ascii="Times New Roman" w:hAnsi="Times New Roman" w:eastAsia="宋体" w:cs="Times New Roman"/>
                      <w:bCs/>
                      <w:iCs/>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00" w:hRule="atLeast"/>
              </w:trPr>
              <w:tc>
                <w:tcPr>
                  <w:tcW w:w="6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yellow"/>
                    </w:rPr>
                  </w:pPr>
                </w:p>
              </w:tc>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805" w:type="dxa"/>
                  <w:tcBorders>
                    <w:tl2br w:val="nil"/>
                    <w:tr2bl w:val="nil"/>
                  </w:tcBorders>
                  <w:vAlign w:val="center"/>
                </w:tcPr>
                <w:p>
                  <w:pPr>
                    <w:wordWrap w:val="0"/>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危险废物</w:t>
                  </w:r>
                </w:p>
              </w:tc>
              <w:tc>
                <w:tcPr>
                  <w:tcW w:w="1260" w:type="dxa"/>
                  <w:tcBorders>
                    <w:tl2br w:val="nil"/>
                    <w:tr2bl w:val="nil"/>
                  </w:tcBorders>
                  <w:vAlign w:val="center"/>
                </w:tcPr>
                <w:p>
                  <w:pPr>
                    <w:wordWrap w:val="0"/>
                    <w:spacing w:line="240" w:lineRule="auto"/>
                    <w:jc w:val="center"/>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废机油、废油桶、含油抹布</w:t>
                  </w:r>
                </w:p>
              </w:tc>
              <w:tc>
                <w:tcPr>
                  <w:tcW w:w="3990" w:type="dxa"/>
                  <w:tcBorders>
                    <w:tl2br w:val="nil"/>
                    <w:tr2bl w:val="nil"/>
                  </w:tcBorders>
                  <w:vAlign w:val="center"/>
                </w:tcPr>
                <w:p>
                  <w:pPr>
                    <w:wordWrap w:val="0"/>
                    <w:spacing w:line="240" w:lineRule="auto"/>
                    <w:jc w:val="left"/>
                    <w:rPr>
                      <w:rFonts w:hint="default" w:ascii="Times New Roman" w:hAnsi="Times New Roman" w:eastAsia="宋体" w:cs="Times New Roman"/>
                      <w:spacing w:val="-2"/>
                      <w:sz w:val="21"/>
                      <w:szCs w:val="21"/>
                      <w:highlight w:val="none"/>
                      <w:lang w:val="en-US" w:eastAsia="zh-CN"/>
                    </w:rPr>
                  </w:pPr>
                  <w:r>
                    <w:rPr>
                      <w:rFonts w:hint="default" w:ascii="Times New Roman" w:hAnsi="Times New Roman" w:eastAsia="宋体" w:cs="Times New Roman"/>
                      <w:spacing w:val="-2"/>
                      <w:sz w:val="21"/>
                      <w:szCs w:val="21"/>
                      <w:highlight w:val="none"/>
                      <w:lang w:val="en-US" w:eastAsia="zh-CN"/>
                    </w:rPr>
                    <w:t>经收集后，暂存于危废贮存库（10</w:t>
                  </w:r>
                  <w:r>
                    <w:rPr>
                      <w:rFonts w:hint="default" w:ascii="Times New Roman" w:hAnsi="Times New Roman" w:eastAsia="宋体" w:cs="Times New Roman"/>
                      <w:bCs/>
                      <w:iCs/>
                      <w:color w:val="auto"/>
                      <w:kern w:val="0"/>
                      <w:sz w:val="21"/>
                      <w:szCs w:val="21"/>
                      <w:highlight w:val="none"/>
                      <w:lang w:val="en-US" w:eastAsia="zh-CN"/>
                    </w:rPr>
                    <w:t>m</w:t>
                  </w:r>
                  <w:r>
                    <w:rPr>
                      <w:rFonts w:hint="default" w:ascii="Times New Roman" w:hAnsi="Times New Roman" w:eastAsia="宋体" w:cs="Times New Roman"/>
                      <w:bCs/>
                      <w:iCs/>
                      <w:color w:val="auto"/>
                      <w:kern w:val="0"/>
                      <w:sz w:val="21"/>
                      <w:szCs w:val="21"/>
                      <w:highlight w:val="none"/>
                      <w:vertAlign w:val="superscript"/>
                      <w:lang w:val="en-US" w:eastAsia="zh-CN"/>
                    </w:rPr>
                    <w:t>2</w:t>
                  </w:r>
                  <w:r>
                    <w:rPr>
                      <w:rFonts w:hint="default" w:ascii="Times New Roman" w:hAnsi="Times New Roman" w:eastAsia="宋体" w:cs="Times New Roman"/>
                      <w:spacing w:val="-2"/>
                      <w:sz w:val="21"/>
                      <w:szCs w:val="21"/>
                      <w:highlight w:val="none"/>
                      <w:lang w:val="en-US" w:eastAsia="zh-CN"/>
                    </w:rPr>
                    <w:t>）内，统一委托有资质的单位处置</w:t>
                  </w:r>
                </w:p>
              </w:tc>
              <w:tc>
                <w:tcPr>
                  <w:tcW w:w="753" w:type="dxa"/>
                  <w:tcBorders>
                    <w:tl2br w:val="nil"/>
                    <w:tr2bl w:val="nil"/>
                  </w:tcBorders>
                  <w:vAlign w:val="center"/>
                </w:tcPr>
                <w:p>
                  <w:pPr>
                    <w:wordWrap w:val="0"/>
                    <w:spacing w:line="240" w:lineRule="auto"/>
                    <w:jc w:val="center"/>
                    <w:rPr>
                      <w:rFonts w:hint="default" w:ascii="Times New Roman" w:hAnsi="Times New Roman" w:eastAsia="宋体" w:cs="Times New Roman"/>
                      <w:spacing w:val="-2"/>
                      <w:sz w:val="21"/>
                      <w:szCs w:val="21"/>
                      <w:highlight w:val="none"/>
                      <w:lang w:val="en-US" w:eastAsia="zh-CN"/>
                    </w:rPr>
                  </w:pPr>
                  <w:r>
                    <w:rPr>
                      <w:rFonts w:hint="eastAsia" w:ascii="Times New Roman" w:cs="Times New Roman"/>
                      <w:color w:val="auto"/>
                      <w:sz w:val="21"/>
                      <w:szCs w:val="21"/>
                      <w:highlight w:val="none"/>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6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yellow"/>
                    </w:rPr>
                  </w:pPr>
                </w:p>
              </w:tc>
              <w:tc>
                <w:tcPr>
                  <w:tcW w:w="73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206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snapToGrid w:val="0"/>
                      <w:color w:val="auto"/>
                      <w:sz w:val="21"/>
                      <w:szCs w:val="21"/>
                      <w:lang w:val="en-US" w:eastAsia="zh-CN"/>
                    </w:rPr>
                  </w:pPr>
                  <w:r>
                    <w:rPr>
                      <w:rFonts w:hint="default" w:ascii="Times New Roman" w:hAnsi="Times New Roman" w:eastAsia="宋体" w:cs="Times New Roman"/>
                      <w:color w:val="auto"/>
                      <w:spacing w:val="0"/>
                      <w:sz w:val="21"/>
                      <w:szCs w:val="21"/>
                      <w:highlight w:val="none"/>
                      <w:lang w:eastAsia="zh-CN"/>
                    </w:rPr>
                    <w:t>生活垃圾</w:t>
                  </w:r>
                </w:p>
              </w:tc>
              <w:tc>
                <w:tcPr>
                  <w:tcW w:w="3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eastAsia="zh-CN"/>
                    </w:rPr>
                    <w:t>将生活垃圾分类收集，定期送往当地环卫管理部门指定地点统一处置</w:t>
                  </w:r>
                </w:p>
              </w:tc>
              <w:tc>
                <w:tcPr>
                  <w:tcW w:w="7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sz w:val="21"/>
                      <w:szCs w:val="21"/>
                      <w:highlight w:val="none"/>
                      <w:lang w:eastAsia="zh-CN"/>
                    </w:rPr>
                  </w:pPr>
                  <w:r>
                    <w:rPr>
                      <w:rFonts w:hint="eastAsia" w:ascii="Times New Roman" w:cs="Times New Roman"/>
                      <w:color w:val="auto"/>
                      <w:sz w:val="21"/>
                      <w:szCs w:val="21"/>
                      <w:highlight w:val="none"/>
                      <w:lang w:val="en-US" w:eastAsia="zh-CN"/>
                    </w:rPr>
                    <w:t>已建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7" w:hRule="atLeast"/>
              </w:trPr>
              <w:tc>
                <w:tcPr>
                  <w:tcW w:w="6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yellow"/>
                    </w:rPr>
                  </w:pPr>
                </w:p>
              </w:tc>
              <w:tc>
                <w:tcPr>
                  <w:tcW w:w="73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2065"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lang w:eastAsia="zh-CN"/>
                    </w:rPr>
                    <w:t>机械设备</w:t>
                  </w:r>
                </w:p>
              </w:tc>
              <w:tc>
                <w:tcPr>
                  <w:tcW w:w="39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left"/>
                    <w:textAlignment w:val="auto"/>
                    <w:outlineLvl w:val="9"/>
                    <w:rPr>
                      <w:rFonts w:hint="default" w:ascii="Times New Roman" w:hAnsi="Times New Roman" w:eastAsia="宋体" w:cs="Times New Roman"/>
                      <w:color w:val="auto"/>
                      <w:spacing w:val="0"/>
                      <w:sz w:val="21"/>
                      <w:szCs w:val="21"/>
                      <w:highlight w:val="none"/>
                    </w:rPr>
                  </w:pPr>
                  <w:r>
                    <w:rPr>
                      <w:rFonts w:hint="default" w:ascii="Times New Roman" w:hAnsi="Times New Roman" w:cs="Times New Roman"/>
                      <w:color w:val="auto"/>
                      <w:sz w:val="21"/>
                      <w:szCs w:val="21"/>
                      <w:highlight w:val="none"/>
                    </w:rPr>
                    <w:t>采用低噪声设备；基础减振、消声、厂房屏蔽等措施</w:t>
                  </w:r>
                </w:p>
              </w:tc>
              <w:tc>
                <w:tcPr>
                  <w:tcW w:w="7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eastAsia" w:ascii="Times New Roman" w:cs="Times New Roman"/>
                      <w:color w:val="auto"/>
                      <w:sz w:val="21"/>
                      <w:szCs w:val="21"/>
                      <w:highlight w:val="none"/>
                      <w:lang w:val="en-US" w:eastAsia="zh-CN"/>
                    </w:rPr>
                    <w:t>改建</w:t>
                  </w:r>
                </w:p>
              </w:tc>
            </w:tr>
          </w:tbl>
          <w:p>
            <w:pPr>
              <w:pStyle w:val="85"/>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 xml:space="preserve">、产品方案 </w:t>
            </w:r>
          </w:p>
          <w:p>
            <w:pPr>
              <w:pStyle w:val="89"/>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本项目主要涉及</w:t>
            </w:r>
            <w:r>
              <w:rPr>
                <w:rFonts w:hint="default" w:ascii="Times New Roman" w:hAnsi="Times New Roman" w:cs="Times New Roman"/>
                <w:color w:val="auto"/>
                <w:sz w:val="24"/>
                <w:szCs w:val="24"/>
                <w:highlight w:val="none"/>
                <w:lang w:val="en-US" w:eastAsia="zh-CN" w:bidi="ar-SA"/>
              </w:rPr>
              <w:t>酒店</w:t>
            </w:r>
            <w:r>
              <w:rPr>
                <w:rFonts w:hint="default" w:ascii="Times New Roman" w:hAnsi="Times New Roman" w:eastAsia="宋体" w:cs="Times New Roman"/>
                <w:color w:val="auto"/>
                <w:sz w:val="24"/>
                <w:szCs w:val="24"/>
                <w:highlight w:val="none"/>
                <w:lang w:val="en-US" w:eastAsia="zh-CN" w:bidi="ar-SA"/>
              </w:rPr>
              <w:t>床单</w:t>
            </w:r>
            <w:r>
              <w:rPr>
                <w:rFonts w:hint="default" w:ascii="Times New Roman" w:hAnsi="Times New Roman" w:cs="Times New Roman"/>
                <w:color w:val="auto"/>
                <w:sz w:val="24"/>
                <w:szCs w:val="24"/>
                <w:highlight w:val="none"/>
                <w:lang w:val="en-US" w:eastAsia="zh-CN" w:bidi="ar-SA"/>
              </w:rPr>
              <w:t>、被套、</w:t>
            </w:r>
            <w:r>
              <w:rPr>
                <w:rFonts w:hint="default" w:ascii="Times New Roman" w:hAnsi="Times New Roman" w:eastAsia="宋体" w:cs="Times New Roman"/>
                <w:color w:val="auto"/>
                <w:sz w:val="24"/>
                <w:szCs w:val="24"/>
                <w:highlight w:val="none"/>
                <w:lang w:val="en-US" w:eastAsia="zh-CN" w:bidi="ar-SA"/>
              </w:rPr>
              <w:t>枕套、毛巾等清洗，年可清洗床单被</w:t>
            </w:r>
            <w:r>
              <w:rPr>
                <w:rFonts w:hint="default" w:ascii="Times New Roman" w:hAnsi="Times New Roman" w:cs="Times New Roman"/>
                <w:color w:val="auto"/>
                <w:sz w:val="24"/>
                <w:szCs w:val="24"/>
                <w:highlight w:val="none"/>
                <w:lang w:val="en-US" w:eastAsia="zh-CN" w:bidi="ar-SA"/>
              </w:rPr>
              <w:t>套等</w:t>
            </w:r>
            <w:r>
              <w:rPr>
                <w:rFonts w:hint="default" w:ascii="Times New Roman" w:hAnsi="Times New Roman" w:eastAsia="宋体" w:cs="Times New Roman"/>
                <w:color w:val="auto"/>
                <w:sz w:val="24"/>
                <w:szCs w:val="24"/>
                <w:highlight w:val="none"/>
                <w:lang w:val="en-US" w:eastAsia="zh-CN" w:bidi="ar-SA"/>
              </w:rPr>
              <w:t>共计</w:t>
            </w:r>
            <w:r>
              <w:rPr>
                <w:rFonts w:hint="eastAsia" w:ascii="Times New Roman" w:cs="Times New Roman"/>
                <w:color w:val="auto"/>
                <w:sz w:val="24"/>
                <w:szCs w:val="24"/>
                <w:highlight w:val="none"/>
                <w:lang w:val="en-US" w:eastAsia="zh-CN" w:bidi="ar-SA"/>
              </w:rPr>
              <w:t>8</w:t>
            </w:r>
            <w:r>
              <w:rPr>
                <w:rFonts w:hint="default" w:ascii="Times New Roman" w:hAnsi="Times New Roman" w:eastAsia="宋体" w:cs="Times New Roman"/>
                <w:color w:val="auto"/>
                <w:sz w:val="24"/>
                <w:szCs w:val="24"/>
                <w:highlight w:val="none"/>
                <w:lang w:val="en-US" w:eastAsia="zh-CN" w:bidi="ar-SA"/>
              </w:rPr>
              <w:t>万套，项目产品方案见下表：</w:t>
            </w:r>
          </w:p>
          <w:p>
            <w:pPr>
              <w:pStyle w:val="89"/>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表2-</w:t>
            </w:r>
            <w:r>
              <w:rPr>
                <w:rFonts w:hint="default" w:ascii="Times New Roman" w:hAnsi="Times New Roman" w:cs="Times New Roman"/>
                <w:b/>
                <w:bCs/>
                <w:color w:val="auto"/>
                <w:kern w:val="2"/>
                <w:sz w:val="21"/>
                <w:szCs w:val="21"/>
                <w:highlight w:val="none"/>
                <w:lang w:val="en-US" w:eastAsia="zh-CN" w:bidi="ar-SA"/>
              </w:rPr>
              <w:t>2</w:t>
            </w:r>
            <w:r>
              <w:rPr>
                <w:rFonts w:hint="default" w:ascii="Times New Roman" w:hAnsi="Times New Roman" w:eastAsia="宋体" w:cs="Times New Roman"/>
                <w:b/>
                <w:bCs/>
                <w:color w:val="auto"/>
                <w:kern w:val="2"/>
                <w:sz w:val="21"/>
                <w:szCs w:val="21"/>
                <w:highlight w:val="none"/>
                <w:lang w:val="en-US" w:eastAsia="zh-CN" w:bidi="ar-SA"/>
              </w:rPr>
              <w:t xml:space="preserve">  产品方案一览表</w:t>
            </w:r>
          </w:p>
          <w:tbl>
            <w:tblPr>
              <w:tblStyle w:val="39"/>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3394"/>
              <w:gridCol w:w="2118"/>
              <w:gridCol w:w="19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437" w:type="pct"/>
                  <w:tcBorders>
                    <w:tl2br w:val="nil"/>
                    <w:tr2bl w:val="nil"/>
                  </w:tcBorders>
                  <w:vAlign w:val="center"/>
                </w:tcPr>
                <w:p>
                  <w:pPr>
                    <w:pStyle w:val="84"/>
                    <w:jc w:val="center"/>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序号</w:t>
                  </w:r>
                </w:p>
              </w:tc>
              <w:tc>
                <w:tcPr>
                  <w:tcW w:w="2067" w:type="pct"/>
                  <w:tcBorders>
                    <w:tl2br w:val="nil"/>
                    <w:tr2bl w:val="nil"/>
                  </w:tcBorders>
                  <w:vAlign w:val="center"/>
                </w:tcPr>
                <w:p>
                  <w:pPr>
                    <w:pStyle w:val="84"/>
                    <w:jc w:val="center"/>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产品名称</w:t>
                  </w:r>
                </w:p>
              </w:tc>
              <w:tc>
                <w:tcPr>
                  <w:tcW w:w="1290" w:type="pct"/>
                  <w:tcBorders>
                    <w:tl2br w:val="nil"/>
                    <w:tr2bl w:val="nil"/>
                  </w:tcBorders>
                  <w:vAlign w:val="center"/>
                </w:tcPr>
                <w:p>
                  <w:pPr>
                    <w:pStyle w:val="84"/>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生产规模</w:t>
                  </w:r>
                </w:p>
                <w:p>
                  <w:pPr>
                    <w:pStyle w:val="84"/>
                    <w:jc w:val="center"/>
                    <w:rPr>
                      <w:rFonts w:hint="default" w:ascii="Times New Roman" w:hAnsi="Times New Roman" w:cs="Times New Roman"/>
                    </w:rPr>
                  </w:pPr>
                  <w:r>
                    <w:rPr>
                      <w:rFonts w:hint="default" w:ascii="Times New Roman" w:hAnsi="Times New Roman" w:cs="Times New Roman"/>
                      <w:b/>
                      <w:bCs/>
                      <w:sz w:val="21"/>
                      <w:szCs w:val="21"/>
                      <w:lang w:val="en-US" w:eastAsia="zh-CN"/>
                    </w:rPr>
                    <w:t>（万套）</w:t>
                  </w:r>
                </w:p>
              </w:tc>
              <w:tc>
                <w:tcPr>
                  <w:tcW w:w="1203" w:type="pct"/>
                  <w:tcBorders>
                    <w:tl2br w:val="nil"/>
                    <w:tr2bl w:val="nil"/>
                  </w:tcBorders>
                  <w:vAlign w:val="center"/>
                </w:tcPr>
                <w:p>
                  <w:pPr>
                    <w:pStyle w:val="84"/>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437" w:type="pct"/>
                  <w:tcBorders>
                    <w:tl2br w:val="nil"/>
                    <w:tr2bl w:val="nil"/>
                  </w:tcBorders>
                  <w:vAlign w:val="center"/>
                </w:tcPr>
                <w:p>
                  <w:pPr>
                    <w:pStyle w:val="84"/>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val="0"/>
                      <w:bCs w:val="0"/>
                      <w:sz w:val="21"/>
                      <w:szCs w:val="21"/>
                      <w:lang w:val="en-US" w:eastAsia="zh-CN"/>
                    </w:rPr>
                    <w:t>1</w:t>
                  </w:r>
                </w:p>
              </w:tc>
              <w:tc>
                <w:tcPr>
                  <w:tcW w:w="2067" w:type="pct"/>
                  <w:tcBorders>
                    <w:tl2br w:val="nil"/>
                    <w:tr2bl w:val="nil"/>
                  </w:tcBorders>
                  <w:vAlign w:val="center"/>
                </w:tcPr>
                <w:p>
                  <w:pPr>
                    <w:pStyle w:val="84"/>
                    <w:jc w:val="center"/>
                    <w:rPr>
                      <w:rFonts w:hint="default" w:ascii="Times New Roman" w:hAnsi="Times New Roman" w:cs="Times New Roman"/>
                      <w:b/>
                      <w:bCs/>
                      <w:sz w:val="21"/>
                      <w:szCs w:val="21"/>
                      <w:lang w:val="en-US"/>
                    </w:rPr>
                  </w:pPr>
                  <w:r>
                    <w:rPr>
                      <w:rFonts w:hint="default" w:ascii="Times New Roman" w:hAnsi="Times New Roman" w:cs="Times New Roman"/>
                      <w:b w:val="0"/>
                      <w:bCs w:val="0"/>
                      <w:sz w:val="21"/>
                      <w:szCs w:val="21"/>
                      <w:lang w:val="en-US"/>
                    </w:rPr>
                    <w:t>布草：床单、被套、枕套、毛巾等</w:t>
                  </w:r>
                </w:p>
              </w:tc>
              <w:tc>
                <w:tcPr>
                  <w:tcW w:w="1290" w:type="pct"/>
                  <w:tcBorders>
                    <w:tl2br w:val="nil"/>
                    <w:tr2bl w:val="nil"/>
                  </w:tcBorders>
                  <w:vAlign w:val="center"/>
                </w:tcPr>
                <w:p>
                  <w:pPr>
                    <w:pStyle w:val="84"/>
                    <w:jc w:val="center"/>
                    <w:rPr>
                      <w:rFonts w:hint="default" w:ascii="Times New Roman" w:hAnsi="Times New Roman" w:cs="Times New Roman"/>
                    </w:rPr>
                  </w:pPr>
                  <w:r>
                    <w:rPr>
                      <w:rFonts w:hint="eastAsia" w:ascii="Times New Roman" w:cs="Times New Roman"/>
                      <w:sz w:val="21"/>
                      <w:szCs w:val="21"/>
                      <w:lang w:val="en-US" w:eastAsia="zh-CN"/>
                    </w:rPr>
                    <w:t>8</w:t>
                  </w:r>
                  <w:r>
                    <w:rPr>
                      <w:rFonts w:hint="default" w:ascii="Times New Roman" w:hAnsi="Times New Roman" w:cs="Times New Roman"/>
                      <w:sz w:val="21"/>
                      <w:szCs w:val="21"/>
                      <w:lang w:val="en-US" w:eastAsia="zh-CN"/>
                    </w:rPr>
                    <w:t>万</w:t>
                  </w:r>
                </w:p>
              </w:tc>
              <w:tc>
                <w:tcPr>
                  <w:tcW w:w="1203" w:type="pct"/>
                  <w:tcBorders>
                    <w:tl2br w:val="nil"/>
                    <w:tr2bl w:val="nil"/>
                  </w:tcBorders>
                  <w:vAlign w:val="center"/>
                </w:tcPr>
                <w:p>
                  <w:pPr>
                    <w:pStyle w:val="84"/>
                    <w:jc w:val="center"/>
                    <w:rPr>
                      <w:rFonts w:hint="default" w:ascii="Times New Roman" w:hAnsi="Times New Roman" w:cs="Times New Roman"/>
                      <w:b/>
                      <w:bCs/>
                      <w:sz w:val="21"/>
                      <w:szCs w:val="21"/>
                      <w:lang w:val="en-US" w:eastAsia="zh-CN"/>
                    </w:rPr>
                  </w:pPr>
                  <w:r>
                    <w:rPr>
                      <w:rFonts w:hint="default" w:ascii="Times New Roman" w:hAnsi="Times New Roman" w:cs="Times New Roman"/>
                      <w:b w:val="0"/>
                      <w:bCs w:val="0"/>
                      <w:sz w:val="21"/>
                      <w:szCs w:val="21"/>
                      <w:lang w:val="en-US" w:eastAsia="zh-CN"/>
                    </w:rPr>
                    <w:t>每套重量为2</w:t>
                  </w:r>
                  <w:r>
                    <w:rPr>
                      <w:rFonts w:hint="eastAsia" w:ascii="Times New Roman" w:cs="Times New Roman"/>
                      <w:b w:val="0"/>
                      <w:bCs w:val="0"/>
                      <w:sz w:val="21"/>
                      <w:szCs w:val="21"/>
                      <w:lang w:val="en-US" w:eastAsia="zh-CN"/>
                    </w:rPr>
                    <w:t>.5</w:t>
                  </w:r>
                  <w:r>
                    <w:rPr>
                      <w:rFonts w:hint="default" w:ascii="Times New Roman" w:hAnsi="Times New Roman" w:cs="Times New Roman"/>
                      <w:b w:val="0"/>
                      <w:bCs w:val="0"/>
                      <w:sz w:val="21"/>
                      <w:szCs w:val="21"/>
                      <w:lang w:val="en-US" w:eastAsia="zh-CN"/>
                    </w:rPr>
                    <w:t>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5000" w:type="pct"/>
                  <w:gridSpan w:val="4"/>
                  <w:tcBorders>
                    <w:tl2br w:val="nil"/>
                    <w:tr2bl w:val="nil"/>
                  </w:tcBorders>
                  <w:vAlign w:val="center"/>
                </w:tcPr>
                <w:p>
                  <w:pPr>
                    <w:pStyle w:val="84"/>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本项目不涉及医疗布草</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cs="Times New Roman"/>
                <w:b/>
                <w:bCs/>
                <w:color w:val="auto"/>
                <w:kern w:val="0"/>
                <w:sz w:val="24"/>
                <w:szCs w:val="24"/>
                <w:highlight w:val="none"/>
                <w:lang w:val="en-US" w:eastAsia="zh-CN" w:bidi="ar"/>
              </w:rPr>
              <w:t>3</w:t>
            </w:r>
            <w:r>
              <w:rPr>
                <w:rFonts w:hint="default" w:ascii="Times New Roman" w:hAnsi="Times New Roman" w:eastAsia="宋体" w:cs="Times New Roman"/>
                <w:b/>
                <w:bCs/>
                <w:color w:val="auto"/>
                <w:kern w:val="0"/>
                <w:sz w:val="24"/>
                <w:szCs w:val="24"/>
                <w:highlight w:val="none"/>
                <w:lang w:val="en-US" w:eastAsia="zh-CN" w:bidi="ar"/>
              </w:rPr>
              <w:t xml:space="preserve">、劳动定员及工作制度 </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本项目劳动定员</w:t>
            </w:r>
            <w:r>
              <w:rPr>
                <w:rFonts w:hint="eastAsia" w:ascii="Times New Roman" w:cs="Times New Roman"/>
                <w:color w:val="auto"/>
                <w:sz w:val="24"/>
                <w:highlight w:val="none"/>
                <w:lang w:val="en-US" w:eastAsia="zh-CN"/>
              </w:rPr>
              <w:t>9</w:t>
            </w:r>
            <w:r>
              <w:rPr>
                <w:rFonts w:hint="default" w:ascii="Times New Roman" w:hAnsi="Times New Roman" w:cs="Times New Roman"/>
                <w:color w:val="auto"/>
                <w:sz w:val="24"/>
                <w:highlight w:val="none"/>
                <w:lang w:val="en-US" w:eastAsia="zh-CN"/>
              </w:rPr>
              <w:t>人，</w:t>
            </w:r>
            <w:r>
              <w:rPr>
                <w:rFonts w:hint="default" w:ascii="Times New Roman" w:hAnsi="Times New Roman" w:cs="Times New Roman"/>
                <w:color w:val="auto"/>
                <w:sz w:val="24"/>
                <w:szCs w:val="32"/>
                <w:highlight w:val="none"/>
              </w:rPr>
              <w:t>年工作天数为</w:t>
            </w:r>
            <w:r>
              <w:rPr>
                <w:rFonts w:hint="default" w:ascii="Times New Roman" w:hAnsi="Times New Roman" w:cs="Times New Roman"/>
                <w:color w:val="auto"/>
                <w:sz w:val="24"/>
                <w:szCs w:val="32"/>
                <w:highlight w:val="none"/>
                <w:lang w:val="en-US" w:eastAsia="zh-CN"/>
              </w:rPr>
              <w:t>360</w:t>
            </w:r>
            <w:r>
              <w:rPr>
                <w:rFonts w:hint="default" w:ascii="Times New Roman" w:hAnsi="Times New Roman" w:cs="Times New Roman"/>
                <w:color w:val="auto"/>
                <w:sz w:val="24"/>
                <w:szCs w:val="32"/>
                <w:highlight w:val="none"/>
              </w:rPr>
              <w:t>天，每天8</w:t>
            </w:r>
            <w:r>
              <w:rPr>
                <w:rFonts w:hint="default" w:ascii="Times New Roman" w:hAnsi="Times New Roman" w:cs="Times New Roman"/>
                <w:color w:val="auto"/>
                <w:sz w:val="24"/>
                <w:szCs w:val="32"/>
                <w:highlight w:val="none"/>
                <w:lang w:val="en-US" w:eastAsia="zh-CN"/>
              </w:rPr>
              <w:t>h</w:t>
            </w:r>
            <w:r>
              <w:rPr>
                <w:rFonts w:hint="default" w:ascii="Times New Roman" w:hAnsi="Times New Roman" w:cs="Times New Roman"/>
                <w:color w:val="auto"/>
                <w:sz w:val="24"/>
                <w:szCs w:val="32"/>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kern w:val="2"/>
                <w:sz w:val="24"/>
                <w:szCs w:val="24"/>
                <w:highlight w:val="none"/>
                <w:lang w:eastAsia="zh-CN" w:bidi="ar-SA"/>
              </w:rPr>
            </w:pPr>
            <w:r>
              <w:rPr>
                <w:rFonts w:hint="default" w:ascii="Times New Roman" w:hAnsi="Times New Roman" w:cs="Times New Roman"/>
                <w:b/>
                <w:bCs/>
                <w:color w:val="auto"/>
                <w:kern w:val="2"/>
                <w:sz w:val="24"/>
                <w:szCs w:val="24"/>
                <w:highlight w:val="none"/>
                <w:lang w:val="en-US" w:eastAsia="zh-CN" w:bidi="ar-SA"/>
              </w:rPr>
              <w:t>4</w:t>
            </w:r>
            <w:r>
              <w:rPr>
                <w:rFonts w:hint="default"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cs="Times New Roman"/>
                <w:b/>
                <w:bCs/>
                <w:color w:val="auto"/>
                <w:kern w:val="2"/>
                <w:sz w:val="24"/>
                <w:szCs w:val="24"/>
                <w:highlight w:val="none"/>
                <w:lang w:eastAsia="zh-CN" w:bidi="ar-SA"/>
              </w:rPr>
              <w:t>生产设备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2"/>
                <w:sz w:val="24"/>
                <w:szCs w:val="24"/>
                <w:highlight w:val="none"/>
                <w:lang w:eastAsia="zh-CN" w:bidi="ar-SA"/>
              </w:rPr>
            </w:pPr>
            <w:r>
              <w:rPr>
                <w:rFonts w:hint="default" w:ascii="Times New Roman" w:hAnsi="Times New Roman" w:eastAsia="宋体" w:cs="Times New Roman"/>
                <w:color w:val="auto"/>
                <w:kern w:val="2"/>
                <w:sz w:val="24"/>
                <w:szCs w:val="24"/>
                <w:highlight w:val="none"/>
                <w:lang w:val="en-US" w:eastAsia="zh-CN" w:bidi="ar-SA"/>
              </w:rPr>
              <w:t>本项目主要设备见表2-</w:t>
            </w:r>
            <w:r>
              <w:rPr>
                <w:rFonts w:hint="default" w:ascii="Times New Roman" w:hAnsi="Times New Roman" w:cs="Times New Roman"/>
                <w:color w:val="auto"/>
                <w:kern w:val="2"/>
                <w:sz w:val="24"/>
                <w:szCs w:val="24"/>
                <w:highlight w:val="none"/>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所示</w:t>
            </w:r>
            <w:r>
              <w:rPr>
                <w:rFonts w:hint="default" w:ascii="Times New Roman" w:hAnsi="Times New Roman" w:cs="Times New Roman"/>
                <w:color w:val="auto"/>
                <w:kern w:val="2"/>
                <w:sz w:val="24"/>
                <w:szCs w:val="24"/>
                <w:highlight w:val="none"/>
                <w:lang w:eastAsia="zh-CN" w:bidi="ar-SA"/>
              </w:rPr>
              <w:t>：</w:t>
            </w:r>
          </w:p>
          <w:p>
            <w:pPr>
              <w:pStyle w:val="8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表2-</w:t>
            </w:r>
            <w:r>
              <w:rPr>
                <w:rFonts w:hint="default" w:ascii="Times New Roman" w:hAnsi="Times New Roman" w:cs="Times New Roman"/>
                <w:b/>
                <w:bCs/>
                <w:color w:val="auto"/>
                <w:kern w:val="2"/>
                <w:sz w:val="21"/>
                <w:szCs w:val="21"/>
                <w:highlight w:val="none"/>
                <w:lang w:val="en-US" w:eastAsia="zh-CN" w:bidi="ar-SA"/>
              </w:rPr>
              <w:t>3</w:t>
            </w:r>
            <w:r>
              <w:rPr>
                <w:rFonts w:hint="default" w:ascii="Times New Roman" w:hAnsi="Times New Roman" w:eastAsia="宋体" w:cs="Times New Roman"/>
                <w:b/>
                <w:bCs/>
                <w:color w:val="auto"/>
                <w:kern w:val="2"/>
                <w:sz w:val="21"/>
                <w:szCs w:val="21"/>
                <w:highlight w:val="none"/>
                <w:lang w:val="en-US" w:eastAsia="zh-CN" w:bidi="ar-SA"/>
              </w:rPr>
              <w:t xml:space="preserve">  本项目</w:t>
            </w:r>
            <w:r>
              <w:rPr>
                <w:rFonts w:hint="default" w:ascii="Times New Roman" w:hAnsi="Times New Roman" w:cs="Times New Roman"/>
                <w:b/>
                <w:bCs/>
                <w:color w:val="auto"/>
                <w:kern w:val="2"/>
                <w:sz w:val="21"/>
                <w:szCs w:val="21"/>
                <w:highlight w:val="none"/>
                <w:lang w:val="en-US" w:eastAsia="zh-CN" w:bidi="ar-SA"/>
              </w:rPr>
              <w:t>主要生产</w:t>
            </w:r>
            <w:r>
              <w:rPr>
                <w:rFonts w:hint="default" w:ascii="Times New Roman" w:hAnsi="Times New Roman" w:eastAsia="宋体" w:cs="Times New Roman"/>
                <w:b/>
                <w:bCs/>
                <w:color w:val="auto"/>
                <w:kern w:val="2"/>
                <w:sz w:val="21"/>
                <w:szCs w:val="21"/>
                <w:highlight w:val="none"/>
                <w:lang w:val="en-US" w:eastAsia="zh-CN" w:bidi="ar-SA"/>
              </w:rPr>
              <w:t>设备一览表</w:t>
            </w:r>
          </w:p>
          <w:tbl>
            <w:tblPr>
              <w:tblStyle w:val="38"/>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15" w:type="dxa"/>
                <w:left w:w="15" w:type="dxa"/>
                <w:bottom w:w="15" w:type="dxa"/>
                <w:right w:w="15" w:type="dxa"/>
              </w:tblCellMar>
            </w:tblPr>
            <w:tblGrid>
              <w:gridCol w:w="3655"/>
              <w:gridCol w:w="1837"/>
              <w:gridCol w:w="1119"/>
              <w:gridCol w:w="160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97" w:hRule="atLeast"/>
                <w:jc w:val="center"/>
              </w:trPr>
              <w:tc>
                <w:tcPr>
                  <w:tcW w:w="2225" w:type="pct"/>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center"/>
                    <w:outlineLvl w:val="9"/>
                    <w:rPr>
                      <w:rFonts w:hint="default" w:ascii="Times New Roman" w:hAnsi="Times New Roman" w:eastAsia="宋体" w:cs="Times New Roman"/>
                      <w:b/>
                      <w:bCs/>
                      <w:i w:val="0"/>
                      <w:color w:val="000000"/>
                      <w:sz w:val="21"/>
                      <w:szCs w:val="21"/>
                      <w:u w:val="none"/>
                    </w:rPr>
                  </w:pPr>
                  <w:r>
                    <w:rPr>
                      <w:rFonts w:hint="default" w:ascii="Times New Roman" w:hAnsi="Times New Roman" w:eastAsia="宋体" w:cs="Times New Roman"/>
                      <w:b/>
                      <w:bCs/>
                      <w:i w:val="0"/>
                      <w:color w:val="000000"/>
                      <w:kern w:val="0"/>
                      <w:sz w:val="21"/>
                      <w:szCs w:val="21"/>
                      <w:u w:val="none"/>
                      <w:lang w:val="en-US" w:eastAsia="zh-CN" w:bidi="ar"/>
                    </w:rPr>
                    <w:t>设备名称</w:t>
                  </w:r>
                </w:p>
              </w:tc>
              <w:tc>
                <w:tcPr>
                  <w:tcW w:w="111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1"/>
                      <w:szCs w:val="21"/>
                      <w:u w:val="none"/>
                    </w:rPr>
                  </w:pPr>
                  <w:r>
                    <w:rPr>
                      <w:rFonts w:hint="default" w:ascii="Times New Roman" w:hAnsi="Times New Roman" w:eastAsia="宋体" w:cs="Times New Roman"/>
                      <w:b/>
                      <w:bCs/>
                      <w:i w:val="0"/>
                      <w:color w:val="000000"/>
                      <w:kern w:val="0"/>
                      <w:sz w:val="21"/>
                      <w:szCs w:val="21"/>
                      <w:u w:val="none"/>
                      <w:lang w:val="en-US" w:eastAsia="zh-CN" w:bidi="ar"/>
                    </w:rPr>
                    <w:t>型号</w:t>
                  </w:r>
                </w:p>
              </w:tc>
              <w:tc>
                <w:tcPr>
                  <w:tcW w:w="68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0"/>
                      <w:sz w:val="21"/>
                      <w:szCs w:val="21"/>
                      <w:u w:val="none"/>
                      <w:lang w:val="en-US" w:eastAsia="zh-CN" w:bidi="ar"/>
                    </w:rPr>
                  </w:pPr>
                  <w:r>
                    <w:rPr>
                      <w:rFonts w:hint="default" w:ascii="Times New Roman" w:hAnsi="Times New Roman" w:cs="Times New Roman"/>
                      <w:b/>
                      <w:bCs/>
                      <w:i w:val="0"/>
                      <w:color w:val="000000"/>
                      <w:kern w:val="0"/>
                      <w:sz w:val="21"/>
                      <w:szCs w:val="21"/>
                      <w:u w:val="none"/>
                      <w:lang w:val="en-US" w:eastAsia="zh-CN" w:bidi="ar"/>
                    </w:rPr>
                    <w:t>数量</w:t>
                  </w:r>
                </w:p>
              </w:tc>
              <w:tc>
                <w:tcPr>
                  <w:tcW w:w="97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sz w:val="21"/>
                      <w:szCs w:val="21"/>
                      <w:u w:val="none"/>
                    </w:rPr>
                  </w:pPr>
                  <w:r>
                    <w:rPr>
                      <w:rFonts w:hint="default" w:ascii="Times New Roman" w:hAnsi="Times New Roman" w:cs="Times New Roman"/>
                      <w:b/>
                      <w:bCs/>
                      <w:i w:val="0"/>
                      <w:color w:val="000000"/>
                      <w:kern w:val="0"/>
                      <w:sz w:val="21"/>
                      <w:szCs w:val="21"/>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172" w:hRule="atLeast"/>
                <w:jc w:val="center"/>
              </w:trPr>
              <w:tc>
                <w:tcPr>
                  <w:tcW w:w="2225"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spacing w:val="3"/>
                      <w:sz w:val="21"/>
                      <w:szCs w:val="21"/>
                      <w:highlight w:val="none"/>
                      <w:lang w:val="en-US" w:eastAsia="zh-CN"/>
                    </w:rPr>
                  </w:pPr>
                  <w:r>
                    <w:rPr>
                      <w:rFonts w:hint="default" w:ascii="Times New Roman" w:hAnsi="Times New Roman" w:cs="Times New Roman"/>
                      <w:spacing w:val="3"/>
                      <w:sz w:val="21"/>
                      <w:szCs w:val="21"/>
                      <w:highlight w:val="none"/>
                      <w:lang w:val="en-US" w:eastAsia="zh-CN"/>
                    </w:rPr>
                    <w:t>生物质锅炉</w:t>
                  </w:r>
                </w:p>
              </w:tc>
              <w:tc>
                <w:tcPr>
                  <w:tcW w:w="111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spacing w:val="7"/>
                      <w:sz w:val="21"/>
                      <w:szCs w:val="21"/>
                      <w:highlight w:val="none"/>
                      <w:lang w:val="en-US" w:eastAsia="zh-CN"/>
                    </w:rPr>
                  </w:pPr>
                  <w:r>
                    <w:rPr>
                      <w:rFonts w:hint="default" w:ascii="Times New Roman" w:hAnsi="Times New Roman" w:cs="Times New Roman"/>
                      <w:spacing w:val="7"/>
                      <w:sz w:val="21"/>
                      <w:szCs w:val="21"/>
                      <w:highlight w:val="none"/>
                      <w:lang w:val="en-US" w:eastAsia="zh-CN"/>
                    </w:rPr>
                    <w:t>GE-1.5-0.7Y/Q</w:t>
                  </w:r>
                </w:p>
              </w:tc>
              <w:tc>
                <w:tcPr>
                  <w:tcW w:w="68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i w:val="0"/>
                      <w:color w:val="000000"/>
                      <w:kern w:val="0"/>
                      <w:sz w:val="21"/>
                      <w:szCs w:val="21"/>
                      <w:u w:val="none"/>
                      <w:lang w:val="en-US" w:eastAsia="zh-CN" w:bidi="ar"/>
                    </w:rPr>
                  </w:pPr>
                  <w:r>
                    <w:rPr>
                      <w:rFonts w:hint="default" w:ascii="Times New Roman" w:hAnsi="Times New Roman" w:cs="Times New Roman"/>
                      <w:i w:val="0"/>
                      <w:color w:val="000000"/>
                      <w:kern w:val="0"/>
                      <w:sz w:val="21"/>
                      <w:szCs w:val="21"/>
                      <w:u w:val="none"/>
                      <w:lang w:val="en-US" w:eastAsia="zh-CN" w:bidi="ar"/>
                    </w:rPr>
                    <w:t>1</w:t>
                  </w:r>
                </w:p>
              </w:tc>
              <w:tc>
                <w:tcPr>
                  <w:tcW w:w="97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i w:val="0"/>
                      <w:color w:val="000000"/>
                      <w:kern w:val="0"/>
                      <w:sz w:val="21"/>
                      <w:szCs w:val="21"/>
                      <w:u w:val="none"/>
                      <w:lang w:val="en-US" w:eastAsia="zh-CN" w:bidi="ar"/>
                    </w:rPr>
                    <w:t>2.5t/h</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112" w:hRule="atLeast"/>
                <w:jc w:val="center"/>
              </w:trPr>
              <w:tc>
                <w:tcPr>
                  <w:tcW w:w="2225"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spacing w:val="8"/>
                      <w:sz w:val="21"/>
                      <w:szCs w:val="21"/>
                      <w:highlight w:val="none"/>
                    </w:rPr>
                  </w:pPr>
                  <w:r>
                    <w:rPr>
                      <w:rFonts w:hint="default" w:ascii="Times New Roman" w:hAnsi="Times New Roman" w:eastAsia="宋体" w:cs="Times New Roman"/>
                      <w:spacing w:val="8"/>
                      <w:sz w:val="21"/>
                      <w:szCs w:val="21"/>
                      <w:highlight w:val="none"/>
                    </w:rPr>
                    <w:t>洗衣机</w:t>
                  </w:r>
                </w:p>
              </w:tc>
              <w:tc>
                <w:tcPr>
                  <w:tcW w:w="111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spacing w:val="7"/>
                      <w:sz w:val="21"/>
                      <w:szCs w:val="21"/>
                      <w:highlight w:val="none"/>
                      <w:lang w:val="en-US" w:eastAsia="zh-CN"/>
                    </w:rPr>
                  </w:pPr>
                  <w:r>
                    <w:rPr>
                      <w:rFonts w:hint="default" w:ascii="Times New Roman" w:hAnsi="Times New Roman" w:cs="Times New Roman"/>
                      <w:spacing w:val="7"/>
                      <w:sz w:val="21"/>
                      <w:szCs w:val="21"/>
                      <w:highlight w:val="none"/>
                      <w:lang w:val="en-US" w:eastAsia="zh-CN"/>
                    </w:rPr>
                    <w:t>XGQ-100F</w:t>
                  </w:r>
                </w:p>
              </w:tc>
              <w:tc>
                <w:tcPr>
                  <w:tcW w:w="68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i w:val="0"/>
                      <w:color w:val="000000"/>
                      <w:kern w:val="0"/>
                      <w:sz w:val="21"/>
                      <w:szCs w:val="21"/>
                      <w:u w:val="none"/>
                      <w:lang w:val="en-US" w:eastAsia="zh-CN" w:bidi="ar"/>
                    </w:rPr>
                  </w:pPr>
                  <w:r>
                    <w:rPr>
                      <w:rFonts w:hint="eastAsia" w:ascii="Times New Roman" w:cs="Times New Roman"/>
                      <w:i w:val="0"/>
                      <w:color w:val="000000"/>
                      <w:kern w:val="0"/>
                      <w:sz w:val="21"/>
                      <w:szCs w:val="21"/>
                      <w:u w:val="none"/>
                      <w:lang w:val="en-US" w:eastAsia="zh-CN" w:bidi="ar"/>
                    </w:rPr>
                    <w:t>3</w:t>
                  </w:r>
                </w:p>
              </w:tc>
              <w:tc>
                <w:tcPr>
                  <w:tcW w:w="97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0" w:hRule="atLeast"/>
                <w:jc w:val="center"/>
              </w:trPr>
              <w:tc>
                <w:tcPr>
                  <w:tcW w:w="2225"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spacing w:val="3"/>
                      <w:sz w:val="21"/>
                      <w:szCs w:val="21"/>
                      <w:highlight w:val="none"/>
                      <w:lang w:val="en-US" w:eastAsia="zh-CN"/>
                    </w:rPr>
                  </w:pPr>
                  <w:r>
                    <w:rPr>
                      <w:rFonts w:hint="eastAsia" w:ascii="Times New Roman" w:cs="Times New Roman"/>
                      <w:spacing w:val="3"/>
                      <w:sz w:val="21"/>
                      <w:szCs w:val="21"/>
                      <w:lang w:val="en-US" w:eastAsia="zh-CN"/>
                    </w:rPr>
                    <w:t>洗衣机</w:t>
                  </w:r>
                </w:p>
              </w:tc>
              <w:tc>
                <w:tcPr>
                  <w:tcW w:w="111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spacing w:val="7"/>
                      <w:sz w:val="21"/>
                      <w:szCs w:val="21"/>
                      <w:highlight w:val="none"/>
                      <w:lang w:val="en-US" w:eastAsia="zh-CN"/>
                    </w:rPr>
                  </w:pPr>
                  <w:r>
                    <w:rPr>
                      <w:rFonts w:hint="default" w:ascii="Times New Roman" w:hAnsi="Times New Roman" w:cs="Times New Roman"/>
                      <w:spacing w:val="7"/>
                      <w:sz w:val="21"/>
                      <w:szCs w:val="21"/>
                      <w:highlight w:val="none"/>
                      <w:lang w:val="en-US" w:eastAsia="zh-CN"/>
                    </w:rPr>
                    <w:t>XGQ-</w:t>
                  </w:r>
                  <w:r>
                    <w:rPr>
                      <w:rFonts w:hint="eastAsia" w:ascii="Times New Roman" w:cs="Times New Roman"/>
                      <w:spacing w:val="7"/>
                      <w:sz w:val="21"/>
                      <w:szCs w:val="21"/>
                      <w:highlight w:val="none"/>
                      <w:lang w:val="en-US" w:eastAsia="zh-CN"/>
                    </w:rPr>
                    <w:t>50F</w:t>
                  </w:r>
                </w:p>
              </w:tc>
              <w:tc>
                <w:tcPr>
                  <w:tcW w:w="68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i w:val="0"/>
                      <w:color w:val="000000"/>
                      <w:kern w:val="0"/>
                      <w:sz w:val="21"/>
                      <w:szCs w:val="21"/>
                      <w:u w:val="none"/>
                      <w:lang w:val="en-US" w:eastAsia="zh-CN" w:bidi="ar"/>
                    </w:rPr>
                  </w:pPr>
                  <w:r>
                    <w:rPr>
                      <w:rFonts w:hint="eastAsia" w:ascii="Times New Roman" w:cs="Times New Roman"/>
                      <w:i w:val="0"/>
                      <w:color w:val="000000"/>
                      <w:kern w:val="0"/>
                      <w:sz w:val="21"/>
                      <w:szCs w:val="21"/>
                      <w:u w:val="none"/>
                      <w:lang w:val="en-US" w:eastAsia="zh-CN" w:bidi="ar"/>
                    </w:rPr>
                    <w:t>3</w:t>
                  </w:r>
                </w:p>
              </w:tc>
              <w:tc>
                <w:tcPr>
                  <w:tcW w:w="97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90" w:hRule="atLeast"/>
                <w:jc w:val="center"/>
              </w:trPr>
              <w:tc>
                <w:tcPr>
                  <w:tcW w:w="2225"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spacing w:val="3"/>
                      <w:sz w:val="21"/>
                      <w:szCs w:val="21"/>
                      <w:lang w:val="en-US" w:eastAsia="zh-CN"/>
                    </w:rPr>
                  </w:pPr>
                  <w:r>
                    <w:rPr>
                      <w:rFonts w:hint="default" w:ascii="Times New Roman" w:hAnsi="Times New Roman" w:cs="Times New Roman"/>
                      <w:spacing w:val="3"/>
                      <w:sz w:val="21"/>
                      <w:szCs w:val="21"/>
                      <w:lang w:val="en-US" w:eastAsia="zh-CN"/>
                    </w:rPr>
                    <w:t>烘干机</w:t>
                  </w:r>
                </w:p>
              </w:tc>
              <w:tc>
                <w:tcPr>
                  <w:tcW w:w="111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spacing w:val="7"/>
                      <w:sz w:val="21"/>
                      <w:szCs w:val="21"/>
                      <w:highlight w:val="none"/>
                      <w:lang w:val="en-US" w:eastAsia="zh-CN"/>
                    </w:rPr>
                  </w:pPr>
                  <w:r>
                    <w:rPr>
                      <w:rFonts w:hint="default" w:ascii="Times New Roman" w:hAnsi="Times New Roman" w:cs="Times New Roman"/>
                      <w:spacing w:val="7"/>
                      <w:sz w:val="21"/>
                      <w:szCs w:val="21"/>
                      <w:highlight w:val="none"/>
                      <w:lang w:val="en-US" w:eastAsia="zh-CN"/>
                    </w:rPr>
                    <w:t>HG-100J</w:t>
                  </w:r>
                </w:p>
              </w:tc>
              <w:tc>
                <w:tcPr>
                  <w:tcW w:w="68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ascii="Times New Roman" w:cs="Times New Roman"/>
                      <w:i w:val="0"/>
                      <w:color w:val="000000"/>
                      <w:kern w:val="0"/>
                      <w:sz w:val="21"/>
                      <w:szCs w:val="21"/>
                      <w:u w:val="none"/>
                      <w:lang w:val="en-US" w:eastAsia="zh-CN" w:bidi="ar"/>
                    </w:rPr>
                    <w:t>2</w:t>
                  </w:r>
                </w:p>
              </w:tc>
              <w:tc>
                <w:tcPr>
                  <w:tcW w:w="97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15" w:type="dxa"/>
                  <w:left w:w="15" w:type="dxa"/>
                  <w:bottom w:w="15" w:type="dxa"/>
                  <w:right w:w="15" w:type="dxa"/>
                </w:tblCellMar>
              </w:tblPrEx>
              <w:trPr>
                <w:trHeight w:val="97" w:hRule="atLeast"/>
                <w:jc w:val="center"/>
              </w:trPr>
              <w:tc>
                <w:tcPr>
                  <w:tcW w:w="2225"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spacing w:val="7"/>
                      <w:sz w:val="21"/>
                      <w:szCs w:val="21"/>
                      <w:highlight w:val="none"/>
                      <w:lang w:val="en-US" w:eastAsia="zh-CN"/>
                    </w:rPr>
                  </w:pPr>
                  <w:r>
                    <w:rPr>
                      <w:rFonts w:hint="default" w:ascii="Times New Roman" w:hAnsi="Times New Roman" w:cs="Times New Roman"/>
                      <w:spacing w:val="7"/>
                      <w:sz w:val="21"/>
                      <w:szCs w:val="21"/>
                      <w:highlight w:val="none"/>
                      <w:lang w:val="en-US" w:eastAsia="zh-CN"/>
                    </w:rPr>
                    <w:t>烫平机</w:t>
                  </w:r>
                </w:p>
              </w:tc>
              <w:tc>
                <w:tcPr>
                  <w:tcW w:w="111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spacing w:val="7"/>
                      <w:sz w:val="21"/>
                      <w:szCs w:val="21"/>
                      <w:highlight w:val="none"/>
                      <w:lang w:val="en-US" w:eastAsia="zh-CN"/>
                    </w:rPr>
                  </w:pPr>
                  <w:r>
                    <w:rPr>
                      <w:rFonts w:hint="eastAsia" w:ascii="Times New Roman" w:cs="Times New Roman"/>
                      <w:spacing w:val="7"/>
                      <w:sz w:val="21"/>
                      <w:szCs w:val="21"/>
                      <w:highlight w:val="none"/>
                      <w:lang w:val="en-US" w:eastAsia="zh-CN" w:bidi="ar-SA"/>
                    </w:rPr>
                    <w:t>CLM3000</w:t>
                  </w:r>
                </w:p>
              </w:tc>
              <w:tc>
                <w:tcPr>
                  <w:tcW w:w="681"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spacing w:val="7"/>
                      <w:sz w:val="21"/>
                      <w:szCs w:val="21"/>
                      <w:highlight w:val="none"/>
                      <w:lang w:val="en-US" w:eastAsia="zh-CN"/>
                    </w:rPr>
                  </w:pPr>
                  <w:r>
                    <w:rPr>
                      <w:rFonts w:hint="default" w:ascii="Times New Roman" w:hAnsi="Times New Roman" w:cs="Times New Roman"/>
                      <w:spacing w:val="7"/>
                      <w:sz w:val="21"/>
                      <w:szCs w:val="21"/>
                      <w:highlight w:val="none"/>
                      <w:lang w:val="en-US" w:eastAsia="zh-CN"/>
                    </w:rPr>
                    <w:t>1</w:t>
                  </w:r>
                </w:p>
              </w:tc>
              <w:tc>
                <w:tcPr>
                  <w:tcW w:w="97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spacing w:val="7"/>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112" w:hRule="atLeast"/>
                <w:jc w:val="center"/>
              </w:trPr>
              <w:tc>
                <w:tcPr>
                  <w:tcW w:w="2225"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spacing w:val="8"/>
                      <w:sz w:val="21"/>
                      <w:szCs w:val="21"/>
                      <w:highlight w:val="none"/>
                    </w:rPr>
                  </w:pPr>
                  <w:r>
                    <w:rPr>
                      <w:rFonts w:hint="default" w:ascii="Times New Roman" w:hAnsi="Times New Roman" w:cs="Times New Roman"/>
                      <w:spacing w:val="8"/>
                      <w:sz w:val="21"/>
                      <w:szCs w:val="21"/>
                      <w:highlight w:val="none"/>
                      <w:lang w:val="en-US" w:eastAsia="zh-CN"/>
                    </w:rPr>
                    <w:t>折叠机</w:t>
                  </w:r>
                </w:p>
              </w:tc>
              <w:tc>
                <w:tcPr>
                  <w:tcW w:w="111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spacing w:val="7"/>
                      <w:sz w:val="21"/>
                      <w:szCs w:val="21"/>
                      <w:highlight w:val="none"/>
                      <w:lang w:val="en-US" w:eastAsia="zh-CN"/>
                    </w:rPr>
                  </w:pPr>
                  <w:r>
                    <w:rPr>
                      <w:rFonts w:hint="default" w:ascii="Times New Roman" w:hAnsi="Times New Roman" w:cs="Times New Roman"/>
                      <w:spacing w:val="7"/>
                      <w:sz w:val="21"/>
                      <w:szCs w:val="21"/>
                      <w:highlight w:val="none"/>
                      <w:lang w:val="en-US" w:eastAsia="zh-CN"/>
                    </w:rPr>
                    <w:t>ZD3300V</w:t>
                  </w:r>
                </w:p>
              </w:tc>
              <w:tc>
                <w:tcPr>
                  <w:tcW w:w="68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1</w:t>
                  </w:r>
                </w:p>
              </w:tc>
              <w:tc>
                <w:tcPr>
                  <w:tcW w:w="97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2225"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spacing w:val="8"/>
                      <w:sz w:val="21"/>
                      <w:szCs w:val="21"/>
                      <w:highlight w:val="none"/>
                      <w:lang w:val="en-US" w:eastAsia="zh-CN"/>
                    </w:rPr>
                  </w:pPr>
                  <w:r>
                    <w:rPr>
                      <w:rFonts w:hint="default" w:ascii="Times New Roman" w:hAnsi="Times New Roman" w:cs="Times New Roman"/>
                      <w:spacing w:val="8"/>
                      <w:sz w:val="21"/>
                      <w:szCs w:val="21"/>
                      <w:highlight w:val="none"/>
                      <w:lang w:val="en-US" w:eastAsia="zh-CN"/>
                    </w:rPr>
                    <w:t>软化水</w:t>
                  </w:r>
                  <w:r>
                    <w:rPr>
                      <w:rFonts w:hint="default" w:ascii="Times New Roman" w:hAnsi="Times New Roman" w:eastAsia="宋体" w:cs="Times New Roman"/>
                      <w:spacing w:val="8"/>
                      <w:sz w:val="21"/>
                      <w:szCs w:val="21"/>
                      <w:highlight w:val="none"/>
                      <w:lang w:val="en-US" w:eastAsia="zh-CN"/>
                    </w:rPr>
                    <w:t>处理设备</w:t>
                  </w:r>
                </w:p>
              </w:tc>
              <w:tc>
                <w:tcPr>
                  <w:tcW w:w="111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spacing w:val="7"/>
                      <w:sz w:val="21"/>
                      <w:szCs w:val="21"/>
                      <w:highlight w:val="none"/>
                      <w:lang w:val="en-US" w:eastAsia="zh-CN"/>
                    </w:rPr>
                  </w:pPr>
                  <w:r>
                    <w:rPr>
                      <w:rFonts w:hint="eastAsia" w:ascii="Times New Roman" w:cs="Times New Roman"/>
                      <w:spacing w:val="7"/>
                      <w:sz w:val="21"/>
                      <w:szCs w:val="21"/>
                      <w:highlight w:val="none"/>
                      <w:lang w:val="en-US" w:eastAsia="zh-CN"/>
                    </w:rPr>
                    <w:t>/</w:t>
                  </w:r>
                </w:p>
              </w:tc>
              <w:tc>
                <w:tcPr>
                  <w:tcW w:w="68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cs="Times New Roman"/>
                      <w:i w:val="0"/>
                      <w:color w:val="000000"/>
                      <w:kern w:val="0"/>
                      <w:sz w:val="21"/>
                      <w:szCs w:val="21"/>
                      <w:highlight w:val="none"/>
                      <w:u w:val="none"/>
                      <w:lang w:val="en-US" w:eastAsia="zh-CN" w:bidi="ar"/>
                    </w:rPr>
                    <w:t>1</w:t>
                  </w:r>
                </w:p>
              </w:tc>
              <w:tc>
                <w:tcPr>
                  <w:tcW w:w="97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2225" w:type="pct"/>
                  <w:tcBorders>
                    <w:tl2br w:val="nil"/>
                    <w:tr2bl w:val="nil"/>
                  </w:tcBorders>
                  <w:shd w:val="clear" w:color="auto" w:fill="auto"/>
                  <w:vAlign w:val="center"/>
                </w:tcPr>
                <w:p>
                  <w:pPr>
                    <w:spacing w:before="36" w:line="204" w:lineRule="auto"/>
                    <w:ind w:left="114" w:leftChars="0"/>
                    <w:jc w:val="center"/>
                    <w:rPr>
                      <w:rFonts w:hint="default" w:ascii="Times New Roman" w:hAnsi="Times New Roman" w:eastAsia="宋体" w:cs="Times New Roman"/>
                      <w:spacing w:val="3"/>
                      <w:sz w:val="21"/>
                      <w:szCs w:val="21"/>
                      <w:lang w:eastAsia="zh-CN"/>
                    </w:rPr>
                  </w:pPr>
                  <w:r>
                    <w:rPr>
                      <w:rFonts w:hint="default" w:ascii="Times New Roman" w:hAnsi="Times New Roman" w:cs="Times New Roman"/>
                      <w:spacing w:val="-3"/>
                      <w:sz w:val="21"/>
                      <w:szCs w:val="21"/>
                      <w:lang w:val="en-US" w:eastAsia="zh-CN"/>
                    </w:rPr>
                    <w:t>空压机</w:t>
                  </w:r>
                </w:p>
              </w:tc>
              <w:tc>
                <w:tcPr>
                  <w:tcW w:w="111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spacing w:val="7"/>
                      <w:sz w:val="21"/>
                      <w:szCs w:val="21"/>
                      <w:highlight w:val="none"/>
                      <w:lang w:val="en-US" w:eastAsia="zh-CN"/>
                    </w:rPr>
                  </w:pPr>
                  <w:r>
                    <w:rPr>
                      <w:rFonts w:hint="default" w:ascii="Times New Roman" w:hAnsi="Times New Roman" w:cs="Times New Roman"/>
                      <w:spacing w:val="7"/>
                      <w:sz w:val="21"/>
                      <w:szCs w:val="21"/>
                      <w:highlight w:val="none"/>
                      <w:lang w:val="en-US" w:eastAsia="zh-CN"/>
                    </w:rPr>
                    <w:t>/</w:t>
                  </w:r>
                </w:p>
              </w:tc>
              <w:tc>
                <w:tcPr>
                  <w:tcW w:w="68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i w:val="0"/>
                      <w:color w:val="000000"/>
                      <w:kern w:val="0"/>
                      <w:sz w:val="21"/>
                      <w:szCs w:val="21"/>
                      <w:u w:val="none"/>
                      <w:lang w:val="en-US" w:eastAsia="zh-CN" w:bidi="ar"/>
                    </w:rPr>
                    <w:t>1</w:t>
                  </w:r>
                </w:p>
              </w:tc>
              <w:tc>
                <w:tcPr>
                  <w:tcW w:w="97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2225" w:type="pct"/>
                  <w:tcBorders>
                    <w:tl2br w:val="nil"/>
                    <w:tr2bl w:val="nil"/>
                  </w:tcBorders>
                  <w:shd w:val="clear" w:color="auto" w:fill="auto"/>
                  <w:vAlign w:val="center"/>
                </w:tcPr>
                <w:p>
                  <w:pPr>
                    <w:spacing w:before="36" w:line="204" w:lineRule="auto"/>
                    <w:ind w:left="113" w:leftChars="0"/>
                    <w:jc w:val="center"/>
                    <w:rPr>
                      <w:rFonts w:hint="eastAsia" w:ascii="Times New Roman" w:hAnsi="Times New Roman" w:eastAsia="宋体" w:cs="Times New Roman"/>
                      <w:spacing w:val="-2"/>
                      <w:sz w:val="21"/>
                      <w:szCs w:val="21"/>
                      <w:lang w:val="en-US" w:eastAsia="zh-CN"/>
                    </w:rPr>
                  </w:pPr>
                  <w:r>
                    <w:rPr>
                      <w:rFonts w:hint="eastAsia" w:ascii="Times New Roman" w:cs="Times New Roman"/>
                      <w:spacing w:val="-2"/>
                      <w:sz w:val="21"/>
                      <w:szCs w:val="21"/>
                      <w:lang w:val="en-US" w:eastAsia="zh-CN"/>
                    </w:rPr>
                    <w:t>水泵</w:t>
                  </w:r>
                </w:p>
              </w:tc>
              <w:tc>
                <w:tcPr>
                  <w:tcW w:w="111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spacing w:val="7"/>
                      <w:sz w:val="21"/>
                      <w:szCs w:val="21"/>
                      <w:highlight w:val="none"/>
                      <w:lang w:val="en-US" w:eastAsia="zh-CN"/>
                    </w:rPr>
                  </w:pPr>
                  <w:r>
                    <w:rPr>
                      <w:rFonts w:hint="eastAsia" w:ascii="Times New Roman" w:cs="Times New Roman"/>
                      <w:spacing w:val="7"/>
                      <w:sz w:val="21"/>
                      <w:szCs w:val="21"/>
                      <w:highlight w:val="none"/>
                      <w:lang w:val="en-US" w:eastAsia="zh-CN"/>
                    </w:rPr>
                    <w:t>/</w:t>
                  </w:r>
                </w:p>
              </w:tc>
              <w:tc>
                <w:tcPr>
                  <w:tcW w:w="68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i w:val="0"/>
                      <w:color w:val="000000"/>
                      <w:kern w:val="0"/>
                      <w:sz w:val="21"/>
                      <w:szCs w:val="21"/>
                      <w:u w:val="none"/>
                      <w:lang w:val="en-US" w:eastAsia="zh-CN" w:bidi="ar"/>
                    </w:rPr>
                  </w:pPr>
                  <w:r>
                    <w:rPr>
                      <w:rFonts w:hint="eastAsia" w:ascii="Times New Roman" w:cs="Times New Roman"/>
                      <w:i w:val="0"/>
                      <w:color w:val="000000"/>
                      <w:kern w:val="0"/>
                      <w:sz w:val="21"/>
                      <w:szCs w:val="21"/>
                      <w:u w:val="none"/>
                      <w:lang w:val="en-US" w:eastAsia="zh-CN" w:bidi="ar"/>
                    </w:rPr>
                    <w:t>1</w:t>
                  </w:r>
                </w:p>
              </w:tc>
              <w:tc>
                <w:tcPr>
                  <w:tcW w:w="97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2225" w:type="pct"/>
                  <w:tcBorders>
                    <w:tl2br w:val="nil"/>
                    <w:tr2bl w:val="nil"/>
                  </w:tcBorders>
                  <w:shd w:val="clear" w:color="auto" w:fill="auto"/>
                  <w:vAlign w:val="center"/>
                </w:tcPr>
                <w:p>
                  <w:pPr>
                    <w:spacing w:before="36" w:line="204" w:lineRule="auto"/>
                    <w:ind w:left="113" w:leftChars="0"/>
                    <w:jc w:val="center"/>
                    <w:rPr>
                      <w:rFonts w:hint="default" w:ascii="Times New Roman" w:hAnsi="Times New Roman" w:eastAsia="宋体" w:cs="Times New Roman"/>
                      <w:spacing w:val="3"/>
                      <w:sz w:val="21"/>
                      <w:szCs w:val="21"/>
                    </w:rPr>
                  </w:pPr>
                  <w:r>
                    <w:rPr>
                      <w:rFonts w:hint="default" w:ascii="Times New Roman" w:hAnsi="Times New Roman" w:eastAsia="宋体" w:cs="Times New Roman"/>
                      <w:spacing w:val="-2"/>
                      <w:sz w:val="21"/>
                      <w:szCs w:val="21"/>
                    </w:rPr>
                    <w:t>袋式除尘器</w:t>
                  </w:r>
                </w:p>
              </w:tc>
              <w:tc>
                <w:tcPr>
                  <w:tcW w:w="111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spacing w:val="7"/>
                      <w:sz w:val="21"/>
                      <w:szCs w:val="21"/>
                      <w:highlight w:val="none"/>
                      <w:lang w:val="en-US" w:eastAsia="zh-CN"/>
                    </w:rPr>
                  </w:pPr>
                  <w:r>
                    <w:rPr>
                      <w:rFonts w:hint="default" w:ascii="Times New Roman" w:hAnsi="Times New Roman" w:cs="Times New Roman"/>
                      <w:spacing w:val="7"/>
                      <w:sz w:val="21"/>
                      <w:szCs w:val="21"/>
                      <w:highlight w:val="none"/>
                      <w:lang w:val="en-US" w:eastAsia="zh-CN"/>
                    </w:rPr>
                    <w:t>/</w:t>
                  </w:r>
                </w:p>
              </w:tc>
              <w:tc>
                <w:tcPr>
                  <w:tcW w:w="68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i w:val="0"/>
                      <w:color w:val="000000"/>
                      <w:kern w:val="0"/>
                      <w:sz w:val="21"/>
                      <w:szCs w:val="21"/>
                      <w:u w:val="none"/>
                      <w:lang w:val="en-US" w:eastAsia="zh-CN" w:bidi="ar"/>
                    </w:rPr>
                    <w:t>1</w:t>
                  </w:r>
                </w:p>
              </w:tc>
              <w:tc>
                <w:tcPr>
                  <w:tcW w:w="97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0" w:hRule="atLeast"/>
                <w:jc w:val="center"/>
              </w:trPr>
              <w:tc>
                <w:tcPr>
                  <w:tcW w:w="2225" w:type="pct"/>
                  <w:tcBorders>
                    <w:tl2br w:val="nil"/>
                    <w:tr2bl w:val="nil"/>
                  </w:tcBorders>
                  <w:shd w:val="clear" w:color="auto" w:fill="auto"/>
                  <w:vAlign w:val="center"/>
                </w:tcPr>
                <w:p>
                  <w:pPr>
                    <w:spacing w:before="36" w:line="204" w:lineRule="auto"/>
                    <w:ind w:left="114" w:leftChars="0"/>
                    <w:jc w:val="center"/>
                    <w:rPr>
                      <w:rFonts w:hint="default" w:ascii="Times New Roman" w:hAnsi="Times New Roman" w:eastAsia="宋体" w:cs="Times New Roman"/>
                      <w:spacing w:val="3"/>
                      <w:sz w:val="21"/>
                      <w:szCs w:val="21"/>
                      <w:lang w:val="en-US" w:eastAsia="zh-CN"/>
                    </w:rPr>
                  </w:pPr>
                  <w:r>
                    <w:rPr>
                      <w:rFonts w:hint="default" w:ascii="Times New Roman" w:hAnsi="Times New Roman" w:cs="Times New Roman"/>
                      <w:spacing w:val="-2"/>
                      <w:sz w:val="21"/>
                      <w:szCs w:val="21"/>
                      <w:lang w:val="en-US" w:eastAsia="zh-CN"/>
                    </w:rPr>
                    <w:t>旋风除尘设备</w:t>
                  </w:r>
                </w:p>
              </w:tc>
              <w:tc>
                <w:tcPr>
                  <w:tcW w:w="111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spacing w:val="7"/>
                      <w:sz w:val="21"/>
                      <w:szCs w:val="21"/>
                      <w:highlight w:val="none"/>
                      <w:lang w:val="en-US" w:eastAsia="zh-CN"/>
                    </w:rPr>
                  </w:pPr>
                  <w:r>
                    <w:rPr>
                      <w:rFonts w:hint="default" w:ascii="Times New Roman" w:hAnsi="Times New Roman" w:cs="Times New Roman"/>
                      <w:spacing w:val="7"/>
                      <w:sz w:val="21"/>
                      <w:szCs w:val="21"/>
                      <w:highlight w:val="none"/>
                      <w:lang w:val="en-US" w:eastAsia="zh-CN"/>
                    </w:rPr>
                    <w:t>/</w:t>
                  </w:r>
                </w:p>
              </w:tc>
              <w:tc>
                <w:tcPr>
                  <w:tcW w:w="68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cs="Times New Roman"/>
                      <w:i w:val="0"/>
                      <w:color w:val="000000"/>
                      <w:kern w:val="0"/>
                      <w:sz w:val="21"/>
                      <w:szCs w:val="21"/>
                      <w:u w:val="none"/>
                      <w:lang w:val="en-US" w:eastAsia="zh-CN" w:bidi="ar"/>
                    </w:rPr>
                    <w:t>1</w:t>
                  </w:r>
                </w:p>
              </w:tc>
              <w:tc>
                <w:tcPr>
                  <w:tcW w:w="97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2225" w:type="pct"/>
                  <w:tcBorders>
                    <w:tl2br w:val="nil"/>
                    <w:tr2bl w:val="nil"/>
                  </w:tcBorders>
                  <w:shd w:val="clear" w:color="auto" w:fill="auto"/>
                  <w:vAlign w:val="center"/>
                </w:tcPr>
                <w:p>
                  <w:pPr>
                    <w:spacing w:before="36" w:line="204" w:lineRule="auto"/>
                    <w:ind w:left="114" w:leftChars="0"/>
                    <w:jc w:val="center"/>
                    <w:rPr>
                      <w:rFonts w:hint="default" w:ascii="Times New Roman" w:hAnsi="Times New Roman" w:cs="Times New Roman"/>
                      <w:spacing w:val="-2"/>
                      <w:sz w:val="21"/>
                      <w:szCs w:val="21"/>
                      <w:lang w:val="en-US" w:eastAsia="zh-CN"/>
                    </w:rPr>
                  </w:pPr>
                  <w:r>
                    <w:rPr>
                      <w:rFonts w:hint="default" w:ascii="Times New Roman" w:hAnsi="Times New Roman" w:cs="Times New Roman"/>
                      <w:spacing w:val="-2"/>
                      <w:sz w:val="21"/>
                      <w:szCs w:val="21"/>
                      <w:lang w:val="en-US" w:eastAsia="zh-CN"/>
                    </w:rPr>
                    <w:t>SNCR脱硝设备</w:t>
                  </w:r>
                </w:p>
              </w:tc>
              <w:tc>
                <w:tcPr>
                  <w:tcW w:w="1118"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outlineLvl w:val="9"/>
                    <w:rPr>
                      <w:rFonts w:hint="default" w:ascii="Times New Roman" w:hAnsi="Times New Roman" w:cs="Times New Roman"/>
                      <w:spacing w:val="7"/>
                      <w:sz w:val="21"/>
                      <w:szCs w:val="21"/>
                      <w:highlight w:val="none"/>
                      <w:lang w:val="en-US" w:eastAsia="zh-CN"/>
                    </w:rPr>
                  </w:pPr>
                  <w:r>
                    <w:rPr>
                      <w:rFonts w:hint="default" w:ascii="Times New Roman" w:hAnsi="Times New Roman" w:cs="Times New Roman"/>
                      <w:spacing w:val="7"/>
                      <w:sz w:val="21"/>
                      <w:szCs w:val="21"/>
                      <w:highlight w:val="none"/>
                      <w:lang w:val="en-US" w:eastAsia="zh-CN"/>
                    </w:rPr>
                    <w:t>/</w:t>
                  </w:r>
                </w:p>
              </w:tc>
              <w:tc>
                <w:tcPr>
                  <w:tcW w:w="68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i w:val="0"/>
                      <w:color w:val="000000"/>
                      <w:kern w:val="0"/>
                      <w:sz w:val="21"/>
                      <w:szCs w:val="21"/>
                      <w:u w:val="none"/>
                      <w:lang w:val="en-US" w:eastAsia="zh-CN" w:bidi="ar"/>
                    </w:rPr>
                  </w:pPr>
                  <w:r>
                    <w:rPr>
                      <w:rFonts w:hint="default" w:ascii="Times New Roman" w:hAnsi="Times New Roman" w:cs="Times New Roman"/>
                      <w:i w:val="0"/>
                      <w:color w:val="000000"/>
                      <w:kern w:val="0"/>
                      <w:sz w:val="21"/>
                      <w:szCs w:val="21"/>
                      <w:u w:val="none"/>
                      <w:lang w:val="en-US" w:eastAsia="zh-CN" w:bidi="ar"/>
                    </w:rPr>
                    <w:t>1</w:t>
                  </w:r>
                </w:p>
              </w:tc>
              <w:tc>
                <w:tcPr>
                  <w:tcW w:w="97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i w:val="0"/>
                      <w:color w:val="000000"/>
                      <w:kern w:val="0"/>
                      <w:sz w:val="21"/>
                      <w:szCs w:val="21"/>
                      <w:u w:val="none"/>
                      <w:lang w:val="en-US" w:eastAsia="zh-CN" w:bidi="ar"/>
                    </w:rPr>
                  </w:pP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cs="Times New Roman"/>
                <w:b/>
                <w:bCs/>
                <w:color w:val="auto"/>
                <w:kern w:val="0"/>
                <w:sz w:val="24"/>
                <w:szCs w:val="24"/>
                <w:lang w:val="en-US" w:eastAsia="zh-CN" w:bidi="ar"/>
              </w:rPr>
              <w:t>5</w:t>
            </w:r>
            <w:r>
              <w:rPr>
                <w:rFonts w:hint="default" w:ascii="Times New Roman" w:hAnsi="Times New Roman" w:eastAsia="宋体" w:cs="Times New Roman"/>
                <w:b/>
                <w:bCs/>
                <w:color w:val="auto"/>
                <w:kern w:val="0"/>
                <w:sz w:val="24"/>
                <w:szCs w:val="24"/>
                <w:lang w:val="en-US" w:eastAsia="zh-CN" w:bidi="ar"/>
              </w:rPr>
              <w:t xml:space="preserve">、原辅材料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FF0000"/>
                <w:sz w:val="24"/>
                <w:szCs w:val="24"/>
                <w:lang w:val="en-US"/>
              </w:rPr>
            </w:pPr>
            <w:r>
              <w:rPr>
                <w:rFonts w:hint="default" w:ascii="Times New Roman" w:hAnsi="Times New Roman" w:cs="Times New Roman"/>
                <w:sz w:val="24"/>
                <w:szCs w:val="24"/>
              </w:rPr>
              <w:t>本项目</w:t>
            </w:r>
            <w:r>
              <w:rPr>
                <w:rFonts w:hint="default" w:ascii="Times New Roman" w:hAnsi="Times New Roman" w:cs="Times New Roman"/>
                <w:color w:val="000000" w:themeColor="text1"/>
                <w:sz w:val="24"/>
                <w:szCs w:val="24"/>
                <w:lang w:val="en-US" w:eastAsia="zh-CN"/>
                <w14:textFill>
                  <w14:solidFill>
                    <w14:schemeClr w14:val="tx1"/>
                  </w14:solidFill>
                </w14:textFill>
              </w:rPr>
              <w:t>洗涤工序及锅炉原料均外购</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sz w:val="24"/>
                <w:szCs w:val="24"/>
              </w:rPr>
              <w:t>主要</w:t>
            </w:r>
            <w:r>
              <w:rPr>
                <w:rFonts w:hint="default" w:ascii="Times New Roman" w:hAnsi="Times New Roman" w:cs="Times New Roman"/>
                <w:sz w:val="24"/>
                <w:szCs w:val="24"/>
                <w:highlight w:val="none"/>
              </w:rPr>
              <w:t>原辅材料</w:t>
            </w:r>
            <w:r>
              <w:rPr>
                <w:rFonts w:hint="default" w:ascii="Times New Roman" w:hAnsi="Times New Roman" w:cs="Times New Roman"/>
                <w:color w:val="000000" w:themeColor="text1"/>
                <w:sz w:val="24"/>
                <w:szCs w:val="24"/>
                <w14:textFill>
                  <w14:solidFill>
                    <w14:schemeClr w14:val="tx1"/>
                  </w14:solidFill>
                </w14:textFill>
              </w:rPr>
              <w:t>详见</w:t>
            </w:r>
            <w:r>
              <w:rPr>
                <w:rFonts w:hint="default" w:ascii="Times New Roman" w:hAnsi="Times New Roman" w:cs="Times New Roman"/>
                <w:color w:val="000000" w:themeColor="text1"/>
                <w:sz w:val="24"/>
                <w:szCs w:val="24"/>
                <w:lang w:val="en-US" w:eastAsia="zh-CN"/>
                <w14:textFill>
                  <w14:solidFill>
                    <w14:schemeClr w14:val="tx1"/>
                  </w14:solidFill>
                </w14:textFill>
              </w:rPr>
              <w:t>下表。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表2-</w:t>
            </w:r>
            <w:r>
              <w:rPr>
                <w:rFonts w:hint="default" w:ascii="Times New Roman" w:hAnsi="Times New Roman" w:cs="Times New Roman"/>
                <w:b/>
                <w:bCs w:val="0"/>
                <w:sz w:val="21"/>
                <w:szCs w:val="21"/>
                <w:lang w:val="en-US" w:eastAsia="zh-CN"/>
              </w:rPr>
              <w:t>4</w:t>
            </w:r>
            <w:r>
              <w:rPr>
                <w:rFonts w:hint="default" w:ascii="Times New Roman" w:hAnsi="Times New Roman" w:eastAsia="宋体" w:cs="Times New Roman"/>
                <w:b/>
                <w:bCs w:val="0"/>
                <w:sz w:val="21"/>
                <w:szCs w:val="21"/>
                <w:lang w:val="en-US" w:eastAsia="zh-CN"/>
              </w:rPr>
              <w:t xml:space="preserve">  </w:t>
            </w:r>
            <w:r>
              <w:rPr>
                <w:rFonts w:hint="default" w:ascii="Times New Roman" w:hAnsi="Times New Roman" w:eastAsia="宋体" w:cs="Times New Roman"/>
                <w:b/>
                <w:bCs w:val="0"/>
                <w:sz w:val="21"/>
                <w:szCs w:val="21"/>
              </w:rPr>
              <w:t>主要原辅材料</w:t>
            </w:r>
            <w:r>
              <w:rPr>
                <w:rFonts w:hint="default" w:ascii="Times New Roman" w:hAnsi="Times New Roman" w:cs="Times New Roman"/>
                <w:b/>
                <w:bCs w:val="0"/>
                <w:sz w:val="21"/>
                <w:szCs w:val="21"/>
                <w:highlight w:val="none"/>
                <w:lang w:val="en-US" w:eastAsia="zh-CN"/>
              </w:rPr>
              <w:t>及能源</w:t>
            </w:r>
            <w:r>
              <w:rPr>
                <w:rFonts w:hint="default" w:ascii="Times New Roman" w:hAnsi="Times New Roman" w:eastAsia="宋体" w:cs="Times New Roman"/>
                <w:b/>
                <w:bCs w:val="0"/>
                <w:sz w:val="21"/>
                <w:szCs w:val="21"/>
                <w:highlight w:val="none"/>
              </w:rPr>
              <w:t>消耗表</w:t>
            </w:r>
          </w:p>
          <w:tbl>
            <w:tblPr>
              <w:tblStyle w:val="38"/>
              <w:tblW w:w="4998"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2245"/>
              <w:gridCol w:w="1224"/>
              <w:gridCol w:w="1290"/>
              <w:gridCol w:w="345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1367" w:type="pct"/>
                  <w:vAlign w:val="center"/>
                </w:tcPr>
                <w:p>
                  <w:pPr>
                    <w:pStyle w:val="95"/>
                    <w:spacing w:line="240" w:lineRule="auto"/>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名称</w:t>
                  </w:r>
                </w:p>
              </w:tc>
              <w:tc>
                <w:tcPr>
                  <w:tcW w:w="745" w:type="pct"/>
                  <w:vAlign w:val="center"/>
                </w:tcPr>
                <w:p>
                  <w:pPr>
                    <w:pStyle w:val="95"/>
                    <w:spacing w:line="240" w:lineRule="auto"/>
                    <w:rPr>
                      <w:rFonts w:hint="default" w:ascii="Times New Roman" w:hAnsi="Times New Roman" w:cs="Times New Roman"/>
                      <w:b/>
                      <w:bCs/>
                      <w:kern w:val="2"/>
                      <w:sz w:val="21"/>
                      <w:szCs w:val="21"/>
                    </w:rPr>
                  </w:pPr>
                  <w:r>
                    <w:rPr>
                      <w:rFonts w:hint="default" w:ascii="Times New Roman" w:hAnsi="Times New Roman" w:eastAsia="宋体" w:cs="Times New Roman"/>
                      <w:b/>
                      <w:bCs/>
                      <w:kern w:val="2"/>
                      <w:sz w:val="21"/>
                      <w:szCs w:val="21"/>
                      <w:lang w:val="en-US" w:eastAsia="zh-CN"/>
                    </w:rPr>
                    <w:t>年</w:t>
                  </w:r>
                  <w:r>
                    <w:rPr>
                      <w:rFonts w:hint="default" w:ascii="Times New Roman" w:hAnsi="Times New Roman" w:cs="Times New Roman"/>
                      <w:b/>
                      <w:bCs/>
                      <w:kern w:val="2"/>
                      <w:sz w:val="21"/>
                      <w:szCs w:val="21"/>
                    </w:rPr>
                    <w:t>消耗量</w:t>
                  </w:r>
                </w:p>
              </w:tc>
              <w:tc>
                <w:tcPr>
                  <w:tcW w:w="785" w:type="pct"/>
                  <w:vAlign w:val="center"/>
                </w:tcPr>
                <w:p>
                  <w:pPr>
                    <w:pStyle w:val="95"/>
                    <w:spacing w:line="240" w:lineRule="auto"/>
                    <w:jc w:val="center"/>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单位</w:t>
                  </w:r>
                </w:p>
              </w:tc>
              <w:tc>
                <w:tcPr>
                  <w:tcW w:w="2101" w:type="pct"/>
                  <w:vAlign w:val="center"/>
                </w:tcPr>
                <w:p>
                  <w:pPr>
                    <w:pStyle w:val="95"/>
                    <w:spacing w:line="240" w:lineRule="auto"/>
                    <w:rPr>
                      <w:rFonts w:hint="default" w:ascii="Times New Roman" w:hAnsi="Times New Roman" w:eastAsia="宋体" w:cs="Times New Roman"/>
                      <w:b/>
                      <w:bCs/>
                      <w:kern w:val="2"/>
                      <w:sz w:val="21"/>
                      <w:szCs w:val="21"/>
                      <w:lang w:val="en-US" w:eastAsia="zh-CN"/>
                    </w:rPr>
                  </w:pPr>
                  <w:r>
                    <w:rPr>
                      <w:rFonts w:hint="default" w:ascii="Times New Roman" w:hAnsi="Times New Roman" w:cs="Times New Roman"/>
                      <w:b/>
                      <w:bCs/>
                      <w:kern w:val="2"/>
                      <w:sz w:val="21"/>
                      <w:szCs w:val="21"/>
                      <w:lang w:val="en-US" w:eastAsia="zh-CN"/>
                    </w:rPr>
                    <w:t>来源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367"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洗衣粉</w:t>
                  </w:r>
                </w:p>
              </w:tc>
              <w:tc>
                <w:tcPr>
                  <w:tcW w:w="745" w:type="pct"/>
                  <w:vAlign w:val="center"/>
                </w:tcPr>
                <w:p>
                  <w:pPr>
                    <w:pStyle w:val="95"/>
                    <w:spacing w:line="240" w:lineRule="auto"/>
                    <w:rPr>
                      <w:rFonts w:hint="default" w:ascii="Times New Roman" w:hAnsi="Times New Roman" w:eastAsia="Times New Roman" w:cs="Times New Roman"/>
                      <w:kern w:val="2"/>
                      <w:sz w:val="21"/>
                      <w:szCs w:val="21"/>
                      <w:lang w:val="en-US" w:eastAsia="zh-CN"/>
                    </w:rPr>
                  </w:pPr>
                  <w:r>
                    <w:rPr>
                      <w:rFonts w:hint="eastAsia" w:ascii="Times New Roman" w:hAnsi="Times New Roman" w:eastAsia="Times New Roman" w:cs="Times New Roman"/>
                      <w:kern w:val="2"/>
                      <w:sz w:val="21"/>
                      <w:szCs w:val="21"/>
                      <w:lang w:val="en-US" w:eastAsia="zh-CN"/>
                    </w:rPr>
                    <w:t>7.2</w:t>
                  </w:r>
                </w:p>
              </w:tc>
              <w:tc>
                <w:tcPr>
                  <w:tcW w:w="785" w:type="pct"/>
                  <w:vAlign w:val="center"/>
                </w:tcPr>
                <w:p>
                  <w:pPr>
                    <w:pStyle w:val="95"/>
                    <w:spacing w:line="240" w:lineRule="auto"/>
                    <w:rPr>
                      <w:rFonts w:hint="default" w:ascii="Times New Roman" w:hAnsi="Times New Roman" w:cs="Times New Roman"/>
                      <w:kern w:val="2"/>
                      <w:sz w:val="21"/>
                      <w:szCs w:val="21"/>
                    </w:rPr>
                  </w:pPr>
                  <w:r>
                    <w:rPr>
                      <w:rFonts w:hint="default" w:ascii="Times New Roman" w:hAnsi="Times New Roman" w:cs="Times New Roman"/>
                      <w:kern w:val="2"/>
                      <w:sz w:val="21"/>
                      <w:szCs w:val="21"/>
                    </w:rPr>
                    <w:t>t/a</w:t>
                  </w:r>
                </w:p>
              </w:tc>
              <w:tc>
                <w:tcPr>
                  <w:tcW w:w="2101" w:type="pct"/>
                  <w:vMerge w:val="restart"/>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山西太原阳光嘉洁洗涤用品有限公司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42" w:hRule="atLeast"/>
              </w:trPr>
              <w:tc>
                <w:tcPr>
                  <w:tcW w:w="1367"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柔顺剂</w:t>
                  </w:r>
                </w:p>
              </w:tc>
              <w:tc>
                <w:tcPr>
                  <w:tcW w:w="745" w:type="pct"/>
                  <w:vAlign w:val="center"/>
                </w:tcPr>
                <w:p>
                  <w:pPr>
                    <w:pStyle w:val="95"/>
                    <w:spacing w:line="240" w:lineRule="auto"/>
                    <w:rPr>
                      <w:rFonts w:hint="default" w:ascii="Times New Roman" w:hAnsi="Times New Roman" w:eastAsia="Times New Roman" w:cs="Times New Roman"/>
                      <w:kern w:val="2"/>
                      <w:sz w:val="21"/>
                      <w:szCs w:val="21"/>
                      <w:lang w:eastAsia="zh-CN"/>
                    </w:rPr>
                  </w:pPr>
                  <w:r>
                    <w:rPr>
                      <w:rFonts w:hint="eastAsia" w:ascii="Times New Roman" w:hAnsi="Times New Roman" w:eastAsia="Times New Roman" w:cs="Times New Roman"/>
                      <w:kern w:val="2"/>
                      <w:sz w:val="21"/>
                      <w:szCs w:val="21"/>
                      <w:lang w:val="en-US" w:eastAsia="zh-CN"/>
                    </w:rPr>
                    <w:t>1.6</w:t>
                  </w:r>
                </w:p>
              </w:tc>
              <w:tc>
                <w:tcPr>
                  <w:tcW w:w="785" w:type="pct"/>
                  <w:vAlign w:val="center"/>
                </w:tcPr>
                <w:p>
                  <w:pPr>
                    <w:pStyle w:val="95"/>
                    <w:spacing w:line="240" w:lineRule="auto"/>
                    <w:rPr>
                      <w:rFonts w:hint="default" w:ascii="Times New Roman" w:hAnsi="Times New Roman" w:cs="Times New Roman"/>
                      <w:kern w:val="2"/>
                      <w:sz w:val="21"/>
                      <w:szCs w:val="21"/>
                    </w:rPr>
                  </w:pPr>
                  <w:r>
                    <w:rPr>
                      <w:rFonts w:hint="default" w:ascii="Times New Roman" w:hAnsi="Times New Roman" w:cs="Times New Roman"/>
                      <w:kern w:val="2"/>
                      <w:sz w:val="21"/>
                      <w:szCs w:val="21"/>
                    </w:rPr>
                    <w:t>t/a</w:t>
                  </w:r>
                </w:p>
              </w:tc>
              <w:tc>
                <w:tcPr>
                  <w:tcW w:w="2101" w:type="pct"/>
                  <w:vMerge w:val="continue"/>
                  <w:vAlign w:val="center"/>
                </w:tcPr>
                <w:p>
                  <w:pPr>
                    <w:jc w:val="center"/>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367"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乳化剂</w:t>
                  </w:r>
                </w:p>
              </w:tc>
              <w:tc>
                <w:tcPr>
                  <w:tcW w:w="745" w:type="pct"/>
                  <w:vAlign w:val="center"/>
                </w:tcPr>
                <w:p>
                  <w:pPr>
                    <w:pStyle w:val="95"/>
                    <w:spacing w:line="240" w:lineRule="auto"/>
                    <w:rPr>
                      <w:rFonts w:hint="default" w:ascii="Times New Roman" w:hAnsi="Times New Roman" w:eastAsia="Times New Roman" w:cs="Times New Roman"/>
                      <w:kern w:val="2"/>
                      <w:sz w:val="21"/>
                      <w:szCs w:val="21"/>
                      <w:lang w:val="en-US" w:eastAsia="zh-CN"/>
                    </w:rPr>
                  </w:pPr>
                  <w:r>
                    <w:rPr>
                      <w:rFonts w:hint="eastAsia" w:ascii="Times New Roman" w:hAnsi="Times New Roman" w:eastAsia="Times New Roman" w:cs="Times New Roman"/>
                      <w:kern w:val="2"/>
                      <w:sz w:val="21"/>
                      <w:szCs w:val="21"/>
                      <w:lang w:val="en-US" w:eastAsia="zh-CN"/>
                    </w:rPr>
                    <w:t>5.8</w:t>
                  </w:r>
                </w:p>
              </w:tc>
              <w:tc>
                <w:tcPr>
                  <w:tcW w:w="785" w:type="pct"/>
                  <w:vAlign w:val="center"/>
                </w:tcPr>
                <w:p>
                  <w:pPr>
                    <w:pStyle w:val="95"/>
                    <w:spacing w:line="240" w:lineRule="auto"/>
                    <w:rPr>
                      <w:rFonts w:hint="default" w:ascii="Times New Roman" w:hAnsi="Times New Roman" w:cs="Times New Roman"/>
                      <w:kern w:val="2"/>
                      <w:sz w:val="21"/>
                      <w:szCs w:val="21"/>
                    </w:rPr>
                  </w:pPr>
                  <w:r>
                    <w:rPr>
                      <w:rFonts w:hint="default" w:ascii="Times New Roman" w:hAnsi="Times New Roman" w:cs="Times New Roman"/>
                      <w:kern w:val="2"/>
                      <w:sz w:val="21"/>
                      <w:szCs w:val="21"/>
                    </w:rPr>
                    <w:t>t/a</w:t>
                  </w:r>
                </w:p>
              </w:tc>
              <w:tc>
                <w:tcPr>
                  <w:tcW w:w="2101" w:type="pct"/>
                  <w:vMerge w:val="continue"/>
                  <w:vAlign w:val="center"/>
                </w:tcPr>
                <w:p>
                  <w:pPr>
                    <w:jc w:val="center"/>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72" w:hRule="atLeast"/>
              </w:trPr>
              <w:tc>
                <w:tcPr>
                  <w:tcW w:w="1367"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彩漂粉</w:t>
                  </w:r>
                </w:p>
              </w:tc>
              <w:tc>
                <w:tcPr>
                  <w:tcW w:w="745" w:type="pct"/>
                  <w:vAlign w:val="center"/>
                </w:tcPr>
                <w:p>
                  <w:pPr>
                    <w:pStyle w:val="95"/>
                    <w:spacing w:line="240" w:lineRule="auto"/>
                    <w:rPr>
                      <w:rFonts w:hint="default" w:ascii="Times New Roman" w:hAnsi="Times New Roman" w:eastAsia="Times New Roman" w:cs="Times New Roman"/>
                      <w:kern w:val="2"/>
                      <w:sz w:val="21"/>
                      <w:szCs w:val="21"/>
                      <w:lang w:val="en-US" w:eastAsia="zh-CN"/>
                    </w:rPr>
                  </w:pPr>
                  <w:r>
                    <w:rPr>
                      <w:rFonts w:hint="eastAsia" w:ascii="Times New Roman" w:hAnsi="Times New Roman" w:eastAsia="Times New Roman" w:cs="Times New Roman"/>
                      <w:kern w:val="2"/>
                      <w:sz w:val="21"/>
                      <w:szCs w:val="21"/>
                      <w:lang w:val="en-US" w:eastAsia="zh-CN"/>
                    </w:rPr>
                    <w:t>5.8</w:t>
                  </w:r>
                </w:p>
              </w:tc>
              <w:tc>
                <w:tcPr>
                  <w:tcW w:w="785" w:type="pct"/>
                  <w:vAlign w:val="center"/>
                </w:tcPr>
                <w:p>
                  <w:pPr>
                    <w:pStyle w:val="95"/>
                    <w:spacing w:line="240" w:lineRule="auto"/>
                    <w:rPr>
                      <w:rFonts w:hint="default" w:ascii="Times New Roman" w:hAnsi="Times New Roman" w:cs="Times New Roman"/>
                      <w:kern w:val="2"/>
                      <w:sz w:val="21"/>
                      <w:szCs w:val="21"/>
                    </w:rPr>
                  </w:pPr>
                  <w:r>
                    <w:rPr>
                      <w:rFonts w:hint="default" w:ascii="Times New Roman" w:hAnsi="Times New Roman" w:cs="Times New Roman"/>
                      <w:kern w:val="2"/>
                      <w:sz w:val="21"/>
                      <w:szCs w:val="21"/>
                    </w:rPr>
                    <w:t>t/a</w:t>
                  </w:r>
                </w:p>
              </w:tc>
              <w:tc>
                <w:tcPr>
                  <w:tcW w:w="2101" w:type="pct"/>
                  <w:vMerge w:val="continue"/>
                  <w:vAlign w:val="center"/>
                </w:tcPr>
                <w:p>
                  <w:pPr>
                    <w:jc w:val="center"/>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367"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增白粉</w:t>
                  </w:r>
                </w:p>
              </w:tc>
              <w:tc>
                <w:tcPr>
                  <w:tcW w:w="745" w:type="pct"/>
                  <w:vAlign w:val="center"/>
                </w:tcPr>
                <w:p>
                  <w:pPr>
                    <w:pStyle w:val="95"/>
                    <w:spacing w:line="240" w:lineRule="auto"/>
                    <w:rPr>
                      <w:rFonts w:hint="default" w:ascii="Times New Roman" w:hAnsi="Times New Roman" w:eastAsia="Times New Roman" w:cs="Times New Roman"/>
                      <w:kern w:val="2"/>
                      <w:sz w:val="21"/>
                      <w:szCs w:val="21"/>
                      <w:lang w:val="en-US" w:eastAsia="zh-CN"/>
                    </w:rPr>
                  </w:pPr>
                  <w:r>
                    <w:rPr>
                      <w:rFonts w:hint="eastAsia" w:ascii="Times New Roman" w:hAnsi="Times New Roman" w:eastAsia="Times New Roman" w:cs="Times New Roman"/>
                      <w:kern w:val="2"/>
                      <w:sz w:val="21"/>
                      <w:szCs w:val="21"/>
                      <w:lang w:val="en-US" w:eastAsia="zh-CN"/>
                    </w:rPr>
                    <w:t>0.3</w:t>
                  </w:r>
                </w:p>
              </w:tc>
              <w:tc>
                <w:tcPr>
                  <w:tcW w:w="785" w:type="pct"/>
                  <w:vAlign w:val="center"/>
                </w:tcPr>
                <w:p>
                  <w:pPr>
                    <w:pStyle w:val="95"/>
                    <w:spacing w:line="240" w:lineRule="auto"/>
                    <w:rPr>
                      <w:rFonts w:hint="default" w:ascii="Times New Roman" w:hAnsi="Times New Roman" w:cs="Times New Roman"/>
                      <w:kern w:val="2"/>
                      <w:sz w:val="21"/>
                      <w:szCs w:val="21"/>
                    </w:rPr>
                  </w:pPr>
                  <w:r>
                    <w:rPr>
                      <w:rFonts w:hint="default" w:ascii="Times New Roman" w:hAnsi="Times New Roman" w:cs="Times New Roman"/>
                      <w:kern w:val="2"/>
                      <w:sz w:val="21"/>
                      <w:szCs w:val="21"/>
                    </w:rPr>
                    <w:t>t/a</w:t>
                  </w:r>
                </w:p>
              </w:tc>
              <w:tc>
                <w:tcPr>
                  <w:tcW w:w="2101" w:type="pct"/>
                  <w:vMerge w:val="continue"/>
                  <w:vAlign w:val="center"/>
                </w:tcPr>
                <w:p>
                  <w:pPr>
                    <w:jc w:val="center"/>
                    <w:rPr>
                      <w:rFonts w:hint="default"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2" w:hRule="atLeast"/>
              </w:trPr>
              <w:tc>
                <w:tcPr>
                  <w:tcW w:w="1367" w:type="pct"/>
                  <w:vAlign w:val="center"/>
                </w:tcPr>
                <w:p>
                  <w:pPr>
                    <w:pStyle w:val="95"/>
                    <w:spacing w:line="240" w:lineRule="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生物质燃料</w:t>
                  </w:r>
                </w:p>
              </w:tc>
              <w:tc>
                <w:tcPr>
                  <w:tcW w:w="745" w:type="pct"/>
                  <w:vAlign w:val="center"/>
                </w:tcPr>
                <w:p>
                  <w:pPr>
                    <w:jc w:val="center"/>
                    <w:textAlignment w:val="center"/>
                    <w:rPr>
                      <w:rFonts w:hint="default" w:ascii="Times New Roman" w:hAnsi="Times New Roman" w:cs="Times New Roman"/>
                      <w:kern w:val="2"/>
                      <w:sz w:val="21"/>
                      <w:szCs w:val="21"/>
                      <w:highlight w:val="none"/>
                      <w:lang w:val="en-US"/>
                    </w:rPr>
                  </w:pPr>
                  <w:r>
                    <w:rPr>
                      <w:rFonts w:hint="default" w:ascii="Times New Roman" w:hAnsi="Times New Roman" w:cs="Times New Roman"/>
                      <w:kern w:val="2"/>
                      <w:sz w:val="21"/>
                      <w:szCs w:val="21"/>
                      <w:highlight w:val="none"/>
                      <w:lang w:val="en-US" w:eastAsia="zh-CN"/>
                    </w:rPr>
                    <w:t>1354.8</w:t>
                  </w:r>
                </w:p>
              </w:tc>
              <w:tc>
                <w:tcPr>
                  <w:tcW w:w="785" w:type="pct"/>
                  <w:vAlign w:val="center"/>
                </w:tcPr>
                <w:p>
                  <w:pPr>
                    <w:pStyle w:val="95"/>
                    <w:spacing w:line="240" w:lineRule="auto"/>
                    <w:rPr>
                      <w:rFonts w:hint="default" w:ascii="Times New Roman" w:hAnsi="Times New Roman" w:cs="Times New Roman"/>
                      <w:kern w:val="2"/>
                      <w:sz w:val="21"/>
                      <w:szCs w:val="21"/>
                      <w:highlight w:val="none"/>
                    </w:rPr>
                  </w:pPr>
                  <w:r>
                    <w:rPr>
                      <w:rFonts w:hint="default" w:ascii="Times New Roman" w:hAnsi="Times New Roman" w:cs="Times New Roman"/>
                      <w:kern w:val="2"/>
                      <w:sz w:val="21"/>
                      <w:szCs w:val="21"/>
                      <w:highlight w:val="none"/>
                    </w:rPr>
                    <w:t>t/a</w:t>
                  </w:r>
                </w:p>
              </w:tc>
              <w:tc>
                <w:tcPr>
                  <w:tcW w:w="2101" w:type="pct"/>
                  <w:vAlign w:val="center"/>
                </w:tcPr>
                <w:p>
                  <w:pPr>
                    <w:pStyle w:val="95"/>
                    <w:spacing w:line="240" w:lineRule="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翼城县朗材废弃资源利用有限公司</w:t>
                  </w:r>
                </w:p>
              </w:tc>
            </w:tr>
          </w:tbl>
          <w:p>
            <w:pPr>
              <w:autoSpaceDE w:val="0"/>
              <w:autoSpaceDN w:val="0"/>
              <w:jc w:val="center"/>
              <w:rPr>
                <w:rFonts w:hint="default" w:ascii="Times New Roman" w:hAnsi="Times New Roman" w:cs="Times New Roman"/>
                <w:b/>
                <w:sz w:val="21"/>
                <w:szCs w:val="21"/>
                <w:highlight w:val="none"/>
              </w:rPr>
            </w:pPr>
            <w:r>
              <w:rPr>
                <w:rFonts w:hint="default" w:ascii="Times New Roman" w:hAnsi="Times New Roman" w:cs="Times New Roman"/>
                <w:b/>
                <w:sz w:val="21"/>
                <w:szCs w:val="21"/>
                <w:highlight w:val="none"/>
              </w:rPr>
              <w:t>表2-</w:t>
            </w:r>
            <w:r>
              <w:rPr>
                <w:rFonts w:hint="default" w:ascii="Times New Roman" w:hAnsi="Times New Roman" w:cs="Times New Roman"/>
                <w:b/>
                <w:sz w:val="21"/>
                <w:szCs w:val="21"/>
                <w:highlight w:val="none"/>
                <w:lang w:val="en-US" w:eastAsia="zh-CN"/>
              </w:rPr>
              <w:t>5 生物质燃料检验结果</w:t>
            </w:r>
            <w:r>
              <w:rPr>
                <w:rFonts w:hint="default" w:ascii="Times New Roman" w:hAnsi="Times New Roman" w:cs="Times New Roman"/>
                <w:b/>
                <w:sz w:val="21"/>
                <w:szCs w:val="21"/>
                <w:highlight w:val="none"/>
              </w:rPr>
              <w:t>表</w:t>
            </w:r>
          </w:p>
          <w:tbl>
            <w:tblPr>
              <w:tblStyle w:val="38"/>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911"/>
              <w:gridCol w:w="1081"/>
              <w:gridCol w:w="1384"/>
              <w:gridCol w:w="1269"/>
              <w:gridCol w:w="1349"/>
              <w:gridCol w:w="11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660" w:type="pct"/>
                  <w:tcBorders>
                    <w:tl2br w:val="nil"/>
                    <w:tr2bl w:val="nil"/>
                  </w:tcBorders>
                  <w:vAlign w:val="center"/>
                </w:tcPr>
                <w:p>
                  <w:pPr>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项目</w:t>
                  </w:r>
                </w:p>
              </w:tc>
              <w:tc>
                <w:tcPr>
                  <w:tcW w:w="555" w:type="pct"/>
                  <w:tcBorders>
                    <w:tl2br w:val="nil"/>
                    <w:tr2bl w:val="nil"/>
                  </w:tcBorders>
                  <w:vAlign w:val="center"/>
                </w:tcPr>
                <w:p>
                  <w:pPr>
                    <w:jc w:val="center"/>
                    <w:rPr>
                      <w:rFonts w:hint="default" w:ascii="Times New Roman" w:hAnsi="Times New Roman" w:cs="Times New Roman"/>
                      <w:b/>
                      <w:bCs/>
                      <w:sz w:val="21"/>
                      <w:szCs w:val="21"/>
                      <w:highlight w:val="none"/>
                      <w:lang w:val="en-US"/>
                    </w:rPr>
                  </w:pPr>
                  <w:r>
                    <w:rPr>
                      <w:rFonts w:hint="default" w:ascii="Times New Roman" w:hAnsi="Times New Roman" w:cs="Times New Roman"/>
                      <w:b/>
                      <w:bCs/>
                      <w:sz w:val="21"/>
                      <w:szCs w:val="21"/>
                      <w:highlight w:val="none"/>
                      <w:lang w:val="en-US" w:eastAsia="zh-CN"/>
                    </w:rPr>
                    <w:t>全水Mt</w:t>
                  </w:r>
                </w:p>
              </w:tc>
              <w:tc>
                <w:tcPr>
                  <w:tcW w:w="658" w:type="pct"/>
                  <w:tcBorders>
                    <w:tl2br w:val="nil"/>
                    <w:tr2bl w:val="nil"/>
                  </w:tcBorders>
                  <w:vAlign w:val="center"/>
                </w:tcPr>
                <w:p>
                  <w:pPr>
                    <w:jc w:val="center"/>
                    <w:rPr>
                      <w:rFonts w:hint="default" w:ascii="Times New Roman" w:hAnsi="Times New Roman" w:eastAsia="宋体" w:cs="Times New Roman"/>
                      <w:b/>
                      <w:bCs/>
                      <w:sz w:val="21"/>
                      <w:szCs w:val="21"/>
                      <w:highlight w:val="none"/>
                      <w:lang w:val="en-US" w:eastAsia="zh-CN"/>
                    </w:rPr>
                  </w:pPr>
                  <w:r>
                    <w:rPr>
                      <w:rFonts w:hint="eastAsia" w:ascii="Times New Roman" w:cs="Times New Roman"/>
                      <w:b/>
                      <w:bCs/>
                      <w:sz w:val="21"/>
                      <w:szCs w:val="21"/>
                      <w:highlight w:val="none"/>
                      <w:lang w:val="en-US" w:eastAsia="zh-CN"/>
                    </w:rPr>
                    <w:t>空气干燥基</w:t>
                  </w:r>
                  <w:r>
                    <w:rPr>
                      <w:rFonts w:hint="default" w:ascii="Times New Roman" w:hAnsi="Times New Roman" w:cs="Times New Roman"/>
                      <w:b/>
                      <w:bCs/>
                      <w:sz w:val="21"/>
                      <w:szCs w:val="21"/>
                      <w:highlight w:val="none"/>
                      <w:lang w:val="en-US" w:eastAsia="zh-CN"/>
                    </w:rPr>
                    <w:t>灰分Aad</w:t>
                  </w:r>
                </w:p>
              </w:tc>
              <w:tc>
                <w:tcPr>
                  <w:tcW w:w="842" w:type="pct"/>
                  <w:tcBorders>
                    <w:tl2br w:val="nil"/>
                    <w:tr2bl w:val="nil"/>
                  </w:tcBorders>
                  <w:vAlign w:val="center"/>
                </w:tcPr>
                <w:p>
                  <w:pPr>
                    <w:jc w:val="center"/>
                    <w:rPr>
                      <w:rFonts w:hint="default" w:ascii="Times New Roman" w:hAnsi="Times New Roman" w:cs="Times New Roman"/>
                      <w:b/>
                      <w:bCs/>
                      <w:sz w:val="21"/>
                      <w:szCs w:val="21"/>
                      <w:highlight w:val="none"/>
                      <w:lang w:val="en-US" w:eastAsia="zh-CN"/>
                    </w:rPr>
                  </w:pPr>
                  <w:r>
                    <w:rPr>
                      <w:rFonts w:hint="eastAsia" w:ascii="Times New Roman" w:cs="Times New Roman"/>
                      <w:b/>
                      <w:bCs/>
                      <w:sz w:val="21"/>
                      <w:szCs w:val="21"/>
                      <w:highlight w:val="none"/>
                      <w:lang w:val="en-US" w:eastAsia="zh-CN"/>
                    </w:rPr>
                    <w:t>干燥无灰基挥发分Vdaf</w:t>
                  </w:r>
                </w:p>
              </w:tc>
              <w:tc>
                <w:tcPr>
                  <w:tcW w:w="772" w:type="pct"/>
                  <w:tcBorders>
                    <w:tl2br w:val="nil"/>
                    <w:tr2bl w:val="nil"/>
                  </w:tcBorders>
                  <w:vAlign w:val="center"/>
                </w:tcPr>
                <w:p>
                  <w:pPr>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cs="Times New Roman"/>
                      <w:b/>
                      <w:bCs/>
                      <w:sz w:val="21"/>
                      <w:szCs w:val="21"/>
                      <w:highlight w:val="none"/>
                    </w:rPr>
                    <w:t>高位发热量k</w:t>
                  </w:r>
                  <w:r>
                    <w:rPr>
                      <w:rFonts w:hint="default" w:ascii="Times New Roman" w:hAnsi="Times New Roman" w:cs="Times New Roman"/>
                      <w:b/>
                      <w:bCs/>
                      <w:sz w:val="21"/>
                      <w:szCs w:val="21"/>
                      <w:highlight w:val="none"/>
                      <w:lang w:val="en-US" w:eastAsia="zh-CN"/>
                    </w:rPr>
                    <w:t>cal</w:t>
                  </w:r>
                  <w:r>
                    <w:rPr>
                      <w:rFonts w:hint="default" w:ascii="Times New Roman" w:hAnsi="Times New Roman" w:cs="Times New Roman"/>
                      <w:b/>
                      <w:bCs/>
                      <w:sz w:val="21"/>
                      <w:szCs w:val="21"/>
                      <w:highlight w:val="none"/>
                    </w:rPr>
                    <w:t>/</w:t>
                  </w:r>
                  <w:r>
                    <w:rPr>
                      <w:rFonts w:hint="default" w:ascii="Times New Roman" w:hAnsi="Times New Roman" w:cs="Times New Roman"/>
                      <w:b/>
                      <w:bCs/>
                      <w:sz w:val="21"/>
                      <w:szCs w:val="21"/>
                      <w:highlight w:val="none"/>
                      <w:lang w:val="en-US" w:eastAsia="zh-CN"/>
                    </w:rPr>
                    <w:t>kg</w:t>
                  </w:r>
                </w:p>
              </w:tc>
              <w:tc>
                <w:tcPr>
                  <w:tcW w:w="821" w:type="pct"/>
                  <w:tcBorders>
                    <w:tl2br w:val="nil"/>
                    <w:tr2bl w:val="nil"/>
                  </w:tcBorders>
                  <w:vAlign w:val="center"/>
                </w:tcPr>
                <w:p>
                  <w:pPr>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cs="Times New Roman"/>
                      <w:b/>
                      <w:bCs/>
                      <w:sz w:val="21"/>
                      <w:szCs w:val="21"/>
                      <w:highlight w:val="none"/>
                    </w:rPr>
                    <w:t>低位发热量k</w:t>
                  </w:r>
                  <w:r>
                    <w:rPr>
                      <w:rFonts w:hint="default" w:ascii="Times New Roman" w:hAnsi="Times New Roman" w:cs="Times New Roman"/>
                      <w:b/>
                      <w:bCs/>
                      <w:sz w:val="21"/>
                      <w:szCs w:val="21"/>
                      <w:highlight w:val="none"/>
                      <w:lang w:val="en-US" w:eastAsia="zh-CN"/>
                    </w:rPr>
                    <w:t>cal</w:t>
                  </w:r>
                  <w:r>
                    <w:rPr>
                      <w:rFonts w:hint="default" w:ascii="Times New Roman" w:hAnsi="Times New Roman" w:cs="Times New Roman"/>
                      <w:b/>
                      <w:bCs/>
                      <w:sz w:val="21"/>
                      <w:szCs w:val="21"/>
                      <w:highlight w:val="none"/>
                    </w:rPr>
                    <w:t>/</w:t>
                  </w:r>
                  <w:r>
                    <w:rPr>
                      <w:rFonts w:hint="default" w:ascii="Times New Roman" w:hAnsi="Times New Roman" w:cs="Times New Roman"/>
                      <w:b/>
                      <w:bCs/>
                      <w:sz w:val="21"/>
                      <w:szCs w:val="21"/>
                      <w:highlight w:val="none"/>
                      <w:lang w:val="en-US" w:eastAsia="zh-CN"/>
                    </w:rPr>
                    <w:t>kg</w:t>
                  </w:r>
                </w:p>
              </w:tc>
              <w:tc>
                <w:tcPr>
                  <w:tcW w:w="688" w:type="pct"/>
                  <w:tcBorders>
                    <w:tl2br w:val="nil"/>
                    <w:tr2bl w:val="nil"/>
                  </w:tcBorders>
                  <w:shd w:val="clear" w:color="auto" w:fill="auto"/>
                  <w:vAlign w:val="center"/>
                </w:tcPr>
                <w:p>
                  <w:pPr>
                    <w:jc w:val="center"/>
                    <w:rPr>
                      <w:rFonts w:hint="default" w:ascii="Times New Roman" w:hAnsi="Times New Roman" w:eastAsia="宋体" w:cs="Times New Roman"/>
                      <w:b/>
                      <w:bCs/>
                      <w:sz w:val="21"/>
                      <w:szCs w:val="21"/>
                      <w:lang w:val="en-US" w:eastAsia="zh-CN" w:bidi="ar-SA"/>
                    </w:rPr>
                  </w:pPr>
                  <w:r>
                    <w:rPr>
                      <w:rFonts w:hint="default" w:ascii="Times New Roman" w:hAnsi="Times New Roman" w:cs="Times New Roman"/>
                      <w:b/>
                      <w:bCs/>
                      <w:sz w:val="21"/>
                      <w:szCs w:val="21"/>
                      <w:lang w:val="en-US" w:eastAsia="zh-CN"/>
                    </w:rPr>
                    <w:t>全硫St.d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0" w:type="pct"/>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占比</w:t>
                  </w:r>
                  <w:r>
                    <w:rPr>
                      <w:rFonts w:hint="default" w:ascii="Times New Roman" w:hAnsi="Times New Roman" w:cs="Times New Roman"/>
                      <w:b/>
                      <w:bCs/>
                      <w:sz w:val="21"/>
                      <w:szCs w:val="21"/>
                      <w:highlight w:val="none"/>
                    </w:rPr>
                    <w:t>%</w:t>
                  </w:r>
                </w:p>
              </w:tc>
              <w:tc>
                <w:tcPr>
                  <w:tcW w:w="555" w:type="pct"/>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cs="Times New Roman"/>
                      <w:sz w:val="21"/>
                      <w:szCs w:val="21"/>
                      <w:highlight w:val="none"/>
                      <w:lang w:val="en-US" w:eastAsia="zh-CN"/>
                    </w:rPr>
                    <w:t>8.3</w:t>
                  </w:r>
                </w:p>
              </w:tc>
              <w:tc>
                <w:tcPr>
                  <w:tcW w:w="658" w:type="pct"/>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cs="Times New Roman"/>
                      <w:sz w:val="21"/>
                      <w:szCs w:val="21"/>
                      <w:highlight w:val="none"/>
                      <w:lang w:val="en-US" w:eastAsia="zh-CN"/>
                    </w:rPr>
                    <w:t>3.23</w:t>
                  </w:r>
                </w:p>
              </w:tc>
              <w:tc>
                <w:tcPr>
                  <w:tcW w:w="842" w:type="pct"/>
                  <w:tcBorders>
                    <w:tl2br w:val="nil"/>
                    <w:tr2bl w:val="nil"/>
                  </w:tcBorders>
                  <w:vAlign w:val="center"/>
                </w:tcPr>
                <w:p>
                  <w:pPr>
                    <w:jc w:val="center"/>
                    <w:rPr>
                      <w:rFonts w:hint="default" w:ascii="Times New Roman" w:hAnsi="Times New Roman" w:cs="Times New Roman"/>
                      <w:sz w:val="21"/>
                      <w:szCs w:val="21"/>
                      <w:highlight w:val="none"/>
                      <w:lang w:val="en-US" w:eastAsia="zh-CN"/>
                    </w:rPr>
                  </w:pPr>
                  <w:r>
                    <w:rPr>
                      <w:rFonts w:hint="eastAsia" w:ascii="Times New Roman" w:cs="Times New Roman"/>
                      <w:sz w:val="21"/>
                      <w:szCs w:val="21"/>
                      <w:highlight w:val="none"/>
                      <w:lang w:val="en-US" w:eastAsia="zh-CN"/>
                    </w:rPr>
                    <w:t>16.7</w:t>
                  </w:r>
                </w:p>
              </w:tc>
              <w:tc>
                <w:tcPr>
                  <w:tcW w:w="772" w:type="pct"/>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cs="Times New Roman"/>
                      <w:sz w:val="21"/>
                      <w:szCs w:val="21"/>
                      <w:highlight w:val="none"/>
                      <w:lang w:val="en-US" w:eastAsia="zh-CN"/>
                    </w:rPr>
                    <w:t>4723</w:t>
                  </w:r>
                </w:p>
              </w:tc>
              <w:tc>
                <w:tcPr>
                  <w:tcW w:w="821" w:type="pct"/>
                  <w:tcBorders>
                    <w:tl2br w:val="nil"/>
                    <w:tr2bl w:val="nil"/>
                  </w:tcBorders>
                  <w:vAlign w:val="center"/>
                </w:tcPr>
                <w:p>
                  <w:pPr>
                    <w:jc w:val="center"/>
                    <w:rPr>
                      <w:rFonts w:hint="default" w:ascii="Times New Roman" w:hAnsi="Times New Roman" w:eastAsia="宋体" w:cs="Times New Roman"/>
                      <w:sz w:val="21"/>
                      <w:szCs w:val="21"/>
                      <w:highlight w:val="none"/>
                      <w:lang w:val="en-US" w:eastAsia="zh-CN"/>
                    </w:rPr>
                  </w:pPr>
                  <w:r>
                    <w:rPr>
                      <w:rFonts w:hint="eastAsia" w:ascii="Times New Roman" w:cs="Times New Roman"/>
                      <w:sz w:val="21"/>
                      <w:szCs w:val="21"/>
                      <w:highlight w:val="none"/>
                      <w:lang w:val="en-US" w:eastAsia="zh-CN"/>
                    </w:rPr>
                    <w:t>4000</w:t>
                  </w:r>
                </w:p>
              </w:tc>
              <w:tc>
                <w:tcPr>
                  <w:tcW w:w="688" w:type="pct"/>
                  <w:tcBorders>
                    <w:tl2br w:val="nil"/>
                    <w:tr2bl w:val="nil"/>
                  </w:tcBorders>
                  <w:shd w:val="clear" w:color="auto" w:fill="auto"/>
                  <w:vAlign w:val="center"/>
                </w:tcPr>
                <w:p>
                  <w:pPr>
                    <w:jc w:val="center"/>
                    <w:rPr>
                      <w:rFonts w:hint="default" w:ascii="Times New Roman" w:hAnsi="Times New Roman" w:eastAsia="宋体" w:cs="Times New Roman"/>
                      <w:sz w:val="21"/>
                      <w:szCs w:val="21"/>
                      <w:lang w:val="en-US" w:eastAsia="zh-CN" w:bidi="ar-SA"/>
                    </w:rPr>
                  </w:pPr>
                  <w:r>
                    <w:rPr>
                      <w:rFonts w:hint="default" w:ascii="Times New Roman" w:hAnsi="Times New Roman" w:cs="Times New Roman"/>
                      <w:sz w:val="21"/>
                      <w:szCs w:val="21"/>
                      <w:lang w:val="en-US" w:eastAsia="zh-CN"/>
                    </w:rPr>
                    <w:t>0.01</w:t>
                  </w:r>
                </w:p>
              </w:tc>
            </w:tr>
          </w:tbl>
          <w:p>
            <w:pPr>
              <w:keepNext w:val="0"/>
              <w:keepLines w:val="0"/>
              <w:pageBreakBefore w:val="0"/>
              <w:widowControl w:val="0"/>
              <w:kinsoku/>
              <w:wordWrap/>
              <w:overflowPunct/>
              <w:topLinePunct w:val="0"/>
              <w:bidi w:val="0"/>
              <w:spacing w:beforeLines="0" w:afterLines="0" w:line="460" w:lineRule="atLeast"/>
              <w:ind w:firstLine="482" w:firstLineChars="200"/>
              <w:jc w:val="both"/>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6、</w:t>
            </w:r>
            <w:r>
              <w:rPr>
                <w:rFonts w:hint="default" w:ascii="Times New Roman" w:hAnsi="Times New Roman" w:cs="Times New Roman"/>
                <w:b/>
                <w:bCs/>
                <w:color w:val="auto"/>
                <w:sz w:val="24"/>
                <w:szCs w:val="24"/>
                <w:highlight w:val="none"/>
              </w:rPr>
              <w:t>平面布置</w:t>
            </w:r>
          </w:p>
          <w:p>
            <w:pPr>
              <w:keepNext w:val="0"/>
              <w:keepLines w:val="0"/>
              <w:pageBreakBefore w:val="0"/>
              <w:widowControl w:val="0"/>
              <w:kinsoku/>
              <w:wordWrap/>
              <w:overflowPunct/>
              <w:topLinePunct w:val="0"/>
              <w:autoSpaceDE w:val="0"/>
              <w:autoSpaceDN w:val="0"/>
              <w:bidi w:val="0"/>
              <w:adjustRightInd w:val="0"/>
              <w:snapToGrid w:val="0"/>
              <w:spacing w:line="460" w:lineRule="atLeas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kern w:val="0"/>
                <w:sz w:val="24"/>
                <w:highlight w:val="none"/>
                <w:lang w:val="en-US" w:eastAsia="zh-CN"/>
              </w:rPr>
              <w:t>本项目租用</w:t>
            </w:r>
            <w:r>
              <w:rPr>
                <w:rFonts w:hint="eastAsia" w:ascii="Times New Roman" w:cs="Times New Roman"/>
                <w:color w:val="auto"/>
                <w:kern w:val="0"/>
                <w:sz w:val="24"/>
                <w:highlight w:val="none"/>
                <w:lang w:eastAsia="zh-CN"/>
              </w:rPr>
              <w:t>石胜强塑料制品厂</w:t>
            </w:r>
            <w:r>
              <w:rPr>
                <w:rFonts w:hint="default" w:ascii="Times New Roman" w:hAnsi="Times New Roman" w:cs="Times New Roman"/>
                <w:color w:val="auto"/>
                <w:kern w:val="0"/>
                <w:sz w:val="24"/>
                <w:highlight w:val="none"/>
                <w:lang w:val="en-US" w:eastAsia="zh-CN"/>
              </w:rPr>
              <w:t>用地</w:t>
            </w:r>
            <w:r>
              <w:rPr>
                <w:rFonts w:hint="default" w:ascii="Times New Roman" w:hAnsi="Times New Roman" w:cs="Times New Roman"/>
                <w:color w:val="auto"/>
                <w:sz w:val="24"/>
                <w:szCs w:val="24"/>
                <w:highlight w:val="none"/>
                <w:lang w:val="en-US" w:eastAsia="zh-CN"/>
              </w:rPr>
              <w:t>，项目锅炉房、生产区位于厂区北侧，洗涤工序位于生产车间西北侧，生产车间南侧设有布草区（用于存放清洗后布草）。厂房</w:t>
            </w:r>
            <w:r>
              <w:rPr>
                <w:rFonts w:hint="eastAsia" w:ascii="Times New Roman" w:cs="Times New Roman"/>
                <w:color w:val="auto"/>
                <w:sz w:val="24"/>
                <w:szCs w:val="24"/>
                <w:highlight w:val="none"/>
                <w:lang w:val="en-US" w:eastAsia="zh-CN"/>
              </w:rPr>
              <w:t>东</w:t>
            </w:r>
            <w:r>
              <w:rPr>
                <w:rFonts w:hint="default" w:ascii="Times New Roman" w:hAnsi="Times New Roman" w:cs="Times New Roman"/>
                <w:color w:val="auto"/>
                <w:sz w:val="24"/>
                <w:szCs w:val="24"/>
                <w:highlight w:val="none"/>
                <w:lang w:val="en-US" w:eastAsia="zh-CN"/>
              </w:rPr>
              <w:t>侧设有一般固体废物暂存</w:t>
            </w:r>
            <w:r>
              <w:rPr>
                <w:rFonts w:hint="eastAsia" w:ascii="Times New Roman" w:cs="Times New Roman"/>
                <w:color w:val="auto"/>
                <w:sz w:val="24"/>
                <w:szCs w:val="24"/>
                <w:highlight w:val="none"/>
                <w:lang w:val="en-US" w:eastAsia="zh-CN"/>
              </w:rPr>
              <w:t>区</w:t>
            </w:r>
            <w:r>
              <w:rPr>
                <w:rFonts w:hint="default" w:ascii="Times New Roman" w:hAnsi="Times New Roman" w:cs="Times New Roman"/>
                <w:color w:val="auto"/>
                <w:sz w:val="24"/>
                <w:szCs w:val="24"/>
                <w:highlight w:val="none"/>
                <w:lang w:val="en-US" w:eastAsia="zh-CN"/>
              </w:rPr>
              <w:t>。各生产单元分布明确，均按工艺流程布置，避免交叉和迂回。</w:t>
            </w:r>
          </w:p>
          <w:p>
            <w:pPr>
              <w:keepNext w:val="0"/>
              <w:keepLines w:val="0"/>
              <w:pageBreakBefore w:val="0"/>
              <w:widowControl w:val="0"/>
              <w:kinsoku/>
              <w:wordWrap/>
              <w:overflowPunct/>
              <w:topLinePunct w:val="0"/>
              <w:autoSpaceDE w:val="0"/>
              <w:autoSpaceDN w:val="0"/>
              <w:bidi w:val="0"/>
              <w:adjustRightInd w:val="0"/>
              <w:snapToGrid w:val="0"/>
              <w:spacing w:line="460" w:lineRule="atLeas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综上，本项目厂区平面布置合理。</w:t>
            </w:r>
            <w:r>
              <w:rPr>
                <w:rFonts w:hint="default" w:ascii="Times New Roman" w:hAnsi="Times New Roman" w:eastAsia="宋体" w:cs="Times New Roman"/>
                <w:color w:val="auto"/>
                <w:sz w:val="24"/>
                <w:szCs w:val="24"/>
                <w:highlight w:val="none"/>
                <w:lang w:val="en-US" w:eastAsia="zh-CN"/>
              </w:rPr>
              <w:t>厂区总平面布置图见附图</w:t>
            </w:r>
            <w:r>
              <w:rPr>
                <w:rFonts w:hint="default" w:ascii="Times New Roman" w:hAnsi="Times New Roman" w:cs="Times New Roman"/>
                <w:color w:val="auto"/>
                <w:sz w:val="24"/>
                <w:szCs w:val="24"/>
                <w:highlight w:val="none"/>
                <w:lang w:val="en-US" w:eastAsia="zh-CN"/>
              </w:rPr>
              <w:t>4。</w:t>
            </w:r>
          </w:p>
          <w:p>
            <w:pPr>
              <w:keepNext w:val="0"/>
              <w:keepLines w:val="0"/>
              <w:pageBreakBefore w:val="0"/>
              <w:widowControl w:val="0"/>
              <w:numPr>
                <w:ilvl w:val="0"/>
                <w:numId w:val="0"/>
              </w:numPr>
              <w:kinsoku/>
              <w:wordWrap/>
              <w:overflowPunct/>
              <w:topLinePunct w:val="0"/>
              <w:autoSpaceDE/>
              <w:autoSpaceDN/>
              <w:bidi w:val="0"/>
              <w:adjustRightInd/>
              <w:snapToGrid/>
              <w:spacing w:line="460" w:lineRule="atLeast"/>
              <w:ind w:left="0" w:leftChars="0" w:right="0" w:rightChars="0" w:firstLine="482" w:firstLineChars="200"/>
              <w:jc w:val="left"/>
              <w:textAlignment w:val="auto"/>
              <w:outlineLvl w:val="9"/>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7、公用工程</w:t>
            </w:r>
          </w:p>
          <w:p>
            <w:pPr>
              <w:keepNext w:val="0"/>
              <w:keepLines w:val="0"/>
              <w:pageBreakBefore w:val="0"/>
              <w:widowControl w:val="0"/>
              <w:kinsoku/>
              <w:wordWrap/>
              <w:overflowPunct/>
              <w:topLinePunct w:val="0"/>
              <w:autoSpaceDE/>
              <w:autoSpaceDN/>
              <w:bidi w:val="0"/>
              <w:adjustRightInd w:val="0"/>
              <w:snapToGrid w:val="0"/>
              <w:spacing w:line="460" w:lineRule="atLeast"/>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1）给排水 </w:t>
            </w:r>
          </w:p>
          <w:p>
            <w:pPr>
              <w:keepNext w:val="0"/>
              <w:keepLines w:val="0"/>
              <w:pageBreakBefore w:val="0"/>
              <w:widowControl w:val="0"/>
              <w:kinsoku/>
              <w:wordWrap/>
              <w:overflowPunct/>
              <w:topLinePunct w:val="0"/>
              <w:autoSpaceDE/>
              <w:autoSpaceDN/>
              <w:bidi w:val="0"/>
              <w:adjustRightInd w:val="0"/>
              <w:snapToGrid w:val="0"/>
              <w:spacing w:line="460" w:lineRule="atLeast"/>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（1）给水 </w:t>
            </w:r>
          </w:p>
          <w:p>
            <w:pPr>
              <w:keepNext w:val="0"/>
              <w:keepLines w:val="0"/>
              <w:pageBreakBefore w:val="0"/>
              <w:widowControl w:val="0"/>
              <w:kinsoku/>
              <w:wordWrap/>
              <w:overflowPunct/>
              <w:topLinePunct w:val="0"/>
              <w:autoSpaceDE/>
              <w:autoSpaceDN/>
              <w:bidi w:val="0"/>
              <w:adjustRightInd w:val="0"/>
              <w:snapToGrid w:val="0"/>
              <w:spacing w:line="460" w:lineRule="atLeas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项目供水</w:t>
            </w:r>
            <w:r>
              <w:rPr>
                <w:rFonts w:hint="default" w:ascii="Times New Roman" w:hAnsi="Times New Roman" w:cs="Times New Roman"/>
                <w:color w:val="auto"/>
                <w:sz w:val="24"/>
                <w:szCs w:val="24"/>
                <w:highlight w:val="none"/>
                <w:lang w:val="en-US" w:eastAsia="zh-CN"/>
              </w:rPr>
              <w:t>来源</w:t>
            </w:r>
            <w:r>
              <w:rPr>
                <w:rFonts w:hint="default" w:ascii="Times New Roman" w:hAnsi="Times New Roman" w:eastAsia="宋体" w:cs="Times New Roman"/>
                <w:color w:val="auto"/>
                <w:sz w:val="24"/>
                <w:szCs w:val="24"/>
                <w:highlight w:val="none"/>
                <w:lang w:val="en-US" w:eastAsia="zh-CN"/>
              </w:rPr>
              <w:t>由</w:t>
            </w:r>
            <w:r>
              <w:rPr>
                <w:rFonts w:hint="eastAsia" w:ascii="Times New Roman" w:cs="Times New Roman"/>
                <w:color w:val="auto"/>
                <w:sz w:val="24"/>
                <w:szCs w:val="24"/>
                <w:highlight w:val="none"/>
                <w:lang w:val="en-US" w:eastAsia="zh-CN"/>
              </w:rPr>
              <w:t>谭村</w:t>
            </w:r>
            <w:r>
              <w:rPr>
                <w:rFonts w:hint="default" w:ascii="Times New Roman" w:hAnsi="Times New Roman" w:cs="Times New Roman"/>
                <w:color w:val="auto"/>
                <w:sz w:val="24"/>
              </w:rPr>
              <w:t>提供</w:t>
            </w:r>
            <w:r>
              <w:rPr>
                <w:rFonts w:hint="default" w:ascii="Times New Roman" w:hAnsi="Times New Roman" w:eastAsia="宋体" w:cs="Times New Roman"/>
                <w:color w:val="auto"/>
                <w:sz w:val="24"/>
                <w:szCs w:val="24"/>
                <w:highlight w:val="none"/>
                <w:lang w:val="en-US" w:eastAsia="zh-CN"/>
              </w:rPr>
              <w:t>，可满足本项目用水需求</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60" w:lineRule="atLeas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1）给水：本项目用水包括洗涤用水、锅炉用水以及员工生活用水。</w:t>
            </w:r>
          </w:p>
          <w:p>
            <w:pPr>
              <w:keepNext w:val="0"/>
              <w:keepLines w:val="0"/>
              <w:pageBreakBefore w:val="0"/>
              <w:widowControl w:val="0"/>
              <w:kinsoku/>
              <w:wordWrap/>
              <w:overflowPunct/>
              <w:topLinePunct w:val="0"/>
              <w:autoSpaceDE/>
              <w:autoSpaceDN/>
              <w:bidi w:val="0"/>
              <w:adjustRightInd w:val="0"/>
              <w:snapToGrid w:val="0"/>
              <w:spacing w:line="460" w:lineRule="atLeas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①生活用水</w:t>
            </w:r>
          </w:p>
          <w:p>
            <w:pPr>
              <w:keepNext w:val="0"/>
              <w:keepLines w:val="0"/>
              <w:pageBreakBefore w:val="0"/>
              <w:widowControl w:val="0"/>
              <w:kinsoku/>
              <w:wordWrap/>
              <w:overflowPunct/>
              <w:topLinePunct w:val="0"/>
              <w:autoSpaceDE/>
              <w:autoSpaceDN/>
              <w:bidi w:val="0"/>
              <w:adjustRightInd w:val="0"/>
              <w:snapToGrid w:val="0"/>
              <w:spacing w:line="460" w:lineRule="atLeas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本项目职工定员</w:t>
            </w:r>
            <w:r>
              <w:rPr>
                <w:rFonts w:hint="eastAsia" w:ascii="Times New Roman" w:cs="Times New Roman"/>
                <w:color w:val="auto"/>
                <w:sz w:val="24"/>
                <w:szCs w:val="24"/>
                <w:highlight w:val="none"/>
                <w:lang w:val="en-US" w:eastAsia="zh-CN"/>
              </w:rPr>
              <w:t>9</w:t>
            </w:r>
            <w:r>
              <w:rPr>
                <w:rFonts w:hint="default" w:ascii="Times New Roman" w:hAnsi="Times New Roman" w:cs="Times New Roman"/>
                <w:color w:val="auto"/>
                <w:sz w:val="24"/>
                <w:szCs w:val="24"/>
                <w:highlight w:val="none"/>
                <w:lang w:val="en-US" w:eastAsia="zh-CN"/>
              </w:rPr>
              <w:t>人，不安排食宿，参考《山西省用水定额》（DB14/T1049.4-2021），用水量按70L/人·d计，则职工生活用水量为0.</w:t>
            </w:r>
            <w:r>
              <w:rPr>
                <w:rFonts w:hint="eastAsia" w:ascii="Times New Roman" w:cs="Times New Roman"/>
                <w:color w:val="auto"/>
                <w:sz w:val="24"/>
                <w:szCs w:val="24"/>
                <w:highlight w:val="none"/>
                <w:lang w:val="en-US" w:eastAsia="zh-CN"/>
              </w:rPr>
              <w:t>63</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w:t>
            </w:r>
            <w:r>
              <w:rPr>
                <w:rFonts w:hint="eastAsia" w:ascii="Times New Roman" w:cs="Times New Roman"/>
                <w:color w:val="auto"/>
                <w:sz w:val="24"/>
                <w:szCs w:val="24"/>
                <w:highlight w:val="none"/>
                <w:lang w:val="en-US" w:eastAsia="zh-CN"/>
              </w:rPr>
              <w:t>226.8</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/a）。</w:t>
            </w:r>
          </w:p>
          <w:p>
            <w:pPr>
              <w:keepNext w:val="0"/>
              <w:keepLines w:val="0"/>
              <w:pageBreakBefore w:val="0"/>
              <w:widowControl w:val="0"/>
              <w:kinsoku/>
              <w:wordWrap/>
              <w:overflowPunct/>
              <w:topLinePunct w:val="0"/>
              <w:autoSpaceDE/>
              <w:autoSpaceDN/>
              <w:bidi w:val="0"/>
              <w:adjustRightInd w:val="0"/>
              <w:snapToGrid w:val="0"/>
              <w:spacing w:line="460" w:lineRule="atLeas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②洗涤用水</w:t>
            </w:r>
          </w:p>
          <w:p>
            <w:pPr>
              <w:keepNext w:val="0"/>
              <w:keepLines w:val="0"/>
              <w:pageBreakBefore w:val="0"/>
              <w:widowControl w:val="0"/>
              <w:kinsoku/>
              <w:wordWrap/>
              <w:overflowPunct/>
              <w:topLinePunct w:val="0"/>
              <w:autoSpaceDE/>
              <w:autoSpaceDN/>
              <w:bidi w:val="0"/>
              <w:adjustRightInd w:val="0"/>
              <w:snapToGrid w:val="0"/>
              <w:spacing w:line="460" w:lineRule="atLeas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洗涤用水量按照洗衣机的用水参数计算，</w:t>
            </w:r>
            <w:bookmarkStart w:id="45" w:name="OLE_LINK4"/>
            <w:r>
              <w:rPr>
                <w:rFonts w:hint="default" w:ascii="Times New Roman" w:hAnsi="Times New Roman" w:cs="Times New Roman"/>
                <w:color w:val="auto"/>
                <w:sz w:val="24"/>
                <w:szCs w:val="24"/>
                <w:highlight w:val="none"/>
                <w:lang w:val="en-US" w:eastAsia="zh-CN"/>
              </w:rPr>
              <w:t>XGQ-100F洗衣机最大额定洗涤容量为100kg，每洗100kg衣物用水1.</w:t>
            </w:r>
            <w:r>
              <w:rPr>
                <w:rFonts w:hint="eastAsia" w:asci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bookmarkEnd w:id="45"/>
            <w:r>
              <w:rPr>
                <w:rFonts w:hint="default" w:ascii="Times New Roman" w:hAnsi="Times New Roman" w:cs="Times New Roman"/>
                <w:color w:val="auto"/>
                <w:sz w:val="24"/>
                <w:szCs w:val="24"/>
                <w:highlight w:val="none"/>
                <w:lang w:val="en-US" w:eastAsia="zh-CN"/>
              </w:rPr>
              <w:t>，XGQ-50F洗衣机最大额定洗涤容量为</w:t>
            </w:r>
            <w:r>
              <w:rPr>
                <w:rFonts w:hint="eastAsia" w:asci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0kg，每洗</w:t>
            </w:r>
            <w:r>
              <w:rPr>
                <w:rFonts w:hint="eastAsia" w:ascii="Times New Roman" w:cs="Times New Roman"/>
                <w:color w:val="auto"/>
                <w:sz w:val="24"/>
                <w:szCs w:val="24"/>
                <w:highlight w:val="none"/>
                <w:lang w:val="en-US" w:eastAsia="zh-CN"/>
              </w:rPr>
              <w:t>50</w:t>
            </w:r>
            <w:r>
              <w:rPr>
                <w:rFonts w:hint="default" w:ascii="Times New Roman" w:hAnsi="Times New Roman" w:cs="Times New Roman"/>
                <w:color w:val="auto"/>
                <w:sz w:val="24"/>
                <w:szCs w:val="24"/>
                <w:highlight w:val="none"/>
                <w:lang w:val="en-US" w:eastAsia="zh-CN"/>
              </w:rPr>
              <w:t>kg衣物用水</w:t>
            </w:r>
            <w:r>
              <w:rPr>
                <w:rFonts w:hint="eastAsia" w:ascii="Times New Roman" w:cs="Times New Roman"/>
                <w:color w:val="auto"/>
                <w:sz w:val="24"/>
                <w:szCs w:val="24"/>
                <w:highlight w:val="none"/>
                <w:lang w:val="en-US" w:eastAsia="zh-CN"/>
              </w:rPr>
              <w:t>0.8</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，每套布草重量为2</w:t>
            </w:r>
            <w:r>
              <w:rPr>
                <w:rFonts w:hint="eastAsia" w:asci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kg，项目年洗涤量为</w:t>
            </w:r>
            <w:r>
              <w:rPr>
                <w:rFonts w:hint="eastAsia" w:asci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lang w:val="en-US" w:eastAsia="zh-CN"/>
              </w:rPr>
              <w:t>万套，则项目洗涤用水总量为</w:t>
            </w:r>
            <w:r>
              <w:rPr>
                <w:rFonts w:hint="eastAsia" w:ascii="Times New Roman" w:cs="Times New Roman"/>
                <w:color w:val="auto"/>
                <w:sz w:val="24"/>
                <w:szCs w:val="24"/>
                <w:highlight w:val="none"/>
                <w:lang w:val="en-US" w:eastAsia="zh-CN"/>
              </w:rPr>
              <w:t>8.89</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w:t>
            </w:r>
            <w:r>
              <w:rPr>
                <w:rFonts w:hint="eastAsia" w:ascii="Times New Roman" w:cs="Times New Roman"/>
                <w:color w:val="auto"/>
                <w:sz w:val="24"/>
                <w:szCs w:val="24"/>
                <w:highlight w:val="none"/>
                <w:lang w:val="en-US" w:eastAsia="zh-CN"/>
              </w:rPr>
              <w:t>3200</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/a。</w:t>
            </w:r>
          </w:p>
          <w:p>
            <w:pPr>
              <w:keepNext w:val="0"/>
              <w:keepLines w:val="0"/>
              <w:pageBreakBefore w:val="0"/>
              <w:widowControl w:val="0"/>
              <w:kinsoku/>
              <w:wordWrap/>
              <w:overflowPunct/>
              <w:topLinePunct w:val="0"/>
              <w:autoSpaceDE/>
              <w:autoSpaceDN/>
              <w:bidi w:val="0"/>
              <w:adjustRightInd w:val="0"/>
              <w:snapToGrid w:val="0"/>
              <w:spacing w:line="460" w:lineRule="atLeas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③锅炉用水（软水）</w:t>
            </w:r>
          </w:p>
          <w:p>
            <w:pPr>
              <w:keepNext w:val="0"/>
              <w:keepLines w:val="0"/>
              <w:pageBreakBefore w:val="0"/>
              <w:widowControl w:val="0"/>
              <w:kinsoku/>
              <w:wordWrap/>
              <w:overflowPunct/>
              <w:topLinePunct w:val="0"/>
              <w:autoSpaceDE/>
              <w:autoSpaceDN/>
              <w:bidi w:val="0"/>
              <w:adjustRightInd w:val="0"/>
              <w:snapToGrid w:val="0"/>
              <w:spacing w:line="460" w:lineRule="atLeas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w:t>
            </w:r>
            <w:r>
              <w:rPr>
                <w:rFonts w:hint="eastAsia" w:ascii="Times New Roman" w:cs="Times New Roman"/>
                <w:color w:val="auto"/>
                <w:sz w:val="24"/>
                <w:szCs w:val="24"/>
                <w:highlight w:val="none"/>
                <w:lang w:val="en-US" w:eastAsia="zh-CN"/>
              </w:rPr>
              <w:t>建设</w:t>
            </w:r>
            <w:r>
              <w:rPr>
                <w:rFonts w:hint="default" w:ascii="Times New Roman" w:hAnsi="Times New Roman" w:cs="Times New Roman"/>
                <w:color w:val="auto"/>
                <w:sz w:val="24"/>
                <w:szCs w:val="24"/>
                <w:highlight w:val="none"/>
                <w:lang w:val="en-US" w:eastAsia="zh-CN"/>
              </w:rPr>
              <w:t>一台2.5t/h生物质锅炉，为烘干和烫平工序提供高温蒸汽。锅炉年运行360天，每天运行时间8小时，参考</w:t>
            </w:r>
            <w:bookmarkStart w:id="46" w:name="OLE_LINK3"/>
            <w:r>
              <w:rPr>
                <w:rFonts w:hint="default" w:ascii="Times New Roman" w:hAnsi="Times New Roman" w:cs="Times New Roman"/>
                <w:color w:val="auto"/>
                <w:sz w:val="24"/>
                <w:szCs w:val="24"/>
                <w:highlight w:val="none"/>
                <w:lang w:val="en-US" w:eastAsia="zh-CN"/>
              </w:rPr>
              <w:t>《山西省用水定额》（DB14/T1049.2-2021）中热力生产和供应--蒸汽（锅炉用水），用水定额为1m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/t，</w:t>
            </w:r>
            <w:bookmarkEnd w:id="46"/>
            <w:r>
              <w:rPr>
                <w:rFonts w:hint="default" w:ascii="Times New Roman" w:hAnsi="Times New Roman" w:cs="Times New Roman"/>
                <w:color w:val="auto"/>
                <w:sz w:val="24"/>
                <w:szCs w:val="24"/>
                <w:highlight w:val="none"/>
                <w:lang w:val="en-US" w:eastAsia="zh-CN"/>
              </w:rPr>
              <w:t>则本项目生物质锅炉蒸汽用水为20m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/d，7200m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/a。生成的蒸汽除损耗之外，基本在烘干结束之后形成冷凝水，冷凝水回流至蒸发水箱之中进行重复循环利用。冷凝水回收率按10%计，则冷凝水量为2m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/d，720m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/a。故蒸汽发生器每天的用水量为每天的补水量，则蒸汽发生器实际用水量为18m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/d，6480m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/a。</w:t>
            </w:r>
          </w:p>
          <w:p>
            <w:pPr>
              <w:keepNext w:val="0"/>
              <w:keepLines w:val="0"/>
              <w:pageBreakBefore w:val="0"/>
              <w:widowControl w:val="0"/>
              <w:kinsoku/>
              <w:wordWrap/>
              <w:overflowPunct/>
              <w:topLinePunct w:val="0"/>
              <w:autoSpaceDE/>
              <w:autoSpaceDN/>
              <w:bidi w:val="0"/>
              <w:adjustRightInd w:val="0"/>
              <w:snapToGrid w:val="0"/>
              <w:spacing w:line="460" w:lineRule="atLeas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2）排水：本项目排水主要为生活污水、洗涤废水、锅炉定排水。</w:t>
            </w:r>
          </w:p>
          <w:p>
            <w:pPr>
              <w:keepNext w:val="0"/>
              <w:keepLines w:val="0"/>
              <w:pageBreakBefore w:val="0"/>
              <w:widowControl w:val="0"/>
              <w:kinsoku/>
              <w:wordWrap/>
              <w:overflowPunct/>
              <w:topLinePunct w:val="0"/>
              <w:autoSpaceDE/>
              <w:autoSpaceDN/>
              <w:bidi w:val="0"/>
              <w:adjustRightInd w:val="0"/>
              <w:snapToGrid w:val="0"/>
              <w:spacing w:line="460" w:lineRule="atLeas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①生活污水</w:t>
            </w:r>
          </w:p>
          <w:p>
            <w:pPr>
              <w:keepNext w:val="0"/>
              <w:keepLines w:val="0"/>
              <w:pageBreakBefore w:val="0"/>
              <w:widowControl w:val="0"/>
              <w:kinsoku/>
              <w:wordWrap/>
              <w:overflowPunct/>
              <w:topLinePunct w:val="0"/>
              <w:autoSpaceDE/>
              <w:autoSpaceDN/>
              <w:bidi w:val="0"/>
              <w:adjustRightInd w:val="0"/>
              <w:snapToGrid w:val="0"/>
              <w:spacing w:line="460" w:lineRule="atLeas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本项目生活污水按生活用水量的80%计，本项目生活污水排放量0.</w:t>
            </w:r>
            <w:r>
              <w:rPr>
                <w:rFonts w:hint="eastAsia" w:asci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w:t>
            </w:r>
            <w:r>
              <w:rPr>
                <w:rFonts w:hint="eastAsia" w:ascii="Times New Roman" w:cs="Times New Roman"/>
                <w:color w:val="auto"/>
                <w:sz w:val="24"/>
                <w:szCs w:val="24"/>
                <w:highlight w:val="none"/>
                <w:lang w:val="en-US" w:eastAsia="zh-CN"/>
              </w:rPr>
              <w:t>181.44</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/a。</w:t>
            </w:r>
          </w:p>
          <w:p>
            <w:pPr>
              <w:keepNext w:val="0"/>
              <w:keepLines w:val="0"/>
              <w:pageBreakBefore w:val="0"/>
              <w:widowControl w:val="0"/>
              <w:kinsoku/>
              <w:wordWrap/>
              <w:overflowPunct/>
              <w:topLinePunct w:val="0"/>
              <w:autoSpaceDE/>
              <w:autoSpaceDN/>
              <w:bidi w:val="0"/>
              <w:adjustRightInd w:val="0"/>
              <w:snapToGrid w:val="0"/>
              <w:spacing w:line="460" w:lineRule="atLeas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②洗涤废水</w:t>
            </w:r>
          </w:p>
          <w:p>
            <w:pPr>
              <w:keepNext w:val="0"/>
              <w:keepLines w:val="0"/>
              <w:pageBreakBefore w:val="0"/>
              <w:widowControl w:val="0"/>
              <w:kinsoku/>
              <w:wordWrap/>
              <w:overflowPunct/>
              <w:topLinePunct w:val="0"/>
              <w:autoSpaceDE/>
              <w:autoSpaceDN/>
              <w:bidi w:val="0"/>
              <w:adjustRightInd w:val="0"/>
              <w:snapToGrid w:val="0"/>
              <w:spacing w:line="460" w:lineRule="atLeas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洗涤废水排水量按用水量的9</w:t>
            </w:r>
            <w:r>
              <w:rPr>
                <w:rFonts w:hint="eastAsia" w:asci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lang w:val="en-US" w:eastAsia="zh-CN"/>
              </w:rPr>
              <w:t>%计，则本项目洗涤废水排放量</w:t>
            </w:r>
            <w:r>
              <w:rPr>
                <w:rFonts w:hint="eastAsia" w:ascii="Times New Roman" w:cs="Times New Roman"/>
                <w:color w:val="auto"/>
                <w:sz w:val="24"/>
                <w:szCs w:val="24"/>
                <w:highlight w:val="none"/>
                <w:lang w:val="en-US" w:eastAsia="zh-CN"/>
              </w:rPr>
              <w:t>8.71</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w:t>
            </w:r>
            <w:r>
              <w:rPr>
                <w:rFonts w:hint="eastAsia" w:ascii="Times New Roman" w:cs="Times New Roman"/>
                <w:color w:val="auto"/>
                <w:sz w:val="24"/>
                <w:szCs w:val="24"/>
                <w:highlight w:val="none"/>
                <w:lang w:val="en-US" w:eastAsia="zh-CN"/>
              </w:rPr>
              <w:t>3136</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/a。</w:t>
            </w:r>
          </w:p>
          <w:p>
            <w:pPr>
              <w:keepNext w:val="0"/>
              <w:keepLines w:val="0"/>
              <w:pageBreakBefore w:val="0"/>
              <w:widowControl w:val="0"/>
              <w:kinsoku/>
              <w:wordWrap/>
              <w:overflowPunct/>
              <w:topLinePunct w:val="0"/>
              <w:autoSpaceDE/>
              <w:autoSpaceDN/>
              <w:bidi w:val="0"/>
              <w:adjustRightInd w:val="0"/>
              <w:snapToGrid w:val="0"/>
              <w:spacing w:line="460" w:lineRule="atLeas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③锅炉定排水（锅炉排污水+软化处理废水）</w:t>
            </w:r>
          </w:p>
          <w:p>
            <w:pPr>
              <w:keepNext w:val="0"/>
              <w:keepLines w:val="0"/>
              <w:pageBreakBefore w:val="0"/>
              <w:widowControl w:val="0"/>
              <w:kinsoku/>
              <w:wordWrap/>
              <w:overflowPunct/>
              <w:topLinePunct w:val="0"/>
              <w:autoSpaceDE/>
              <w:autoSpaceDN/>
              <w:bidi w:val="0"/>
              <w:adjustRightInd w:val="0"/>
              <w:snapToGrid w:val="0"/>
              <w:spacing w:line="460" w:lineRule="atLeas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根据《锅炉产排污量核算系数手册》生物质燃料锅炉（锅外水处理）工业废水产污系数为0.356t/t燃料（锅炉排污水+软化处理废水）。本项目生物质锅炉燃料使用量为</w:t>
            </w:r>
            <w:r>
              <w:rPr>
                <w:rFonts w:hint="eastAsia" w:ascii="Times New Roman" w:cs="Times New Roman"/>
                <w:color w:val="000000" w:themeColor="text1"/>
                <w:kern w:val="2"/>
                <w:sz w:val="24"/>
                <w:szCs w:val="24"/>
                <w:highlight w:val="none"/>
                <w:lang w:val="en-US" w:eastAsia="zh-CN" w:bidi="ar-SA"/>
                <w14:textFill>
                  <w14:solidFill>
                    <w14:schemeClr w14:val="tx1"/>
                  </w14:solidFill>
                </w14:textFill>
              </w:rPr>
              <w:t>470.4</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kg/h</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1354.8 t/a</w:t>
            </w:r>
            <w:r>
              <w:rPr>
                <w:rFonts w:hint="default" w:ascii="Times New Roman" w:hAnsi="Times New Roman" w:cs="Times New Roman"/>
                <w:color w:val="auto"/>
                <w:sz w:val="24"/>
                <w:szCs w:val="24"/>
                <w:highlight w:val="none"/>
                <w:lang w:val="en-US" w:eastAsia="zh-CN"/>
              </w:rPr>
              <w:t>，则废水产生量为</w:t>
            </w:r>
            <w:r>
              <w:rPr>
                <w:rFonts w:hint="eastAsia" w:ascii="Times New Roman" w:cs="Times New Roman"/>
                <w:color w:val="auto"/>
                <w:sz w:val="24"/>
                <w:szCs w:val="24"/>
                <w:highlight w:val="none"/>
                <w:lang w:val="en-US" w:eastAsia="zh-CN"/>
              </w:rPr>
              <w:t>1.34</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w:t>
            </w:r>
            <w:r>
              <w:rPr>
                <w:rFonts w:hint="eastAsia" w:ascii="Times New Roman" w:cs="Times New Roman"/>
                <w:color w:val="auto"/>
                <w:sz w:val="24"/>
                <w:szCs w:val="24"/>
                <w:highlight w:val="none"/>
                <w:lang w:val="en-US" w:eastAsia="zh-CN"/>
              </w:rPr>
              <w:t>482.31</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/a。</w:t>
            </w:r>
          </w:p>
          <w:p>
            <w:pPr>
              <w:keepNext w:val="0"/>
              <w:keepLines w:val="0"/>
              <w:pageBreakBefore w:val="0"/>
              <w:widowControl w:val="0"/>
              <w:kinsoku/>
              <w:wordWrap/>
              <w:overflowPunct/>
              <w:topLinePunct w:val="0"/>
              <w:autoSpaceDE/>
              <w:autoSpaceDN/>
              <w:bidi w:val="0"/>
              <w:adjustRightInd/>
              <w:snapToGrid w:val="0"/>
              <w:spacing w:line="460" w:lineRule="atLeast"/>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lang w:val="en-US" w:eastAsia="zh-CN"/>
              </w:rPr>
              <w:t>给排水</w:t>
            </w:r>
            <w:r>
              <w:rPr>
                <w:rFonts w:hint="default" w:ascii="Times New Roman" w:hAnsi="Times New Roman" w:eastAsia="宋体" w:cs="Times New Roman"/>
                <w:color w:val="auto"/>
                <w:sz w:val="24"/>
                <w:szCs w:val="24"/>
                <w:highlight w:val="none"/>
                <w:lang w:val="en-US" w:eastAsia="zh-CN"/>
              </w:rPr>
              <w:t>情况见下表，水平衡图见下图。</w:t>
            </w:r>
          </w:p>
          <w:p>
            <w:pPr>
              <w:pStyle w:val="89"/>
              <w:keepNext w:val="0"/>
              <w:keepLines w:val="0"/>
              <w:pageBreakBefore w:val="0"/>
              <w:widowControl w:val="0"/>
              <w:shd w:val="clear"/>
              <w:kinsoku/>
              <w:wordWrap/>
              <w:overflowPunct/>
              <w:topLinePunct w:val="0"/>
              <w:autoSpaceDE/>
              <w:autoSpaceDN/>
              <w:bidi w:val="0"/>
              <w:adjustRightInd/>
              <w:snapToGrid/>
              <w:spacing w:line="460" w:lineRule="atLeast"/>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表2-</w:t>
            </w:r>
            <w:r>
              <w:rPr>
                <w:rFonts w:hint="default" w:ascii="Times New Roman" w:hAnsi="Times New Roman" w:cs="Times New Roman"/>
                <w:b/>
                <w:bCs/>
                <w:color w:val="auto"/>
                <w:kern w:val="2"/>
                <w:sz w:val="21"/>
                <w:szCs w:val="21"/>
                <w:highlight w:val="none"/>
                <w:lang w:val="en-US" w:eastAsia="zh-CN" w:bidi="ar-SA"/>
              </w:rPr>
              <w:t>6</w:t>
            </w:r>
            <w:r>
              <w:rPr>
                <w:rFonts w:hint="default" w:ascii="Times New Roman" w:hAnsi="Times New Roman" w:eastAsia="宋体" w:cs="Times New Roman"/>
                <w:b/>
                <w:bCs/>
                <w:color w:val="auto"/>
                <w:kern w:val="2"/>
                <w:sz w:val="21"/>
                <w:szCs w:val="21"/>
                <w:highlight w:val="none"/>
                <w:lang w:val="en-US" w:eastAsia="zh-CN" w:bidi="ar-SA"/>
              </w:rPr>
              <w:t xml:space="preserve">  本项目给排水情况统计表  单位：m</w:t>
            </w:r>
            <w:r>
              <w:rPr>
                <w:rFonts w:hint="default" w:ascii="Times New Roman" w:hAnsi="Times New Roman" w:eastAsia="宋体" w:cs="Times New Roman"/>
                <w:b/>
                <w:bCs/>
                <w:color w:val="auto"/>
                <w:kern w:val="2"/>
                <w:sz w:val="21"/>
                <w:szCs w:val="21"/>
                <w:highlight w:val="none"/>
                <w:vertAlign w:val="superscript"/>
                <w:lang w:val="en-US" w:eastAsia="zh-CN" w:bidi="ar-SA"/>
              </w:rPr>
              <w:t>3</w:t>
            </w:r>
            <w:r>
              <w:rPr>
                <w:rFonts w:hint="default" w:ascii="Times New Roman" w:hAnsi="Times New Roman" w:eastAsia="宋体" w:cs="Times New Roman"/>
                <w:b/>
                <w:bCs/>
                <w:color w:val="auto"/>
                <w:kern w:val="2"/>
                <w:sz w:val="21"/>
                <w:szCs w:val="21"/>
                <w:highlight w:val="none"/>
                <w:lang w:val="en-US" w:eastAsia="zh-CN" w:bidi="ar-SA"/>
              </w:rPr>
              <w:t>/d</w:t>
            </w:r>
          </w:p>
          <w:tbl>
            <w:tblPr>
              <w:tblStyle w:val="3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301"/>
              <w:gridCol w:w="1368"/>
              <w:gridCol w:w="1132"/>
              <w:gridCol w:w="1160"/>
              <w:gridCol w:w="1191"/>
              <w:gridCol w:w="938"/>
              <w:gridCol w:w="974"/>
              <w:gridCol w:w="11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183" w:type="pct"/>
                  <w:vMerge w:val="restart"/>
                  <w:tcBorders>
                    <w:tl2br w:val="nil"/>
                    <w:tr2bl w:val="nil"/>
                  </w:tcBorders>
                  <w:tcMar>
                    <w:top w:w="20" w:type="dxa"/>
                    <w:left w:w="20" w:type="dxa"/>
                    <w:bottom w:w="0" w:type="dxa"/>
                    <w:right w:w="20" w:type="dxa"/>
                  </w:tcMar>
                  <w:vAlign w:val="center"/>
                </w:tcPr>
                <w:p>
                  <w:pPr>
                    <w:shd w:val="clea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833" w:type="pct"/>
                  <w:vMerge w:val="restart"/>
                  <w:tcBorders>
                    <w:tl2br w:val="nil"/>
                    <w:tr2bl w:val="nil"/>
                  </w:tcBorders>
                  <w:tcMar>
                    <w:top w:w="20" w:type="dxa"/>
                    <w:left w:w="20" w:type="dxa"/>
                    <w:bottom w:w="0" w:type="dxa"/>
                    <w:right w:w="20" w:type="dxa"/>
                  </w:tcMar>
                  <w:vAlign w:val="center"/>
                </w:tcPr>
                <w:p>
                  <w:pPr>
                    <w:shd w:val="clea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用水项目</w:t>
                  </w:r>
                </w:p>
              </w:tc>
              <w:tc>
                <w:tcPr>
                  <w:tcW w:w="689" w:type="pct"/>
                  <w:vMerge w:val="restart"/>
                  <w:tcBorders>
                    <w:tl2br w:val="nil"/>
                    <w:tr2bl w:val="nil"/>
                  </w:tcBorders>
                  <w:tcMar>
                    <w:top w:w="20" w:type="dxa"/>
                    <w:left w:w="20" w:type="dxa"/>
                    <w:bottom w:w="0" w:type="dxa"/>
                    <w:right w:w="20" w:type="dxa"/>
                  </w:tcMar>
                  <w:vAlign w:val="center"/>
                </w:tcPr>
                <w:p>
                  <w:pPr>
                    <w:shd w:val="clea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用水单位</w:t>
                  </w:r>
                </w:p>
              </w:tc>
              <w:tc>
                <w:tcPr>
                  <w:tcW w:w="706" w:type="pct"/>
                  <w:vMerge w:val="restart"/>
                  <w:tcBorders>
                    <w:tl2br w:val="nil"/>
                    <w:tr2bl w:val="nil"/>
                  </w:tcBorders>
                  <w:tcMar>
                    <w:top w:w="20" w:type="dxa"/>
                    <w:left w:w="20" w:type="dxa"/>
                    <w:bottom w:w="0" w:type="dxa"/>
                    <w:right w:w="20" w:type="dxa"/>
                  </w:tcMar>
                  <w:vAlign w:val="center"/>
                </w:tcPr>
                <w:p>
                  <w:pPr>
                    <w:shd w:val="clea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额定量</w:t>
                  </w:r>
                </w:p>
              </w:tc>
              <w:tc>
                <w:tcPr>
                  <w:tcW w:w="2587" w:type="pct"/>
                  <w:gridSpan w:val="4"/>
                  <w:tcBorders>
                    <w:tl2br w:val="nil"/>
                    <w:tr2bl w:val="nil"/>
                  </w:tcBorders>
                  <w:tcMar>
                    <w:top w:w="20" w:type="dxa"/>
                    <w:left w:w="20" w:type="dxa"/>
                    <w:bottom w:w="0" w:type="dxa"/>
                    <w:right w:w="20" w:type="dxa"/>
                  </w:tcMar>
                  <w:vAlign w:val="center"/>
                </w:tcPr>
                <w:p>
                  <w:pPr>
                    <w:shd w:val="clea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用排水量（m</w:t>
                  </w:r>
                  <w:r>
                    <w:rPr>
                      <w:rFonts w:hint="default" w:ascii="Times New Roman" w:hAnsi="Times New Roman" w:cs="Times New Roman"/>
                      <w:b/>
                      <w:bCs/>
                      <w:color w:val="auto"/>
                      <w:sz w:val="21"/>
                      <w:szCs w:val="21"/>
                      <w:highlight w:val="none"/>
                      <w:vertAlign w:val="superscript"/>
                    </w:rPr>
                    <w:t>3</w:t>
                  </w:r>
                  <w:r>
                    <w:rPr>
                      <w:rFonts w:hint="default" w:ascii="Times New Roman" w:hAnsi="Times New Roman" w:cs="Times New Roman"/>
                      <w:b/>
                      <w:bCs/>
                      <w:color w:val="auto"/>
                      <w:sz w:val="21"/>
                      <w:szCs w:val="21"/>
                      <w:highlight w:val="none"/>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183" w:type="pct"/>
                  <w:vMerge w:val="continue"/>
                  <w:tcBorders>
                    <w:tl2br w:val="nil"/>
                    <w:tr2bl w:val="nil"/>
                  </w:tcBorders>
                  <w:vAlign w:val="center"/>
                </w:tcPr>
                <w:p>
                  <w:pPr>
                    <w:widowControl/>
                    <w:shd w:val="clear"/>
                    <w:spacing w:line="240" w:lineRule="auto"/>
                    <w:jc w:val="left"/>
                    <w:rPr>
                      <w:rFonts w:hint="default" w:ascii="Times New Roman" w:hAnsi="Times New Roman" w:cs="Times New Roman"/>
                      <w:color w:val="auto"/>
                      <w:sz w:val="21"/>
                      <w:szCs w:val="21"/>
                      <w:highlight w:val="none"/>
                    </w:rPr>
                  </w:pPr>
                </w:p>
              </w:tc>
              <w:tc>
                <w:tcPr>
                  <w:tcW w:w="833" w:type="pct"/>
                  <w:vMerge w:val="continue"/>
                  <w:tcBorders>
                    <w:tl2br w:val="nil"/>
                    <w:tr2bl w:val="nil"/>
                  </w:tcBorders>
                  <w:vAlign w:val="center"/>
                </w:tcPr>
                <w:p>
                  <w:pPr>
                    <w:widowControl/>
                    <w:shd w:val="clear"/>
                    <w:spacing w:line="240" w:lineRule="auto"/>
                    <w:jc w:val="left"/>
                    <w:rPr>
                      <w:rFonts w:hint="default" w:ascii="Times New Roman" w:hAnsi="Times New Roman" w:cs="Times New Roman"/>
                      <w:color w:val="auto"/>
                      <w:sz w:val="21"/>
                      <w:szCs w:val="21"/>
                      <w:highlight w:val="none"/>
                    </w:rPr>
                  </w:pPr>
                </w:p>
              </w:tc>
              <w:tc>
                <w:tcPr>
                  <w:tcW w:w="689" w:type="pct"/>
                  <w:vMerge w:val="continue"/>
                  <w:tcBorders>
                    <w:tl2br w:val="nil"/>
                    <w:tr2bl w:val="nil"/>
                  </w:tcBorders>
                  <w:vAlign w:val="center"/>
                </w:tcPr>
                <w:p>
                  <w:pPr>
                    <w:widowControl/>
                    <w:shd w:val="clear"/>
                    <w:spacing w:line="240" w:lineRule="auto"/>
                    <w:jc w:val="left"/>
                    <w:rPr>
                      <w:rFonts w:hint="default" w:ascii="Times New Roman" w:hAnsi="Times New Roman" w:cs="Times New Roman"/>
                      <w:color w:val="auto"/>
                      <w:sz w:val="21"/>
                      <w:szCs w:val="21"/>
                      <w:highlight w:val="none"/>
                    </w:rPr>
                  </w:pPr>
                </w:p>
              </w:tc>
              <w:tc>
                <w:tcPr>
                  <w:tcW w:w="706" w:type="pct"/>
                  <w:vMerge w:val="continue"/>
                  <w:tcBorders>
                    <w:tl2br w:val="nil"/>
                    <w:tr2bl w:val="nil"/>
                  </w:tcBorders>
                  <w:vAlign w:val="center"/>
                </w:tcPr>
                <w:p>
                  <w:pPr>
                    <w:widowControl/>
                    <w:shd w:val="clear"/>
                    <w:spacing w:line="240" w:lineRule="auto"/>
                    <w:jc w:val="left"/>
                    <w:rPr>
                      <w:rFonts w:hint="default" w:ascii="Times New Roman" w:hAnsi="Times New Roman" w:cs="Times New Roman"/>
                      <w:color w:val="auto"/>
                      <w:sz w:val="21"/>
                      <w:szCs w:val="21"/>
                      <w:highlight w:val="none"/>
                    </w:rPr>
                  </w:pPr>
                </w:p>
              </w:tc>
              <w:tc>
                <w:tcPr>
                  <w:tcW w:w="725" w:type="pct"/>
                  <w:tcBorders>
                    <w:tl2br w:val="nil"/>
                    <w:tr2bl w:val="nil"/>
                  </w:tcBorders>
                  <w:tcMar>
                    <w:top w:w="20" w:type="dxa"/>
                    <w:left w:w="20" w:type="dxa"/>
                    <w:bottom w:w="0" w:type="dxa"/>
                    <w:right w:w="20" w:type="dxa"/>
                  </w:tcMar>
                  <w:vAlign w:val="center"/>
                </w:tcPr>
                <w:p>
                  <w:pPr>
                    <w:shd w:val="clea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自来</w:t>
                  </w:r>
                  <w:r>
                    <w:rPr>
                      <w:rFonts w:hint="default" w:ascii="Times New Roman" w:hAnsi="Times New Roman" w:cs="Times New Roman"/>
                      <w:b/>
                      <w:bCs/>
                      <w:color w:val="auto"/>
                      <w:sz w:val="21"/>
                      <w:szCs w:val="21"/>
                      <w:highlight w:val="none"/>
                    </w:rPr>
                    <w:t>水</w:t>
                  </w:r>
                </w:p>
              </w:tc>
              <w:tc>
                <w:tcPr>
                  <w:tcW w:w="571" w:type="pct"/>
                  <w:tcBorders>
                    <w:tl2br w:val="nil"/>
                    <w:tr2bl w:val="nil"/>
                  </w:tcBorders>
                  <w:vAlign w:val="center"/>
                </w:tcPr>
                <w:p>
                  <w:pPr>
                    <w:shd w:val="clear"/>
                    <w:spacing w:line="240" w:lineRule="auto"/>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val="en-US" w:eastAsia="zh-CN"/>
                    </w:rPr>
                    <w:t>软水</w:t>
                  </w:r>
                </w:p>
              </w:tc>
              <w:tc>
                <w:tcPr>
                  <w:tcW w:w="593" w:type="pct"/>
                  <w:tcBorders>
                    <w:tl2br w:val="nil"/>
                    <w:tr2bl w:val="nil"/>
                  </w:tcBorders>
                  <w:vAlign w:val="center"/>
                </w:tcPr>
                <w:p>
                  <w:pPr>
                    <w:shd w:val="clea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回用水</w:t>
                  </w:r>
                </w:p>
              </w:tc>
              <w:tc>
                <w:tcPr>
                  <w:tcW w:w="698" w:type="pct"/>
                  <w:tcBorders>
                    <w:tl2br w:val="nil"/>
                    <w:tr2bl w:val="nil"/>
                  </w:tcBorders>
                  <w:vAlign w:val="center"/>
                </w:tcPr>
                <w:p>
                  <w:pPr>
                    <w:widowControl/>
                    <w:shd w:val="clear"/>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排污水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183" w:type="pct"/>
                  <w:tcBorders>
                    <w:tl2br w:val="nil"/>
                    <w:tr2bl w:val="nil"/>
                  </w:tcBorders>
                  <w:vAlign w:val="center"/>
                </w:tcPr>
                <w:p>
                  <w:pPr>
                    <w:shd w:val="clea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833" w:type="pct"/>
                  <w:tcBorders>
                    <w:tl2br w:val="nil"/>
                    <w:tr2bl w:val="nil"/>
                  </w:tcBorders>
                  <w:vAlign w:val="center"/>
                </w:tcPr>
                <w:p>
                  <w:pPr>
                    <w:shd w:val="clear"/>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rPr>
                    <w:t>生活用水</w:t>
                  </w:r>
                </w:p>
              </w:tc>
              <w:tc>
                <w:tcPr>
                  <w:tcW w:w="689" w:type="pct"/>
                  <w:tcBorders>
                    <w:tl2br w:val="nil"/>
                    <w:tr2bl w:val="nil"/>
                  </w:tcBorders>
                  <w:vAlign w:val="center"/>
                </w:tcPr>
                <w:p>
                  <w:pPr>
                    <w:shd w:val="clea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职工</w:t>
                  </w:r>
                  <w:r>
                    <w:rPr>
                      <w:rFonts w:hint="eastAsia" w:asci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rPr>
                    <w:t>人</w:t>
                  </w:r>
                </w:p>
              </w:tc>
              <w:tc>
                <w:tcPr>
                  <w:tcW w:w="706" w:type="pct"/>
                  <w:tcBorders>
                    <w:tl2br w:val="nil"/>
                    <w:tr2bl w:val="nil"/>
                  </w:tcBorders>
                  <w:vAlign w:val="center"/>
                </w:tcPr>
                <w:p>
                  <w:pPr>
                    <w:shd w:val="clear"/>
                    <w:spacing w:line="240" w:lineRule="auto"/>
                    <w:jc w:val="center"/>
                    <w:rPr>
                      <w:rFonts w:hint="default" w:ascii="Times New Roman" w:hAnsi="Times New Roman" w:cs="Times New Roman"/>
                      <w:bCs/>
                      <w:color w:val="auto"/>
                      <w:sz w:val="21"/>
                      <w:szCs w:val="21"/>
                      <w:highlight w:val="none"/>
                    </w:rPr>
                  </w:pPr>
                  <w:r>
                    <w:rPr>
                      <w:rFonts w:hint="default" w:ascii="Times New Roman" w:hAnsi="Times New Roman" w:cs="Times New Roman"/>
                      <w:color w:val="auto"/>
                      <w:sz w:val="21"/>
                      <w:szCs w:val="21"/>
                      <w:highlight w:val="none"/>
                      <w:lang w:val="en-US" w:eastAsia="zh-CN"/>
                    </w:rPr>
                    <w:t>70</w:t>
                  </w:r>
                  <w:r>
                    <w:rPr>
                      <w:rFonts w:hint="default" w:ascii="Times New Roman" w:hAnsi="Times New Roman" w:cs="Times New Roman"/>
                      <w:color w:val="auto"/>
                      <w:sz w:val="21"/>
                      <w:szCs w:val="21"/>
                      <w:highlight w:val="none"/>
                    </w:rPr>
                    <w:t>L/人·d</w:t>
                  </w:r>
                </w:p>
              </w:tc>
              <w:tc>
                <w:tcPr>
                  <w:tcW w:w="725" w:type="pct"/>
                  <w:tcBorders>
                    <w:tl2br w:val="nil"/>
                    <w:tr2bl w:val="nil"/>
                  </w:tcBorders>
                  <w:tcMar>
                    <w:top w:w="20" w:type="dxa"/>
                    <w:left w:w="20" w:type="dxa"/>
                    <w:bottom w:w="0" w:type="dxa"/>
                    <w:right w:w="20" w:type="dxa"/>
                  </w:tcMar>
                  <w:vAlign w:val="center"/>
                </w:tcPr>
                <w:p>
                  <w:pPr>
                    <w:shd w:val="clea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ascii="Times New Roman" w:cs="Times New Roman"/>
                      <w:color w:val="auto"/>
                      <w:sz w:val="21"/>
                      <w:szCs w:val="21"/>
                      <w:highlight w:val="none"/>
                      <w:lang w:val="en-US" w:eastAsia="zh-CN"/>
                    </w:rPr>
                    <w:t>63</w:t>
                  </w:r>
                </w:p>
              </w:tc>
              <w:tc>
                <w:tcPr>
                  <w:tcW w:w="571" w:type="pct"/>
                  <w:tcBorders>
                    <w:tl2br w:val="nil"/>
                    <w:tr2bl w:val="nil"/>
                  </w:tcBorders>
                  <w:vAlign w:val="center"/>
                </w:tcPr>
                <w:p>
                  <w:pPr>
                    <w:shd w:val="clea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w:t>
                  </w:r>
                </w:p>
              </w:tc>
              <w:tc>
                <w:tcPr>
                  <w:tcW w:w="593" w:type="pct"/>
                  <w:tcBorders>
                    <w:tl2br w:val="nil"/>
                    <w:tr2bl w:val="nil"/>
                  </w:tcBorders>
                  <w:vAlign w:val="center"/>
                </w:tcPr>
                <w:p>
                  <w:pPr>
                    <w:shd w:val="clea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w:t>
                  </w:r>
                </w:p>
              </w:tc>
              <w:tc>
                <w:tcPr>
                  <w:tcW w:w="698" w:type="pct"/>
                  <w:tcBorders>
                    <w:tl2br w:val="nil"/>
                    <w:tr2bl w:val="nil"/>
                  </w:tcBorders>
                  <w:vAlign w:val="center"/>
                </w:tcPr>
                <w:p>
                  <w:pPr>
                    <w:shd w:val="clea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r>
                    <w:rPr>
                      <w:rFonts w:hint="eastAsia" w:ascii="Times New Roman" w:cs="Times New Roman"/>
                      <w:color w:val="auto"/>
                      <w:sz w:val="21"/>
                      <w:szCs w:val="21"/>
                      <w:highlight w:val="no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183" w:type="pct"/>
                  <w:tcBorders>
                    <w:tl2br w:val="nil"/>
                    <w:tr2bl w:val="nil"/>
                  </w:tcBorders>
                  <w:vAlign w:val="center"/>
                </w:tcPr>
                <w:p>
                  <w:pPr>
                    <w:shd w:val="clea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833" w:type="pct"/>
                  <w:tcBorders>
                    <w:tl2br w:val="nil"/>
                    <w:tr2bl w:val="nil"/>
                  </w:tcBorders>
                  <w:vAlign w:val="center"/>
                </w:tcPr>
                <w:p>
                  <w:pPr>
                    <w:shd w:val="clea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洗涤用水</w:t>
                  </w:r>
                </w:p>
              </w:tc>
              <w:tc>
                <w:tcPr>
                  <w:tcW w:w="689" w:type="pct"/>
                  <w:tcBorders>
                    <w:tl2br w:val="nil"/>
                    <w:tr2bl w:val="nil"/>
                  </w:tcBorders>
                  <w:vAlign w:val="center"/>
                </w:tcPr>
                <w:p>
                  <w:pPr>
                    <w:shd w:val="clea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w:t>
                  </w:r>
                </w:p>
              </w:tc>
              <w:tc>
                <w:tcPr>
                  <w:tcW w:w="706" w:type="pct"/>
                  <w:tcBorders>
                    <w:tl2br w:val="nil"/>
                    <w:tr2bl w:val="nil"/>
                  </w:tcBorders>
                  <w:vAlign w:val="center"/>
                </w:tcPr>
                <w:p>
                  <w:pPr>
                    <w:shd w:val="clear"/>
                    <w:spacing w:line="240" w:lineRule="auto"/>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w:t>
                  </w:r>
                </w:p>
              </w:tc>
              <w:tc>
                <w:tcPr>
                  <w:tcW w:w="725" w:type="pct"/>
                  <w:tcBorders>
                    <w:tl2br w:val="nil"/>
                    <w:tr2bl w:val="nil"/>
                  </w:tcBorders>
                  <w:tcMar>
                    <w:top w:w="20" w:type="dxa"/>
                    <w:left w:w="20" w:type="dxa"/>
                    <w:bottom w:w="0" w:type="dxa"/>
                    <w:right w:w="20" w:type="dxa"/>
                  </w:tcMar>
                  <w:vAlign w:val="center"/>
                </w:tcPr>
                <w:p>
                  <w:pPr>
                    <w:shd w:val="clea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8.89</w:t>
                  </w:r>
                </w:p>
              </w:tc>
              <w:tc>
                <w:tcPr>
                  <w:tcW w:w="571" w:type="pct"/>
                  <w:tcBorders>
                    <w:tl2br w:val="nil"/>
                    <w:tr2bl w:val="nil"/>
                  </w:tcBorders>
                  <w:vAlign w:val="center"/>
                </w:tcPr>
                <w:p>
                  <w:pPr>
                    <w:shd w:val="clea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593" w:type="pct"/>
                  <w:tcBorders>
                    <w:tl2br w:val="nil"/>
                    <w:tr2bl w:val="nil"/>
                  </w:tcBorders>
                  <w:vAlign w:val="center"/>
                </w:tcPr>
                <w:p>
                  <w:pPr>
                    <w:shd w:val="clea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698" w:type="pct"/>
                  <w:tcBorders>
                    <w:tl2br w:val="nil"/>
                    <w:tr2bl w:val="nil"/>
                  </w:tcBorders>
                  <w:vAlign w:val="center"/>
                </w:tcPr>
                <w:p>
                  <w:pPr>
                    <w:shd w:val="clear"/>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ascii="Times New Roman" w:cs="Times New Roman"/>
                      <w:color w:val="auto"/>
                      <w:sz w:val="21"/>
                      <w:szCs w:val="21"/>
                      <w:highlight w:val="none"/>
                      <w:lang w:val="en-US" w:eastAsia="zh-CN"/>
                    </w:rPr>
                    <w:t>8.71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183" w:type="pct"/>
                  <w:tcBorders>
                    <w:tl2br w:val="nil"/>
                    <w:tr2bl w:val="nil"/>
                  </w:tcBorders>
                  <w:vAlign w:val="center"/>
                </w:tcPr>
                <w:p>
                  <w:pPr>
                    <w:shd w:val="clea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833" w:type="pct"/>
                  <w:tcBorders>
                    <w:tl2br w:val="nil"/>
                    <w:tr2bl w:val="nil"/>
                  </w:tcBorders>
                  <w:vAlign w:val="center"/>
                </w:tcPr>
                <w:p>
                  <w:pPr>
                    <w:shd w:val="clea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锅炉用水</w:t>
                  </w:r>
                </w:p>
              </w:tc>
              <w:tc>
                <w:tcPr>
                  <w:tcW w:w="689" w:type="pct"/>
                  <w:tcBorders>
                    <w:tl2br w:val="nil"/>
                    <w:tr2bl w:val="nil"/>
                  </w:tcBorders>
                  <w:tcMar>
                    <w:top w:w="20" w:type="dxa"/>
                    <w:left w:w="20" w:type="dxa"/>
                    <w:bottom w:w="0" w:type="dxa"/>
                    <w:right w:w="20" w:type="dxa"/>
                  </w:tcMar>
                  <w:vAlign w:val="center"/>
                </w:tcPr>
                <w:p>
                  <w:pPr>
                    <w:shd w:val="clea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w:t>
                  </w:r>
                </w:p>
              </w:tc>
              <w:tc>
                <w:tcPr>
                  <w:tcW w:w="706" w:type="pct"/>
                  <w:tcBorders>
                    <w:tl2br w:val="nil"/>
                    <w:tr2bl w:val="nil"/>
                  </w:tcBorders>
                  <w:vAlign w:val="center"/>
                </w:tcPr>
                <w:p>
                  <w:pPr>
                    <w:shd w:val="clea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w:t>
                  </w:r>
                </w:p>
              </w:tc>
              <w:tc>
                <w:tcPr>
                  <w:tcW w:w="725" w:type="pct"/>
                  <w:tcBorders>
                    <w:tl2br w:val="nil"/>
                    <w:tr2bl w:val="nil"/>
                  </w:tcBorders>
                  <w:tcMar>
                    <w:top w:w="20" w:type="dxa"/>
                    <w:left w:w="20" w:type="dxa"/>
                    <w:bottom w:w="0" w:type="dxa"/>
                    <w:right w:w="20" w:type="dxa"/>
                  </w:tcMar>
                  <w:vAlign w:val="center"/>
                </w:tcPr>
                <w:p>
                  <w:pPr>
                    <w:shd w:val="clea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w:t>
                  </w:r>
                  <w:r>
                    <w:rPr>
                      <w:rFonts w:hint="eastAsia" w:ascii="Times New Roman" w:cs="Times New Roman"/>
                      <w:color w:val="auto"/>
                      <w:sz w:val="21"/>
                      <w:szCs w:val="21"/>
                      <w:highlight w:val="none"/>
                      <w:lang w:val="en-US" w:eastAsia="zh-CN"/>
                    </w:rPr>
                    <w:t>.6</w:t>
                  </w:r>
                </w:p>
              </w:tc>
              <w:tc>
                <w:tcPr>
                  <w:tcW w:w="571" w:type="pct"/>
                  <w:tcBorders>
                    <w:tl2br w:val="nil"/>
                    <w:tr2bl w:val="nil"/>
                  </w:tcBorders>
                  <w:vAlign w:val="center"/>
                </w:tcPr>
                <w:p>
                  <w:pPr>
                    <w:shd w:val="clea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w:t>
                  </w:r>
                </w:p>
              </w:tc>
              <w:tc>
                <w:tcPr>
                  <w:tcW w:w="593" w:type="pct"/>
                  <w:tcBorders>
                    <w:tl2br w:val="nil"/>
                    <w:tr2bl w:val="nil"/>
                  </w:tcBorders>
                  <w:vAlign w:val="center"/>
                </w:tcPr>
                <w:p>
                  <w:pPr>
                    <w:shd w:val="clea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698" w:type="pct"/>
                  <w:tcBorders>
                    <w:tl2br w:val="nil"/>
                    <w:tr2bl w:val="nil"/>
                  </w:tcBorders>
                  <w:vAlign w:val="center"/>
                </w:tcPr>
                <w:p>
                  <w:pPr>
                    <w:shd w:val="clea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1016" w:type="pct"/>
                  <w:gridSpan w:val="2"/>
                  <w:tcBorders>
                    <w:tl2br w:val="nil"/>
                    <w:tr2bl w:val="nil"/>
                  </w:tcBorders>
                  <w:vAlign w:val="center"/>
                </w:tcPr>
                <w:p>
                  <w:pPr>
                    <w:shd w:val="clea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合计</w:t>
                  </w:r>
                </w:p>
              </w:tc>
              <w:tc>
                <w:tcPr>
                  <w:tcW w:w="689" w:type="pct"/>
                  <w:tcBorders>
                    <w:tl2br w:val="nil"/>
                    <w:tr2bl w:val="nil"/>
                  </w:tcBorders>
                  <w:tcMar>
                    <w:top w:w="20" w:type="dxa"/>
                    <w:left w:w="20" w:type="dxa"/>
                    <w:bottom w:w="0" w:type="dxa"/>
                    <w:right w:w="20" w:type="dxa"/>
                  </w:tcMar>
                  <w:vAlign w:val="center"/>
                </w:tcPr>
                <w:p>
                  <w:pPr>
                    <w:shd w:val="clear"/>
                    <w:spacing w:line="240" w:lineRule="auto"/>
                    <w:jc w:val="center"/>
                    <w:rPr>
                      <w:rFonts w:hint="default" w:ascii="Times New Roman" w:hAnsi="Times New Roman" w:cs="Times New Roman"/>
                      <w:bCs/>
                      <w:color w:val="auto"/>
                      <w:sz w:val="21"/>
                      <w:szCs w:val="21"/>
                      <w:highlight w:val="none"/>
                      <w:lang w:val="en-US" w:eastAsia="zh-CN"/>
                    </w:rPr>
                  </w:pPr>
                </w:p>
              </w:tc>
              <w:tc>
                <w:tcPr>
                  <w:tcW w:w="706" w:type="pct"/>
                  <w:tcBorders>
                    <w:tl2br w:val="nil"/>
                    <w:tr2bl w:val="nil"/>
                  </w:tcBorders>
                  <w:vAlign w:val="center"/>
                </w:tcPr>
                <w:p>
                  <w:pPr>
                    <w:shd w:val="clear"/>
                    <w:spacing w:line="240" w:lineRule="auto"/>
                    <w:jc w:val="center"/>
                    <w:rPr>
                      <w:rFonts w:hint="default" w:ascii="Times New Roman" w:hAnsi="Times New Roman" w:cs="Times New Roman"/>
                      <w:color w:val="auto"/>
                      <w:sz w:val="21"/>
                      <w:szCs w:val="21"/>
                      <w:highlight w:val="none"/>
                      <w:lang w:val="en-US" w:eastAsia="zh-CN"/>
                    </w:rPr>
                  </w:pPr>
                </w:p>
              </w:tc>
              <w:tc>
                <w:tcPr>
                  <w:tcW w:w="725" w:type="pct"/>
                  <w:tcBorders>
                    <w:tl2br w:val="nil"/>
                    <w:tr2bl w:val="nil"/>
                  </w:tcBorders>
                  <w:tcMar>
                    <w:top w:w="20" w:type="dxa"/>
                    <w:left w:w="20" w:type="dxa"/>
                    <w:bottom w:w="0" w:type="dxa"/>
                    <w:right w:w="20" w:type="dxa"/>
                  </w:tcMar>
                  <w:vAlign w:val="center"/>
                </w:tcPr>
                <w:p>
                  <w:pPr>
                    <w:shd w:val="clear"/>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28.12</w:t>
                  </w:r>
                </w:p>
              </w:tc>
              <w:tc>
                <w:tcPr>
                  <w:tcW w:w="571" w:type="pct"/>
                  <w:tcBorders>
                    <w:tl2br w:val="nil"/>
                    <w:tr2bl w:val="nil"/>
                  </w:tcBorders>
                  <w:vAlign w:val="center"/>
                </w:tcPr>
                <w:p>
                  <w:pPr>
                    <w:shd w:val="clea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18</w:t>
                  </w:r>
                </w:p>
              </w:tc>
              <w:tc>
                <w:tcPr>
                  <w:tcW w:w="593" w:type="pct"/>
                  <w:tcBorders>
                    <w:tl2br w:val="nil"/>
                    <w:tr2bl w:val="nil"/>
                  </w:tcBorders>
                  <w:vAlign w:val="center"/>
                </w:tcPr>
                <w:p>
                  <w:pPr>
                    <w:shd w:val="clea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698" w:type="pct"/>
                  <w:tcBorders>
                    <w:tl2br w:val="nil"/>
                    <w:tr2bl w:val="nil"/>
                  </w:tcBorders>
                  <w:vAlign w:val="center"/>
                </w:tcPr>
                <w:p>
                  <w:pPr>
                    <w:shd w:val="clear"/>
                    <w:spacing w:line="240" w:lineRule="auto"/>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10.55</w:t>
                  </w:r>
                </w:p>
              </w:tc>
            </w:tr>
          </w:tbl>
          <w:p>
            <w:pPr>
              <w:pStyle w:val="10"/>
              <w:rPr>
                <w:rFonts w:hint="default" w:ascii="Times New Roman" w:hAnsi="Times New Roman" w:cs="Times New Roman"/>
                <w:color w:val="auto"/>
                <w:sz w:val="21"/>
                <w:szCs w:val="21"/>
              </w:rPr>
            </w:pPr>
          </w:p>
          <w:p>
            <w:pPr>
              <w:rPr>
                <w:rFonts w:hint="default" w:ascii="Times New Roman" w:hAnsi="Times New Roman" w:cs="Times New Roman"/>
                <w:color w:val="auto"/>
                <w:sz w:val="21"/>
                <w:szCs w:val="21"/>
              </w:rPr>
            </w:pPr>
          </w:p>
          <w:p>
            <w:pPr>
              <w:rPr>
                <w:rFonts w:hint="default" w:ascii="Times New Roman" w:hAnsi="Times New Roman" w:cs="Times New Roman"/>
                <w:color w:val="auto"/>
                <w:sz w:val="21"/>
                <w:szCs w:val="21"/>
              </w:rPr>
            </w:pPr>
            <w:r>
              <w:rPr>
                <w:rFonts w:hint="default" w:ascii="Times New Roman" w:hAnsi="Times New Roman" w:cs="Times New Roman"/>
              </w:rPr>
              <w:pict>
                <v:shape id="_x0000_s1101" o:spid="_x0000_s1101" o:spt="75" type="#_x0000_t75" style="position:absolute;left:0pt;margin-left:-3.7pt;margin-top:1.3pt;height:351.55pt;width:424.85pt;z-index:-251650048;mso-width-relative:page;mso-height-relative:page;" o:ole="t" filled="f" o:preferrelative="t" stroked="f" coordsize="21600,21600">
                  <v:path/>
                  <v:fill on="f" focussize="0,0"/>
                  <v:stroke on="f"/>
                  <v:imagedata r:id="rId14" o:title=""/>
                  <o:lock v:ext="edit" aspectratio="t"/>
                </v:shape>
                <o:OLEObject Type="Embed" ProgID="Visio.Drawing.11" ShapeID="_x0000_s1101" DrawAspect="Content" ObjectID="_1468075725" r:id="rId13">
                  <o:LockedField>false</o:LockedField>
                </o:OLEObject>
              </w:pict>
            </w:r>
          </w:p>
          <w:p>
            <w:pPr>
              <w:rPr>
                <w:rFonts w:hint="default" w:ascii="Times New Roman" w:hAnsi="Times New Roman" w:cs="Times New Roman"/>
                <w:color w:val="auto"/>
                <w:sz w:val="21"/>
                <w:szCs w:val="21"/>
              </w:rPr>
            </w:pPr>
          </w:p>
          <w:p>
            <w:pPr>
              <w:rPr>
                <w:rFonts w:hint="default" w:ascii="Times New Roman" w:hAnsi="Times New Roman" w:cs="Times New Roman"/>
                <w:color w:val="auto"/>
                <w:sz w:val="21"/>
                <w:szCs w:val="21"/>
              </w:rPr>
            </w:pPr>
          </w:p>
          <w:p>
            <w:pPr>
              <w:rPr>
                <w:rFonts w:hint="default" w:ascii="Times New Roman" w:hAnsi="Times New Roman" w:cs="Times New Roman"/>
                <w:color w:val="auto"/>
                <w:sz w:val="21"/>
                <w:szCs w:val="21"/>
              </w:rPr>
            </w:pPr>
          </w:p>
          <w:p>
            <w:pPr>
              <w:rPr>
                <w:rFonts w:hint="default" w:ascii="Times New Roman" w:hAnsi="Times New Roman" w:cs="Times New Roman"/>
                <w:color w:val="auto"/>
                <w:sz w:val="21"/>
                <w:szCs w:val="21"/>
              </w:rPr>
            </w:pPr>
          </w:p>
          <w:p>
            <w:pPr>
              <w:rPr>
                <w:rFonts w:hint="default" w:ascii="Times New Roman" w:hAnsi="Times New Roman" w:cs="Times New Roman"/>
                <w:color w:val="auto"/>
                <w:sz w:val="21"/>
                <w:szCs w:val="21"/>
              </w:rPr>
            </w:pPr>
          </w:p>
          <w:p>
            <w:pPr>
              <w:rPr>
                <w:rFonts w:hint="default" w:ascii="Times New Roman" w:hAnsi="Times New Roman" w:cs="Times New Roman"/>
                <w:color w:val="auto"/>
                <w:sz w:val="21"/>
                <w:szCs w:val="21"/>
              </w:rPr>
            </w:pPr>
          </w:p>
          <w:p>
            <w:pPr>
              <w:rPr>
                <w:rFonts w:hint="default" w:ascii="Times New Roman" w:hAnsi="Times New Roman" w:cs="Times New Roman"/>
                <w:color w:val="auto"/>
                <w:sz w:val="21"/>
                <w:szCs w:val="21"/>
              </w:rPr>
            </w:pPr>
          </w:p>
          <w:p>
            <w:pPr>
              <w:rPr>
                <w:rFonts w:hint="default" w:ascii="Times New Roman" w:hAnsi="Times New Roman" w:cs="Times New Roman"/>
                <w:color w:val="auto"/>
                <w:sz w:val="21"/>
                <w:szCs w:val="21"/>
              </w:rPr>
            </w:pPr>
          </w:p>
          <w:p>
            <w:pPr>
              <w:rPr>
                <w:rFonts w:hint="default" w:ascii="Times New Roman" w:hAnsi="Times New Roman" w:cs="Times New Roman"/>
                <w:color w:val="auto"/>
                <w:sz w:val="21"/>
                <w:szCs w:val="21"/>
              </w:rPr>
            </w:pPr>
          </w:p>
          <w:p>
            <w:pPr>
              <w:rPr>
                <w:rFonts w:hint="default" w:ascii="Times New Roman" w:hAnsi="Times New Roman" w:cs="Times New Roman"/>
                <w:color w:val="auto"/>
                <w:sz w:val="21"/>
                <w:szCs w:val="21"/>
              </w:rPr>
            </w:pPr>
          </w:p>
          <w:p>
            <w:pPr>
              <w:rPr>
                <w:rFonts w:hint="default" w:ascii="Times New Roman" w:hAnsi="Times New Roman" w:cs="Times New Roman"/>
                <w:color w:val="auto"/>
                <w:sz w:val="21"/>
                <w:szCs w:val="21"/>
              </w:rPr>
            </w:pPr>
          </w:p>
          <w:p>
            <w:pPr>
              <w:rPr>
                <w:rFonts w:hint="default" w:ascii="Times New Roman" w:hAnsi="Times New Roman" w:cs="Times New Roman"/>
                <w:color w:val="auto"/>
                <w:sz w:val="21"/>
                <w:szCs w:val="21"/>
              </w:rPr>
            </w:pPr>
          </w:p>
          <w:p>
            <w:pPr>
              <w:rPr>
                <w:rFonts w:hint="default" w:ascii="Times New Roman" w:hAnsi="Times New Roman" w:cs="Times New Roman"/>
                <w:color w:val="auto"/>
                <w:sz w:val="21"/>
                <w:szCs w:val="21"/>
              </w:rPr>
            </w:pPr>
          </w:p>
          <w:p>
            <w:pPr>
              <w:rPr>
                <w:rFonts w:hint="default" w:ascii="Times New Roman" w:hAnsi="Times New Roman" w:cs="Times New Roman"/>
                <w:color w:val="auto"/>
                <w:sz w:val="21"/>
                <w:szCs w:val="21"/>
              </w:rPr>
            </w:pPr>
          </w:p>
          <w:p>
            <w:pPr>
              <w:rPr>
                <w:rFonts w:hint="default" w:ascii="Times New Roman" w:hAnsi="Times New Roman" w:cs="Times New Roman"/>
                <w:color w:val="auto"/>
                <w:sz w:val="21"/>
                <w:szCs w:val="21"/>
              </w:rPr>
            </w:pPr>
          </w:p>
          <w:p>
            <w:pPr>
              <w:rPr>
                <w:rFonts w:hint="default" w:ascii="Times New Roman" w:hAnsi="Times New Roman" w:cs="Times New Roman"/>
                <w:color w:val="auto"/>
                <w:sz w:val="21"/>
                <w:szCs w:val="21"/>
              </w:rPr>
            </w:pPr>
          </w:p>
          <w:p>
            <w:pPr>
              <w:rPr>
                <w:rFonts w:hint="default" w:ascii="Times New Roman" w:hAnsi="Times New Roman" w:cs="Times New Roman"/>
                <w:color w:val="auto"/>
                <w:sz w:val="21"/>
                <w:szCs w:val="21"/>
              </w:rPr>
            </w:pPr>
          </w:p>
          <w:p>
            <w:pPr>
              <w:rPr>
                <w:rFonts w:hint="default" w:ascii="Times New Roman" w:hAnsi="Times New Roman" w:cs="Times New Roman"/>
                <w:color w:val="auto"/>
                <w:sz w:val="21"/>
                <w:szCs w:val="21"/>
                <w:highlight w:val="none"/>
              </w:rPr>
            </w:pPr>
          </w:p>
          <w:p>
            <w:pPr>
              <w:rPr>
                <w:rFonts w:hint="default" w:ascii="Times New Roman" w:hAnsi="Times New Roman" w:cs="Times New Roman"/>
                <w:color w:val="auto"/>
                <w:sz w:val="21"/>
                <w:szCs w:val="21"/>
                <w:highlight w:val="none"/>
              </w:rPr>
            </w:pPr>
          </w:p>
          <w:p>
            <w:pPr>
              <w:rPr>
                <w:rFonts w:hint="default" w:ascii="Times New Roman" w:hAnsi="Times New Roman" w:cs="Times New Roman"/>
                <w:color w:val="auto"/>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sz w:val="21"/>
              </w:rPr>
              <mc:AlternateContent>
                <mc:Choice Requires="wps">
                  <w:drawing>
                    <wp:anchor distT="0" distB="0" distL="114300" distR="114300" simplePos="0" relativeHeight="251664384" behindDoc="1" locked="0" layoutInCell="1" allowOverlap="1">
                      <wp:simplePos x="0" y="0"/>
                      <wp:positionH relativeFrom="column">
                        <wp:posOffset>1328420</wp:posOffset>
                      </wp:positionH>
                      <wp:positionV relativeFrom="paragraph">
                        <wp:posOffset>26035</wp:posOffset>
                      </wp:positionV>
                      <wp:extent cx="2447925" cy="380365"/>
                      <wp:effectExtent l="0" t="0" r="0" b="0"/>
                      <wp:wrapNone/>
                      <wp:docPr id="21" name="文本框 21"/>
                      <wp:cNvGraphicFramePr/>
                      <a:graphic xmlns:a="http://schemas.openxmlformats.org/drawingml/2006/main">
                        <a:graphicData uri="http://schemas.microsoft.com/office/word/2010/wordprocessingShape">
                          <wps:wsp>
                            <wps:cNvSpPr txBox="1"/>
                            <wps:spPr>
                              <a:xfrm>
                                <a:off x="2794635" y="4385310"/>
                                <a:ext cx="2447925" cy="380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highlight w:val="none"/>
                                    </w:rPr>
                                  </w:pPr>
                                  <w:r>
                                    <w:rPr>
                                      <w:rFonts w:hint="default" w:ascii="Times New Roman" w:hAnsi="Times New Roman" w:cs="Times New Roman"/>
                                      <w:b/>
                                      <w:color w:val="auto"/>
                                      <w:sz w:val="21"/>
                                      <w:highlight w:val="none"/>
                                    </w:rPr>
                                    <w:t>图2</w:t>
                                  </w:r>
                                  <w:r>
                                    <w:rPr>
                                      <w:rFonts w:hint="default" w:ascii="Times New Roman" w:hAnsi="Times New Roman" w:cs="Times New Roman"/>
                                      <w:b/>
                                      <w:color w:val="auto"/>
                                      <w:sz w:val="21"/>
                                      <w:highlight w:val="none"/>
                                      <w:lang w:val="en-US" w:eastAsia="zh-CN"/>
                                    </w:rPr>
                                    <w:t>-</w:t>
                                  </w:r>
                                  <w:r>
                                    <w:rPr>
                                      <w:rFonts w:hint="default" w:ascii="Times New Roman" w:hAnsi="Times New Roman" w:cs="Times New Roman"/>
                                      <w:b/>
                                      <w:color w:val="auto"/>
                                      <w:sz w:val="21"/>
                                      <w:highlight w:val="none"/>
                                    </w:rPr>
                                    <w:t>1  项目水平衡图  单位：m³/d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6pt;margin-top:2.05pt;height:29.95pt;width:192.75pt;z-index:-251652096;mso-width-relative:page;mso-height-relative:page;" filled="f" stroked="f" coordsize="21600,21600" o:gfxdata="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TgPGraAAAACAEAAA8AAAAAAAAA&#10;AQAgAAAAIgAAAGRycy9kb3ducmV2LnhtbFBLAQIUABQAAAAIAIdO4kAJ9eCLSAIAAHQEAAAOAAAA&#10;AAAAAAEAIAAAACkBAABkcnMvZTJvRG9jLnhtbFBLBQYAAAAABgAGAFkBAADjBQAAAAA=&#10;">
                      <v:fill on="f" focussize="0,0"/>
                      <v:stroke on="f" weight="0.5pt"/>
                      <v:imagedata o:title=""/>
                      <o:lock v:ext="edit" aspectratio="f"/>
                      <v:textbox>
                        <w:txbxContent>
                          <w:p>
                            <w:pPr>
                              <w:rPr>
                                <w:highlight w:val="none"/>
                              </w:rPr>
                            </w:pPr>
                            <w:r>
                              <w:rPr>
                                <w:rFonts w:hint="default" w:ascii="Times New Roman" w:hAnsi="Times New Roman" w:cs="Times New Roman"/>
                                <w:b/>
                                <w:color w:val="auto"/>
                                <w:sz w:val="21"/>
                                <w:highlight w:val="none"/>
                              </w:rPr>
                              <w:t>图2</w:t>
                            </w:r>
                            <w:r>
                              <w:rPr>
                                <w:rFonts w:hint="default" w:ascii="Times New Roman" w:hAnsi="Times New Roman" w:cs="Times New Roman"/>
                                <w:b/>
                                <w:color w:val="auto"/>
                                <w:sz w:val="21"/>
                                <w:highlight w:val="none"/>
                                <w:lang w:val="en-US" w:eastAsia="zh-CN"/>
                              </w:rPr>
                              <w:t>-</w:t>
                            </w:r>
                            <w:r>
                              <w:rPr>
                                <w:rFonts w:hint="default" w:ascii="Times New Roman" w:hAnsi="Times New Roman" w:cs="Times New Roman"/>
                                <w:b/>
                                <w:color w:val="auto"/>
                                <w:sz w:val="21"/>
                                <w:highlight w:val="none"/>
                              </w:rPr>
                              <w:t>1  项目水平衡图  单位：m³/d</w:t>
                            </w:r>
                          </w:p>
                        </w:txbxContent>
                      </v:textbox>
                    </v:shape>
                  </w:pict>
                </mc:Fallback>
              </mc:AlternateConten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 xml:space="preserve">）供电 </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4"/>
                <w:szCs w:val="24"/>
                <w:highlight w:val="none"/>
                <w:lang w:val="en-US" w:eastAsia="zh-CN"/>
              </w:rPr>
              <w:t>本项目供电由</w:t>
            </w:r>
            <w:r>
              <w:rPr>
                <w:rFonts w:hint="eastAsia" w:ascii="Times New Roman" w:cs="Times New Roman"/>
                <w:color w:val="auto"/>
                <w:sz w:val="24"/>
                <w:szCs w:val="24"/>
                <w:highlight w:val="none"/>
                <w:lang w:val="en-US" w:eastAsia="zh-CN"/>
              </w:rPr>
              <w:t>谭</w:t>
            </w:r>
            <w:r>
              <w:rPr>
                <w:rFonts w:hint="default" w:ascii="Times New Roman" w:hAnsi="Times New Roman" w:eastAsia="宋体" w:cs="Times New Roman"/>
                <w:color w:val="auto"/>
                <w:sz w:val="24"/>
                <w:szCs w:val="24"/>
                <w:highlight w:val="none"/>
                <w:lang w:val="en-US" w:eastAsia="zh-CN"/>
              </w:rPr>
              <w:t>村供电系统引入，能够满足项目需求。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0" w:type="dxa"/>
            <w:vAlign w:val="center"/>
          </w:tcPr>
          <w:p>
            <w:pPr>
              <w:pStyle w:val="33"/>
              <w:adjustRightInd w:val="0"/>
              <w:snapToGrid w:val="0"/>
              <w:spacing w:before="0" w:beforeAutospacing="0" w:after="0" w:afterAutospacing="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工艺流程和产排污环节</w:t>
            </w:r>
          </w:p>
        </w:tc>
        <w:tc>
          <w:tcPr>
            <w:tcW w:w="8460" w:type="dxa"/>
            <w:vAlign w:val="top"/>
          </w:tcPr>
          <w:p>
            <w:pPr>
              <w:spacing w:line="360" w:lineRule="auto"/>
              <w:rPr>
                <w:rFonts w:hint="default" w:ascii="Times New Roman" w:hAnsi="Times New Roman" w:eastAsia="宋体" w:cs="Times New Roman"/>
                <w:b/>
                <w:bCs/>
                <w:kern w:val="24"/>
                <w:sz w:val="24"/>
                <w:szCs w:val="24"/>
                <w:lang w:val="en-US" w:eastAsia="zh-CN" w:bidi="ar-SA"/>
              </w:rPr>
            </w:pPr>
            <w:bookmarkStart w:id="47" w:name="OLE_LINK1"/>
            <w:r>
              <w:rPr>
                <w:rFonts w:hint="default" w:ascii="Times New Roman" w:hAnsi="Times New Roman" w:eastAsia="宋体" w:cs="Times New Roman"/>
                <w:b/>
                <w:bCs/>
                <w:kern w:val="24"/>
                <w:sz w:val="24"/>
                <w:szCs w:val="24"/>
                <w:lang w:val="en-US" w:eastAsia="zh-CN" w:bidi="ar-SA"/>
              </w:rPr>
              <w:pict>
                <v:shape id="_x0000_s1097" o:spid="_x0000_s1097" o:spt="75" type="#_x0000_t75" style="position:absolute;left:0pt;margin-left:29.9pt;margin-top:16.95pt;height:311.45pt;width:387.7pt;z-index:-251649024;mso-width-relative:page;mso-height-relative:page;" o:ole="t" filled="f" o:preferrelative="t" stroked="f" coordsize="21600,21600">
                  <v:path/>
                  <v:fill on="f" focussize="0,0"/>
                  <v:stroke on="f"/>
                  <v:imagedata r:id="rId16" o:title=""/>
                  <o:lock v:ext="edit" aspectratio="t"/>
                </v:shape>
                <o:OLEObject Type="Embed" ProgID="Visio.Drawing.11" ShapeID="_x0000_s1097" DrawAspect="Content" ObjectID="_1468075726" r:id="rId15">
                  <o:LockedField>false</o:LockedField>
                </o:OLEObject>
              </w:pict>
            </w:r>
            <w:r>
              <w:rPr>
                <w:rFonts w:hint="eastAsia" w:ascii="Times New Roman" w:hAnsi="Times New Roman" w:eastAsia="宋体" w:cs="Times New Roman"/>
                <w:b/>
                <w:bCs/>
                <w:kern w:val="24"/>
                <w:sz w:val="24"/>
                <w:szCs w:val="24"/>
                <w:lang w:val="en-US" w:eastAsia="zh-CN" w:bidi="ar-SA"/>
              </w:rPr>
              <w:t>1）</w:t>
            </w:r>
            <w:r>
              <w:rPr>
                <w:rFonts w:hint="default" w:ascii="Times New Roman" w:hAnsi="Times New Roman" w:eastAsia="宋体" w:cs="Times New Roman"/>
                <w:b/>
                <w:bCs/>
                <w:kern w:val="24"/>
                <w:sz w:val="24"/>
                <w:szCs w:val="24"/>
                <w:lang w:val="en-US" w:eastAsia="zh-CN" w:bidi="ar-SA"/>
              </w:rPr>
              <w:t>工艺流程简述</w:t>
            </w:r>
          </w:p>
          <w:p>
            <w:pPr>
              <w:spacing w:line="360" w:lineRule="auto"/>
              <w:rPr>
                <w:rFonts w:hint="default" w:ascii="Times New Roman" w:hAnsi="Times New Roman" w:eastAsia="宋体" w:cs="Times New Roman"/>
                <w:b/>
                <w:bCs/>
                <w:kern w:val="24"/>
                <w:sz w:val="24"/>
                <w:szCs w:val="24"/>
                <w:lang w:val="en-US" w:eastAsia="zh-CN" w:bidi="ar-SA"/>
              </w:rPr>
            </w:pPr>
          </w:p>
          <w:p>
            <w:pPr>
              <w:pStyle w:val="114"/>
              <w:keepNext w:val="0"/>
              <w:keepLines w:val="0"/>
              <w:pageBreakBefore w:val="0"/>
              <w:widowControl w:val="0"/>
              <w:kinsoku/>
              <w:wordWrap/>
              <w:overflowPunct/>
              <w:topLinePunct w:val="0"/>
              <w:bidi w:val="0"/>
              <w:snapToGrid w:val="0"/>
              <w:spacing w:line="360" w:lineRule="auto"/>
              <w:ind w:left="0" w:leftChars="0" w:right="0" w:rightChars="0" w:firstLine="480" w:firstLineChars="200"/>
              <w:jc w:val="both"/>
              <w:outlineLvl w:val="9"/>
              <w:rPr>
                <w:rFonts w:hint="default" w:ascii="Times New Roman" w:hAnsi="Times New Roman" w:cs="Times New Roman"/>
                <w:b w:val="0"/>
                <w:bCs w:val="0"/>
                <w:sz w:val="24"/>
                <w:szCs w:val="24"/>
                <w:lang w:val="en-US" w:eastAsia="zh-CN"/>
              </w:rPr>
            </w:pPr>
          </w:p>
          <w:p>
            <w:pPr>
              <w:pStyle w:val="114"/>
              <w:keepNext w:val="0"/>
              <w:keepLines w:val="0"/>
              <w:pageBreakBefore w:val="0"/>
              <w:widowControl w:val="0"/>
              <w:kinsoku/>
              <w:wordWrap/>
              <w:overflowPunct/>
              <w:topLinePunct w:val="0"/>
              <w:bidi w:val="0"/>
              <w:snapToGrid w:val="0"/>
              <w:spacing w:line="360" w:lineRule="auto"/>
              <w:ind w:left="0" w:leftChars="0" w:right="0" w:rightChars="0" w:firstLine="480" w:firstLineChars="200"/>
              <w:jc w:val="both"/>
              <w:outlineLvl w:val="9"/>
              <w:rPr>
                <w:rFonts w:hint="default" w:ascii="Times New Roman" w:hAnsi="Times New Roman" w:cs="Times New Roman"/>
                <w:b w:val="0"/>
                <w:bCs w:val="0"/>
                <w:sz w:val="24"/>
                <w:szCs w:val="24"/>
                <w:lang w:val="en-US" w:eastAsia="zh-CN"/>
              </w:rPr>
            </w:pPr>
          </w:p>
          <w:p>
            <w:pPr>
              <w:pStyle w:val="114"/>
              <w:keepNext w:val="0"/>
              <w:keepLines w:val="0"/>
              <w:pageBreakBefore w:val="0"/>
              <w:widowControl w:val="0"/>
              <w:kinsoku/>
              <w:wordWrap/>
              <w:overflowPunct/>
              <w:topLinePunct w:val="0"/>
              <w:bidi w:val="0"/>
              <w:snapToGrid w:val="0"/>
              <w:spacing w:line="360" w:lineRule="auto"/>
              <w:ind w:left="0" w:leftChars="0" w:right="0" w:rightChars="0" w:firstLine="480" w:firstLineChars="200"/>
              <w:jc w:val="both"/>
              <w:outlineLvl w:val="9"/>
              <w:rPr>
                <w:rFonts w:hint="default" w:ascii="Times New Roman" w:hAnsi="Times New Roman" w:cs="Times New Roman"/>
                <w:b w:val="0"/>
                <w:bCs w:val="0"/>
                <w:sz w:val="24"/>
                <w:szCs w:val="24"/>
                <w:lang w:val="en-US" w:eastAsia="zh-CN"/>
              </w:rPr>
            </w:pPr>
          </w:p>
          <w:p>
            <w:pPr>
              <w:pStyle w:val="114"/>
              <w:keepNext w:val="0"/>
              <w:keepLines w:val="0"/>
              <w:pageBreakBefore w:val="0"/>
              <w:widowControl w:val="0"/>
              <w:kinsoku/>
              <w:wordWrap/>
              <w:overflowPunct/>
              <w:topLinePunct w:val="0"/>
              <w:bidi w:val="0"/>
              <w:snapToGrid w:val="0"/>
              <w:spacing w:line="360" w:lineRule="auto"/>
              <w:ind w:left="0" w:leftChars="0" w:right="0" w:rightChars="0" w:firstLine="480" w:firstLineChars="200"/>
              <w:jc w:val="both"/>
              <w:outlineLvl w:val="9"/>
              <w:rPr>
                <w:rFonts w:hint="default" w:ascii="Times New Roman" w:hAnsi="Times New Roman" w:cs="Times New Roman"/>
                <w:b w:val="0"/>
                <w:bCs w:val="0"/>
                <w:sz w:val="24"/>
                <w:szCs w:val="24"/>
                <w:lang w:val="en-US" w:eastAsia="zh-CN"/>
              </w:rPr>
            </w:pPr>
          </w:p>
          <w:p>
            <w:pPr>
              <w:pStyle w:val="114"/>
              <w:keepNext w:val="0"/>
              <w:keepLines w:val="0"/>
              <w:pageBreakBefore w:val="0"/>
              <w:widowControl w:val="0"/>
              <w:kinsoku/>
              <w:wordWrap/>
              <w:overflowPunct/>
              <w:topLinePunct w:val="0"/>
              <w:bidi w:val="0"/>
              <w:snapToGrid w:val="0"/>
              <w:spacing w:line="360" w:lineRule="auto"/>
              <w:ind w:left="0" w:leftChars="0" w:right="0" w:rightChars="0" w:firstLine="480" w:firstLineChars="200"/>
              <w:jc w:val="both"/>
              <w:outlineLvl w:val="9"/>
              <w:rPr>
                <w:rFonts w:hint="default" w:ascii="Times New Roman" w:hAnsi="Times New Roman" w:cs="Times New Roman"/>
                <w:b w:val="0"/>
                <w:bCs w:val="0"/>
                <w:sz w:val="24"/>
                <w:szCs w:val="24"/>
                <w:lang w:val="en-US" w:eastAsia="zh-CN"/>
              </w:rPr>
            </w:pPr>
          </w:p>
          <w:p>
            <w:pPr>
              <w:pStyle w:val="114"/>
              <w:keepNext w:val="0"/>
              <w:keepLines w:val="0"/>
              <w:pageBreakBefore w:val="0"/>
              <w:widowControl w:val="0"/>
              <w:kinsoku/>
              <w:wordWrap/>
              <w:overflowPunct/>
              <w:topLinePunct w:val="0"/>
              <w:bidi w:val="0"/>
              <w:snapToGrid w:val="0"/>
              <w:spacing w:line="360" w:lineRule="auto"/>
              <w:ind w:left="0" w:leftChars="0" w:right="0" w:rightChars="0" w:firstLine="480" w:firstLineChars="200"/>
              <w:jc w:val="both"/>
              <w:outlineLvl w:val="9"/>
              <w:rPr>
                <w:rFonts w:hint="default" w:ascii="Times New Roman" w:hAnsi="Times New Roman" w:cs="Times New Roman"/>
                <w:b w:val="0"/>
                <w:bCs w:val="0"/>
                <w:sz w:val="24"/>
                <w:szCs w:val="24"/>
                <w:lang w:val="en-US" w:eastAsia="zh-CN"/>
              </w:rPr>
            </w:pPr>
          </w:p>
          <w:p>
            <w:pPr>
              <w:pStyle w:val="114"/>
              <w:keepNext w:val="0"/>
              <w:keepLines w:val="0"/>
              <w:pageBreakBefore w:val="0"/>
              <w:widowControl w:val="0"/>
              <w:kinsoku/>
              <w:wordWrap/>
              <w:overflowPunct/>
              <w:topLinePunct w:val="0"/>
              <w:bidi w:val="0"/>
              <w:snapToGrid w:val="0"/>
              <w:spacing w:line="360" w:lineRule="auto"/>
              <w:ind w:left="0" w:leftChars="0" w:right="0" w:rightChars="0" w:firstLine="480" w:firstLineChars="200"/>
              <w:jc w:val="both"/>
              <w:outlineLvl w:val="9"/>
              <w:rPr>
                <w:rFonts w:hint="default" w:ascii="Times New Roman" w:hAnsi="Times New Roman" w:cs="Times New Roman"/>
                <w:b w:val="0"/>
                <w:bCs w:val="0"/>
                <w:sz w:val="24"/>
                <w:szCs w:val="24"/>
                <w:lang w:val="en-US" w:eastAsia="zh-CN"/>
              </w:rPr>
            </w:pPr>
          </w:p>
          <w:p>
            <w:pPr>
              <w:pStyle w:val="114"/>
              <w:keepNext w:val="0"/>
              <w:keepLines w:val="0"/>
              <w:pageBreakBefore w:val="0"/>
              <w:widowControl w:val="0"/>
              <w:kinsoku/>
              <w:wordWrap/>
              <w:overflowPunct/>
              <w:topLinePunct w:val="0"/>
              <w:bidi w:val="0"/>
              <w:snapToGrid w:val="0"/>
              <w:spacing w:line="360" w:lineRule="auto"/>
              <w:ind w:left="0" w:leftChars="0" w:right="0" w:rightChars="0" w:firstLine="480" w:firstLineChars="200"/>
              <w:jc w:val="both"/>
              <w:outlineLvl w:val="9"/>
              <w:rPr>
                <w:rFonts w:hint="default" w:ascii="Times New Roman" w:hAnsi="Times New Roman" w:cs="Times New Roman"/>
                <w:b w:val="0"/>
                <w:bCs w:val="0"/>
                <w:sz w:val="24"/>
                <w:szCs w:val="24"/>
                <w:lang w:val="en-US" w:eastAsia="zh-CN"/>
              </w:rPr>
            </w:pPr>
          </w:p>
          <w:p>
            <w:pPr>
              <w:pStyle w:val="114"/>
              <w:keepNext w:val="0"/>
              <w:keepLines w:val="0"/>
              <w:pageBreakBefore w:val="0"/>
              <w:widowControl w:val="0"/>
              <w:kinsoku/>
              <w:wordWrap/>
              <w:overflowPunct/>
              <w:topLinePunct w:val="0"/>
              <w:bidi w:val="0"/>
              <w:snapToGrid w:val="0"/>
              <w:spacing w:line="360" w:lineRule="auto"/>
              <w:ind w:left="0" w:leftChars="0" w:right="0" w:rightChars="0" w:firstLine="480" w:firstLineChars="200"/>
              <w:jc w:val="both"/>
              <w:outlineLvl w:val="9"/>
              <w:rPr>
                <w:rFonts w:hint="default" w:ascii="Times New Roman" w:hAnsi="Times New Roman" w:cs="Times New Roman"/>
                <w:b w:val="0"/>
                <w:bCs w:val="0"/>
                <w:sz w:val="24"/>
                <w:szCs w:val="24"/>
                <w:lang w:val="en-US" w:eastAsia="zh-CN"/>
              </w:rPr>
            </w:pPr>
          </w:p>
          <w:p>
            <w:pPr>
              <w:pStyle w:val="114"/>
              <w:keepNext w:val="0"/>
              <w:keepLines w:val="0"/>
              <w:pageBreakBefore w:val="0"/>
              <w:widowControl w:val="0"/>
              <w:kinsoku/>
              <w:wordWrap/>
              <w:overflowPunct/>
              <w:topLinePunct w:val="0"/>
              <w:bidi w:val="0"/>
              <w:snapToGrid w:val="0"/>
              <w:spacing w:line="360" w:lineRule="auto"/>
              <w:ind w:left="0" w:leftChars="0" w:right="0" w:rightChars="0" w:firstLine="480" w:firstLineChars="200"/>
              <w:jc w:val="both"/>
              <w:outlineLvl w:val="9"/>
              <w:rPr>
                <w:rFonts w:hint="default" w:ascii="Times New Roman" w:hAnsi="Times New Roman" w:cs="Times New Roman"/>
                <w:b w:val="0"/>
                <w:bCs w:val="0"/>
                <w:sz w:val="24"/>
                <w:szCs w:val="24"/>
                <w:lang w:val="en-US" w:eastAsia="zh-CN"/>
              </w:rPr>
            </w:pPr>
          </w:p>
          <w:p>
            <w:pPr>
              <w:pStyle w:val="114"/>
              <w:keepNext w:val="0"/>
              <w:keepLines w:val="0"/>
              <w:pageBreakBefore w:val="0"/>
              <w:widowControl w:val="0"/>
              <w:kinsoku/>
              <w:wordWrap/>
              <w:overflowPunct/>
              <w:topLinePunct w:val="0"/>
              <w:bidi w:val="0"/>
              <w:snapToGrid w:val="0"/>
              <w:spacing w:line="360" w:lineRule="auto"/>
              <w:ind w:left="0" w:leftChars="0" w:right="0" w:rightChars="0" w:firstLine="480" w:firstLineChars="200"/>
              <w:jc w:val="both"/>
              <w:outlineLvl w:val="9"/>
              <w:rPr>
                <w:rFonts w:hint="default" w:ascii="Times New Roman" w:hAnsi="Times New Roman" w:cs="Times New Roman"/>
                <w:b w:val="0"/>
                <w:bCs w:val="0"/>
                <w:sz w:val="24"/>
                <w:szCs w:val="24"/>
                <w:lang w:val="en-US" w:eastAsia="zh-CN"/>
              </w:rPr>
            </w:pPr>
          </w:p>
          <w:p>
            <w:pPr>
              <w:pStyle w:val="114"/>
              <w:keepNext w:val="0"/>
              <w:keepLines w:val="0"/>
              <w:pageBreakBefore w:val="0"/>
              <w:widowControl w:val="0"/>
              <w:kinsoku/>
              <w:wordWrap/>
              <w:overflowPunct/>
              <w:topLinePunct w:val="0"/>
              <w:bidi w:val="0"/>
              <w:snapToGrid w:val="0"/>
              <w:spacing w:line="360" w:lineRule="auto"/>
              <w:ind w:left="0" w:leftChars="0" w:right="0" w:rightChars="0" w:firstLine="480" w:firstLineChars="200"/>
              <w:jc w:val="both"/>
              <w:outlineLvl w:val="9"/>
              <w:rPr>
                <w:rFonts w:hint="default" w:ascii="Times New Roman" w:hAnsi="Times New Roman" w:cs="Times New Roman"/>
                <w:b w:val="0"/>
                <w:bCs w:val="0"/>
                <w:sz w:val="24"/>
                <w:szCs w:val="24"/>
                <w:lang w:val="en-US" w:eastAsia="zh-CN"/>
              </w:rPr>
            </w:pPr>
          </w:p>
          <w:p>
            <w:pPr>
              <w:pStyle w:val="114"/>
              <w:keepNext w:val="0"/>
              <w:keepLines w:val="0"/>
              <w:pageBreakBefore w:val="0"/>
              <w:widowControl w:val="0"/>
              <w:kinsoku/>
              <w:wordWrap/>
              <w:overflowPunct/>
              <w:topLinePunct w:val="0"/>
              <w:bidi w:val="0"/>
              <w:snapToGrid w:val="0"/>
              <w:spacing w:line="360" w:lineRule="auto"/>
              <w:ind w:left="0" w:leftChars="0" w:right="0" w:rightChars="0" w:firstLine="480" w:firstLineChars="200"/>
              <w:jc w:val="both"/>
              <w:outlineLvl w:val="9"/>
              <w:rPr>
                <w:rFonts w:hint="default" w:ascii="Times New Roman" w:hAnsi="Times New Roman" w:cs="Times New Roman"/>
                <w:b w:val="0"/>
                <w:bCs w:val="0"/>
                <w:sz w:val="24"/>
                <w:szCs w:val="24"/>
                <w:lang w:val="en-US" w:eastAsia="zh-CN"/>
              </w:rPr>
            </w:pPr>
            <w:r>
              <w:rPr>
                <w:rFonts w:hint="default" w:ascii="Times New Roman" w:hAnsi="Times New Roman" w:cs="Times New Roman"/>
                <w:color w:val="0000FF"/>
              </w:rPr>
              <mc:AlternateContent>
                <mc:Choice Requires="wps">
                  <w:drawing>
                    <wp:anchor distT="0" distB="0" distL="114300" distR="114300" simplePos="0" relativeHeight="251665408" behindDoc="0" locked="0" layoutInCell="1" allowOverlap="1">
                      <wp:simplePos x="0" y="0"/>
                      <wp:positionH relativeFrom="column">
                        <wp:posOffset>1624330</wp:posOffset>
                      </wp:positionH>
                      <wp:positionV relativeFrom="paragraph">
                        <wp:posOffset>86360</wp:posOffset>
                      </wp:positionV>
                      <wp:extent cx="2042160" cy="25717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2042160" cy="257175"/>
                              </a:xfrm>
                              <a:prstGeom prst="rect">
                                <a:avLst/>
                              </a:prstGeom>
                              <a:noFill/>
                              <a:ln>
                                <a:noFill/>
                              </a:ln>
                            </wps:spPr>
                            <wps:txbx>
                              <w:txbxContent>
                                <w:p>
                                  <w:pPr>
                                    <w:rPr>
                                      <w:rFonts w:hint="default" w:ascii="Times New Roman" w:hAnsi="Times New Roman" w:eastAsia="宋体" w:cs="Times New Roman"/>
                                      <w:b/>
                                      <w:color w:val="auto"/>
                                      <w:sz w:val="21"/>
                                      <w:highlight w:val="none"/>
                                    </w:rPr>
                                  </w:pPr>
                                  <w:r>
                                    <w:rPr>
                                      <w:rFonts w:hint="default" w:ascii="Times New Roman" w:hAnsi="Times New Roman" w:eastAsia="宋体" w:cs="Times New Roman"/>
                                      <w:b/>
                                      <w:color w:val="auto"/>
                                      <w:sz w:val="21"/>
                                      <w:highlight w:val="none"/>
                                    </w:rPr>
                                    <w:t>图</w:t>
                                  </w:r>
                                  <w:r>
                                    <w:rPr>
                                      <w:rFonts w:hint="eastAsia" w:ascii="Times New Roman" w:hAnsi="Times New Roman" w:eastAsia="宋体" w:cs="Times New Roman"/>
                                      <w:b/>
                                      <w:color w:val="auto"/>
                                      <w:sz w:val="21"/>
                                      <w:highlight w:val="none"/>
                                    </w:rPr>
                                    <w:t>2-2</w:t>
                                  </w:r>
                                  <w:r>
                                    <w:rPr>
                                      <w:rFonts w:hint="default" w:ascii="Times New Roman" w:hAnsi="Times New Roman" w:eastAsia="宋体" w:cs="Times New Roman"/>
                                      <w:b/>
                                      <w:color w:val="auto"/>
                                      <w:sz w:val="21"/>
                                      <w:highlight w:val="none"/>
                                    </w:rPr>
                                    <w:t xml:space="preserve">  </w:t>
                                  </w:r>
                                  <w:r>
                                    <w:rPr>
                                      <w:rFonts w:hint="eastAsia" w:ascii="Times New Roman" w:hAnsi="Times New Roman" w:eastAsia="宋体" w:cs="Times New Roman"/>
                                      <w:b/>
                                      <w:color w:val="auto"/>
                                      <w:sz w:val="21"/>
                                      <w:highlight w:val="none"/>
                                    </w:rPr>
                                    <w:t>本项目生产工艺流程图</w:t>
                                  </w:r>
                                </w:p>
                              </w:txbxContent>
                            </wps:txbx>
                            <wps:bodyPr upright="1"/>
                          </wps:wsp>
                        </a:graphicData>
                      </a:graphic>
                    </wp:anchor>
                  </w:drawing>
                </mc:Choice>
                <mc:Fallback>
                  <w:pict>
                    <v:shape id="_x0000_s1026" o:spid="_x0000_s1026" o:spt="202" type="#_x0000_t202" style="position:absolute;left:0pt;margin-left:127.9pt;margin-top:6.8pt;height:20.25pt;width:160.8pt;z-index:251665408;mso-width-relative:page;mso-height-relative:page;" filled="f" stroked="f" coordsize="21600,21600" o:gfxdata="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bGdaz1wAA&#10;AAkBAAAPAAAAAAAAAAEAIAAAACIAAABkcnMvZG93bnJldi54bWxQSwECFAAUAAAACACHTuJAAuPv&#10;xK0BAABQAwAADgAAAAAAAAABACAAAAAmAQAAZHJzL2Uyb0RvYy54bWxQSwUGAAAAAAYABgBZAQAA&#10;RQUAAAAA&#10;">
                      <v:fill on="f" focussize="0,0"/>
                      <v:stroke on="f"/>
                      <v:imagedata o:title=""/>
                      <o:lock v:ext="edit" aspectratio="f"/>
                      <v:textbox>
                        <w:txbxContent>
                          <w:p>
                            <w:pPr>
                              <w:rPr>
                                <w:rFonts w:hint="default" w:ascii="Times New Roman" w:hAnsi="Times New Roman" w:eastAsia="宋体" w:cs="Times New Roman"/>
                                <w:b/>
                                <w:color w:val="auto"/>
                                <w:sz w:val="21"/>
                                <w:highlight w:val="none"/>
                              </w:rPr>
                            </w:pPr>
                            <w:r>
                              <w:rPr>
                                <w:rFonts w:hint="default" w:ascii="Times New Roman" w:hAnsi="Times New Roman" w:eastAsia="宋体" w:cs="Times New Roman"/>
                                <w:b/>
                                <w:color w:val="auto"/>
                                <w:sz w:val="21"/>
                                <w:highlight w:val="none"/>
                              </w:rPr>
                              <w:t>图</w:t>
                            </w:r>
                            <w:r>
                              <w:rPr>
                                <w:rFonts w:hint="eastAsia" w:ascii="Times New Roman" w:hAnsi="Times New Roman" w:eastAsia="宋体" w:cs="Times New Roman"/>
                                <w:b/>
                                <w:color w:val="auto"/>
                                <w:sz w:val="21"/>
                                <w:highlight w:val="none"/>
                              </w:rPr>
                              <w:t>2-2</w:t>
                            </w:r>
                            <w:r>
                              <w:rPr>
                                <w:rFonts w:hint="default" w:ascii="Times New Roman" w:hAnsi="Times New Roman" w:eastAsia="宋体" w:cs="Times New Roman"/>
                                <w:b/>
                                <w:color w:val="auto"/>
                                <w:sz w:val="21"/>
                                <w:highlight w:val="none"/>
                              </w:rPr>
                              <w:t xml:space="preserve">  </w:t>
                            </w:r>
                            <w:r>
                              <w:rPr>
                                <w:rFonts w:hint="eastAsia" w:ascii="Times New Roman" w:hAnsi="Times New Roman" w:eastAsia="宋体" w:cs="Times New Roman"/>
                                <w:b/>
                                <w:color w:val="auto"/>
                                <w:sz w:val="21"/>
                                <w:highlight w:val="none"/>
                              </w:rPr>
                              <w:t>本项目生产工艺流程图</w:t>
                            </w:r>
                          </w:p>
                        </w:txbxContent>
                      </v:textbox>
                    </v:shape>
                  </w:pict>
                </mc:Fallback>
              </mc:AlternateContent>
            </w:r>
          </w:p>
          <w:p>
            <w:pPr>
              <w:pStyle w:val="20"/>
              <w:keepNext w:val="0"/>
              <w:keepLines w:val="0"/>
              <w:pageBreakBefore w:val="0"/>
              <w:widowControl w:val="0"/>
              <w:numPr>
                <w:ilvl w:val="0"/>
                <w:numId w:val="0"/>
              </w:numPr>
              <w:kinsoku/>
              <w:wordWrap/>
              <w:overflowPunct/>
              <w:topLinePunct w:val="0"/>
              <w:autoSpaceDE/>
              <w:autoSpaceDN/>
              <w:bidi w:val="0"/>
              <w:spacing w:line="440" w:lineRule="exact"/>
              <w:ind w:firstLine="496" w:firstLineChars="200"/>
              <w:rPr>
                <w:rFonts w:hint="default" w:ascii="Times New Roman" w:hAnsi="Times New Roman" w:cs="Times New Roman"/>
                <w:spacing w:val="4"/>
                <w:sz w:val="24"/>
              </w:rPr>
            </w:pPr>
            <w:r>
              <w:rPr>
                <w:rFonts w:hint="default" w:ascii="Times New Roman" w:hAnsi="Times New Roman" w:cs="Times New Roman"/>
                <w:spacing w:val="4"/>
                <w:sz w:val="24"/>
              </w:rPr>
              <w:t>生产工艺流程如下：</w:t>
            </w:r>
          </w:p>
          <w:p>
            <w:pPr>
              <w:pStyle w:val="114"/>
              <w:keepNext w:val="0"/>
              <w:keepLines w:val="0"/>
              <w:pageBreakBefore w:val="0"/>
              <w:widowControl w:val="0"/>
              <w:kinsoku/>
              <w:wordWrap/>
              <w:overflowPunct/>
              <w:topLinePunct w:val="0"/>
              <w:autoSpaceDE/>
              <w:autoSpaceDN/>
              <w:bidi w:val="0"/>
              <w:snapToGrid w:val="0"/>
              <w:spacing w:line="440" w:lineRule="exact"/>
              <w:ind w:left="0" w:leftChars="0" w:right="0" w:rightChars="0" w:firstLine="480" w:firstLineChars="200"/>
              <w:jc w:val="both"/>
              <w:outlineLvl w:val="9"/>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①分拣：将收回的毛巾、被套、床单</w:t>
            </w:r>
            <w:r>
              <w:rPr>
                <w:rFonts w:hint="eastAsia" w:ascii="Times New Roman" w:cs="Times New Roman"/>
                <w:b w:val="0"/>
                <w:bCs w:val="0"/>
                <w:sz w:val="24"/>
                <w:szCs w:val="24"/>
                <w:lang w:val="en-US" w:eastAsia="zh-CN"/>
              </w:rPr>
              <w:t>和</w:t>
            </w:r>
            <w:r>
              <w:rPr>
                <w:rFonts w:hint="default" w:ascii="Times New Roman" w:hAnsi="Times New Roman" w:cs="Times New Roman"/>
                <w:b w:val="0"/>
                <w:bCs w:val="0"/>
                <w:sz w:val="24"/>
                <w:szCs w:val="24"/>
                <w:lang w:val="en-US" w:eastAsia="zh-CN"/>
              </w:rPr>
              <w:t>等待清洗的布草，统一分拣分类。</w:t>
            </w:r>
          </w:p>
          <w:p>
            <w:pPr>
              <w:pStyle w:val="114"/>
              <w:keepNext w:val="0"/>
              <w:keepLines w:val="0"/>
              <w:pageBreakBefore w:val="0"/>
              <w:widowControl w:val="0"/>
              <w:kinsoku/>
              <w:wordWrap/>
              <w:overflowPunct/>
              <w:topLinePunct w:val="0"/>
              <w:autoSpaceDE/>
              <w:autoSpaceDN/>
              <w:bidi w:val="0"/>
              <w:snapToGrid w:val="0"/>
              <w:spacing w:line="440" w:lineRule="exact"/>
              <w:ind w:left="0" w:leftChars="0" w:right="0" w:rightChars="0" w:firstLine="480" w:firstLineChars="200"/>
              <w:jc w:val="both"/>
              <w:outlineLvl w:val="9"/>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②清洗：将分拣出来的毛巾、被套、床单等送至洗涤区，投放至全自动水洗脱机内，加入一定量的洗衣粉后，由洗涤机自动进行洗涤、过水清洗、脱水等工序。该过程会产生废水和噪声。</w:t>
            </w:r>
          </w:p>
          <w:p>
            <w:pPr>
              <w:pStyle w:val="114"/>
              <w:keepNext w:val="0"/>
              <w:keepLines w:val="0"/>
              <w:pageBreakBefore w:val="0"/>
              <w:widowControl w:val="0"/>
              <w:kinsoku/>
              <w:wordWrap/>
              <w:overflowPunct/>
              <w:topLinePunct w:val="0"/>
              <w:autoSpaceDE/>
              <w:autoSpaceDN/>
              <w:bidi w:val="0"/>
              <w:snapToGrid w:val="0"/>
              <w:spacing w:line="440" w:lineRule="exact"/>
              <w:ind w:left="0" w:leftChars="0" w:right="0" w:rightChars="0" w:firstLine="480" w:firstLineChars="200"/>
              <w:jc w:val="both"/>
              <w:outlineLvl w:val="9"/>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③烘干：将清洗干净并脱水后的酒店布草送至烘干区，通过蒸汽加热烘干，烘干过程中会产生噪声。蒸汽由锅炉提供，锅炉以生物质作为燃料，在燃烧过程供气过程中会产生烟气。</w:t>
            </w:r>
          </w:p>
          <w:p>
            <w:pPr>
              <w:pStyle w:val="114"/>
              <w:keepNext w:val="0"/>
              <w:keepLines w:val="0"/>
              <w:pageBreakBefore w:val="0"/>
              <w:widowControl w:val="0"/>
              <w:kinsoku/>
              <w:wordWrap/>
              <w:overflowPunct/>
              <w:topLinePunct w:val="0"/>
              <w:autoSpaceDE/>
              <w:autoSpaceDN/>
              <w:bidi w:val="0"/>
              <w:snapToGrid w:val="0"/>
              <w:spacing w:line="440" w:lineRule="exact"/>
              <w:ind w:left="0" w:leftChars="0" w:right="0" w:rightChars="0" w:firstLine="480" w:firstLineChars="200"/>
              <w:jc w:val="both"/>
              <w:outlineLvl w:val="9"/>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④烫平：将烘干的布草（毛巾类除外）送至烫平区进行烫平，该过程会产生噪声。烫平以蒸汽作为热源，蒸汽由锅炉提供，锅炉以生物质作为燃料，在燃烧过程供气过程中会产生烟气。</w:t>
            </w:r>
          </w:p>
          <w:p>
            <w:pPr>
              <w:pStyle w:val="114"/>
              <w:keepNext w:val="0"/>
              <w:keepLines w:val="0"/>
              <w:pageBreakBefore w:val="0"/>
              <w:widowControl w:val="0"/>
              <w:kinsoku/>
              <w:wordWrap/>
              <w:overflowPunct/>
              <w:topLinePunct w:val="0"/>
              <w:autoSpaceDE/>
              <w:autoSpaceDN/>
              <w:bidi w:val="0"/>
              <w:snapToGrid w:val="0"/>
              <w:spacing w:line="440" w:lineRule="exact"/>
              <w:ind w:left="0" w:leftChars="0" w:right="0" w:rightChars="0" w:firstLine="480" w:firstLineChars="200"/>
              <w:jc w:val="both"/>
              <w:outlineLvl w:val="9"/>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⑤折叠：将已烘干的毛巾类布草和烫平的其他类布草送至折叠区的全自动折叠机进行折叠整理。</w:t>
            </w:r>
          </w:p>
          <w:p>
            <w:pPr>
              <w:pStyle w:val="114"/>
              <w:keepNext w:val="0"/>
              <w:keepLines w:val="0"/>
              <w:pageBreakBefore w:val="0"/>
              <w:widowControl w:val="0"/>
              <w:kinsoku/>
              <w:wordWrap/>
              <w:overflowPunct/>
              <w:topLinePunct w:val="0"/>
              <w:autoSpaceDE/>
              <w:autoSpaceDN/>
              <w:bidi w:val="0"/>
              <w:snapToGrid w:val="0"/>
              <w:spacing w:line="440" w:lineRule="exact"/>
              <w:ind w:left="0" w:leftChars="0" w:right="0" w:rightChars="0" w:firstLine="480" w:firstLineChars="200"/>
              <w:jc w:val="both"/>
              <w:outlineLvl w:val="9"/>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⑥打包和出货：将折叠好的布草捆扎打包出货。</w:t>
            </w:r>
            <w:bookmarkEnd w:id="47"/>
          </w:p>
          <w:p>
            <w:pPr>
              <w:pStyle w:val="114"/>
              <w:keepNext w:val="0"/>
              <w:keepLines w:val="0"/>
              <w:pageBreakBefore w:val="0"/>
              <w:widowControl w:val="0"/>
              <w:kinsoku/>
              <w:wordWrap/>
              <w:overflowPunct/>
              <w:topLinePunct w:val="0"/>
              <w:autoSpaceDE/>
              <w:autoSpaceDN/>
              <w:bidi w:val="0"/>
              <w:snapToGrid w:val="0"/>
              <w:spacing w:line="440" w:lineRule="exact"/>
              <w:ind w:right="0" w:rightChars="0"/>
              <w:jc w:val="both"/>
              <w:outlineLvl w:val="9"/>
              <w:rPr>
                <w:rFonts w:hint="default" w:ascii="Times New Roman" w:hAnsi="Times New Roman" w:cs="Times New Roman"/>
                <w:b/>
                <w:bCs/>
                <w:sz w:val="24"/>
                <w:szCs w:val="24"/>
                <w:lang w:val="en-US" w:eastAsia="zh-CN"/>
              </w:rPr>
            </w:pPr>
            <w:r>
              <w:rPr>
                <w:rFonts w:hint="eastAsia" w:ascii="Times New Roman" w:cs="Times New Roman"/>
                <w:b/>
                <w:bCs/>
                <w:sz w:val="24"/>
                <w:szCs w:val="24"/>
                <w:lang w:val="en-US" w:eastAsia="zh-CN"/>
              </w:rPr>
              <w:t>2）</w:t>
            </w:r>
            <w:r>
              <w:rPr>
                <w:rFonts w:hint="default" w:ascii="Times New Roman" w:hAnsi="Times New Roman" w:cs="Times New Roman"/>
                <w:b/>
                <w:bCs/>
                <w:sz w:val="24"/>
                <w:szCs w:val="24"/>
                <w:lang w:val="en-US" w:eastAsia="zh-CN"/>
              </w:rPr>
              <w:t>运营期主要污染分析</w:t>
            </w:r>
          </w:p>
          <w:p>
            <w:pPr>
              <w:pStyle w:val="114"/>
              <w:keepNext w:val="0"/>
              <w:keepLines w:val="0"/>
              <w:pageBreakBefore w:val="0"/>
              <w:widowControl w:val="0"/>
              <w:kinsoku/>
              <w:wordWrap/>
              <w:overflowPunct/>
              <w:topLinePunct w:val="0"/>
              <w:autoSpaceDE/>
              <w:autoSpaceDN/>
              <w:bidi w:val="0"/>
              <w:snapToGrid w:val="0"/>
              <w:spacing w:line="440" w:lineRule="exact"/>
              <w:ind w:left="0" w:leftChars="0" w:right="0" w:rightChars="0" w:firstLine="480" w:firstLineChars="200"/>
              <w:jc w:val="both"/>
              <w:outlineLvl w:val="9"/>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1、大气污染物</w:t>
            </w:r>
          </w:p>
          <w:p>
            <w:pPr>
              <w:pStyle w:val="114"/>
              <w:keepNext w:val="0"/>
              <w:keepLines w:val="0"/>
              <w:pageBreakBefore w:val="0"/>
              <w:widowControl w:val="0"/>
              <w:kinsoku/>
              <w:wordWrap/>
              <w:overflowPunct/>
              <w:topLinePunct w:val="0"/>
              <w:autoSpaceDE/>
              <w:autoSpaceDN/>
              <w:bidi w:val="0"/>
              <w:snapToGrid w:val="0"/>
              <w:spacing w:line="440" w:lineRule="exact"/>
              <w:ind w:left="0" w:leftChars="0" w:right="0" w:rightChars="0" w:firstLine="480" w:firstLineChars="200"/>
              <w:jc w:val="both"/>
              <w:outlineLvl w:val="9"/>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（1）生物质蒸汽锅炉</w:t>
            </w:r>
            <w:r>
              <w:rPr>
                <w:rFonts w:hint="eastAsia" w:ascii="Times New Roman" w:cs="Times New Roman"/>
                <w:b w:val="0"/>
                <w:bCs w:val="0"/>
                <w:sz w:val="24"/>
                <w:szCs w:val="24"/>
                <w:lang w:val="en-US" w:eastAsia="zh-CN"/>
              </w:rPr>
              <w:t>废气</w:t>
            </w:r>
            <w:r>
              <w:rPr>
                <w:rFonts w:hint="default" w:ascii="Times New Roman" w:hAnsi="Times New Roman" w:cs="Times New Roman"/>
                <w:b w:val="0"/>
                <w:bCs w:val="0"/>
                <w:sz w:val="24"/>
                <w:szCs w:val="24"/>
                <w:lang w:val="en-US" w:eastAsia="zh-CN"/>
              </w:rPr>
              <w:t>G1；</w:t>
            </w:r>
          </w:p>
          <w:p>
            <w:pPr>
              <w:pStyle w:val="114"/>
              <w:keepNext w:val="0"/>
              <w:keepLines w:val="0"/>
              <w:pageBreakBefore w:val="0"/>
              <w:widowControl w:val="0"/>
              <w:kinsoku/>
              <w:wordWrap/>
              <w:overflowPunct/>
              <w:topLinePunct w:val="0"/>
              <w:autoSpaceDE/>
              <w:autoSpaceDN/>
              <w:bidi w:val="0"/>
              <w:snapToGrid w:val="0"/>
              <w:spacing w:line="440" w:lineRule="exact"/>
              <w:ind w:left="0" w:leftChars="0" w:right="0" w:rightChars="0" w:firstLine="480" w:firstLineChars="200"/>
              <w:jc w:val="both"/>
              <w:outlineLvl w:val="9"/>
              <w:rPr>
                <w:rFonts w:hint="default" w:ascii="Times New Roman" w:hAnsi="Times New Roman" w:cs="Times New Roman"/>
                <w:b w:val="0"/>
                <w:bCs w:val="0"/>
                <w:sz w:val="24"/>
                <w:szCs w:val="24"/>
                <w:highlight w:val="none"/>
                <w:lang w:val="en-US" w:eastAsia="zh-CN"/>
              </w:rPr>
            </w:pPr>
            <w:r>
              <w:rPr>
                <w:rFonts w:hint="default" w:ascii="Times New Roman" w:hAnsi="Times New Roman" w:cs="Times New Roman"/>
                <w:b w:val="0"/>
                <w:bCs w:val="0"/>
                <w:sz w:val="24"/>
                <w:szCs w:val="24"/>
                <w:highlight w:val="none"/>
                <w:lang w:val="en-US" w:eastAsia="zh-CN"/>
              </w:rPr>
              <w:t>（2）污水处理站恶臭G2</w:t>
            </w:r>
            <w:r>
              <w:rPr>
                <w:rFonts w:hint="eastAsia" w:ascii="Times New Roman" w:cs="Times New Roman"/>
                <w:b w:val="0"/>
                <w:bCs w:val="0"/>
                <w:sz w:val="24"/>
                <w:szCs w:val="24"/>
                <w:highlight w:val="none"/>
                <w:lang w:val="en-US" w:eastAsia="zh-CN"/>
              </w:rPr>
              <w:t>。</w:t>
            </w:r>
          </w:p>
          <w:p>
            <w:pPr>
              <w:pStyle w:val="114"/>
              <w:keepNext w:val="0"/>
              <w:keepLines w:val="0"/>
              <w:pageBreakBefore w:val="0"/>
              <w:widowControl w:val="0"/>
              <w:kinsoku/>
              <w:wordWrap/>
              <w:overflowPunct/>
              <w:topLinePunct w:val="0"/>
              <w:autoSpaceDE/>
              <w:autoSpaceDN/>
              <w:bidi w:val="0"/>
              <w:snapToGrid w:val="0"/>
              <w:spacing w:line="440" w:lineRule="exact"/>
              <w:ind w:left="0" w:leftChars="0" w:right="0" w:rightChars="0" w:firstLine="480" w:firstLineChars="200"/>
              <w:jc w:val="both"/>
              <w:outlineLvl w:val="9"/>
              <w:rPr>
                <w:rFonts w:hint="default" w:ascii="Times New Roman" w:hAnsi="Times New Roman" w:cs="Times New Roman"/>
                <w:b w:val="0"/>
                <w:bCs w:val="0"/>
                <w:sz w:val="24"/>
                <w:szCs w:val="24"/>
                <w:highlight w:val="none"/>
                <w:lang w:val="en-US" w:eastAsia="zh-CN"/>
              </w:rPr>
            </w:pPr>
            <w:r>
              <w:rPr>
                <w:rFonts w:hint="default" w:ascii="Times New Roman" w:hAnsi="Times New Roman" w:cs="Times New Roman"/>
                <w:b w:val="0"/>
                <w:bCs w:val="0"/>
                <w:sz w:val="24"/>
                <w:szCs w:val="24"/>
                <w:highlight w:val="none"/>
                <w:lang w:val="en-US" w:eastAsia="zh-CN"/>
              </w:rPr>
              <w:t>2、废水</w:t>
            </w:r>
          </w:p>
          <w:p>
            <w:pPr>
              <w:pStyle w:val="114"/>
              <w:keepNext w:val="0"/>
              <w:keepLines w:val="0"/>
              <w:pageBreakBefore w:val="0"/>
              <w:widowControl w:val="0"/>
              <w:kinsoku/>
              <w:wordWrap/>
              <w:overflowPunct/>
              <w:topLinePunct w:val="0"/>
              <w:autoSpaceDE/>
              <w:autoSpaceDN/>
              <w:bidi w:val="0"/>
              <w:snapToGrid w:val="0"/>
              <w:spacing w:line="440" w:lineRule="exact"/>
              <w:ind w:left="0" w:leftChars="0" w:right="0" w:rightChars="0" w:firstLine="480" w:firstLineChars="200"/>
              <w:jc w:val="both"/>
              <w:outlineLvl w:val="9"/>
              <w:rPr>
                <w:rFonts w:hint="default" w:ascii="Times New Roman" w:hAnsi="Times New Roman" w:cs="Times New Roman"/>
                <w:b w:val="0"/>
                <w:bCs w:val="0"/>
                <w:sz w:val="24"/>
                <w:szCs w:val="24"/>
                <w:highlight w:val="none"/>
                <w:lang w:val="en-US" w:eastAsia="zh-CN"/>
              </w:rPr>
            </w:pPr>
            <w:r>
              <w:rPr>
                <w:rFonts w:hint="default" w:ascii="Times New Roman" w:hAnsi="Times New Roman" w:cs="Times New Roman"/>
                <w:b w:val="0"/>
                <w:bCs w:val="0"/>
                <w:sz w:val="24"/>
                <w:szCs w:val="24"/>
                <w:highlight w:val="none"/>
                <w:lang w:val="en-US" w:eastAsia="zh-CN"/>
              </w:rPr>
              <w:t>（1）办公生活废水W1；</w:t>
            </w:r>
          </w:p>
          <w:p>
            <w:pPr>
              <w:pStyle w:val="114"/>
              <w:keepNext w:val="0"/>
              <w:keepLines w:val="0"/>
              <w:pageBreakBefore w:val="0"/>
              <w:widowControl w:val="0"/>
              <w:kinsoku/>
              <w:wordWrap/>
              <w:overflowPunct/>
              <w:topLinePunct w:val="0"/>
              <w:autoSpaceDE/>
              <w:autoSpaceDN/>
              <w:bidi w:val="0"/>
              <w:snapToGrid w:val="0"/>
              <w:spacing w:line="440" w:lineRule="exact"/>
              <w:ind w:left="0" w:leftChars="0" w:right="0" w:rightChars="0" w:firstLine="480" w:firstLineChars="200"/>
              <w:jc w:val="both"/>
              <w:outlineLvl w:val="9"/>
              <w:rPr>
                <w:rFonts w:hint="default" w:ascii="Times New Roman" w:hAnsi="Times New Roman" w:cs="Times New Roman"/>
                <w:b w:val="0"/>
                <w:bCs w:val="0"/>
                <w:sz w:val="24"/>
                <w:szCs w:val="24"/>
                <w:highlight w:val="none"/>
                <w:lang w:val="en-US" w:eastAsia="zh-CN"/>
              </w:rPr>
            </w:pPr>
            <w:r>
              <w:rPr>
                <w:rFonts w:hint="default" w:ascii="Times New Roman" w:hAnsi="Times New Roman" w:cs="Times New Roman"/>
                <w:b w:val="0"/>
                <w:bCs w:val="0"/>
                <w:sz w:val="24"/>
                <w:szCs w:val="24"/>
                <w:highlight w:val="none"/>
                <w:lang w:val="en-US" w:eastAsia="zh-CN"/>
              </w:rPr>
              <w:t>（2）</w:t>
            </w:r>
            <w:r>
              <w:rPr>
                <w:rFonts w:hint="eastAsia" w:ascii="Times New Roman" w:cs="Times New Roman"/>
                <w:b w:val="0"/>
                <w:bCs w:val="0"/>
                <w:sz w:val="24"/>
                <w:szCs w:val="24"/>
                <w:highlight w:val="none"/>
                <w:lang w:val="en-US" w:eastAsia="zh-CN"/>
              </w:rPr>
              <w:t>洗涤废</w:t>
            </w:r>
            <w:r>
              <w:rPr>
                <w:rFonts w:hint="default" w:ascii="Times New Roman" w:hAnsi="Times New Roman" w:cs="Times New Roman"/>
                <w:b w:val="0"/>
                <w:bCs w:val="0"/>
                <w:sz w:val="24"/>
                <w:szCs w:val="24"/>
                <w:highlight w:val="none"/>
                <w:lang w:val="en-US" w:eastAsia="zh-CN"/>
              </w:rPr>
              <w:t>水W2；</w:t>
            </w:r>
          </w:p>
          <w:p>
            <w:pPr>
              <w:pStyle w:val="114"/>
              <w:keepNext w:val="0"/>
              <w:keepLines w:val="0"/>
              <w:pageBreakBefore w:val="0"/>
              <w:widowControl w:val="0"/>
              <w:kinsoku/>
              <w:wordWrap/>
              <w:overflowPunct/>
              <w:topLinePunct w:val="0"/>
              <w:autoSpaceDE/>
              <w:autoSpaceDN/>
              <w:bidi w:val="0"/>
              <w:snapToGrid w:val="0"/>
              <w:spacing w:line="440" w:lineRule="exact"/>
              <w:ind w:left="0" w:leftChars="0" w:right="0" w:rightChars="0" w:firstLine="480" w:firstLineChars="200"/>
              <w:jc w:val="both"/>
              <w:outlineLvl w:val="9"/>
              <w:rPr>
                <w:rFonts w:hint="default" w:ascii="Times New Roman" w:hAnsi="Times New Roman" w:cs="Times New Roman"/>
                <w:b w:val="0"/>
                <w:bCs w:val="0"/>
                <w:sz w:val="24"/>
                <w:szCs w:val="24"/>
                <w:highlight w:val="none"/>
                <w:lang w:val="en-US" w:eastAsia="zh-CN"/>
              </w:rPr>
            </w:pPr>
            <w:r>
              <w:rPr>
                <w:rFonts w:hint="default" w:ascii="Times New Roman" w:hAnsi="Times New Roman" w:cs="Times New Roman"/>
                <w:b w:val="0"/>
                <w:bCs w:val="0"/>
                <w:sz w:val="24"/>
                <w:szCs w:val="24"/>
                <w:highlight w:val="none"/>
                <w:lang w:val="en-US" w:eastAsia="zh-CN"/>
              </w:rPr>
              <w:t>（3）</w:t>
            </w:r>
            <w:r>
              <w:rPr>
                <w:rFonts w:hint="eastAsia" w:ascii="Times New Roman" w:cs="Times New Roman"/>
                <w:b w:val="0"/>
                <w:bCs w:val="0"/>
                <w:sz w:val="24"/>
                <w:szCs w:val="24"/>
                <w:highlight w:val="none"/>
                <w:lang w:val="en-US" w:eastAsia="zh-CN"/>
              </w:rPr>
              <w:t>锅炉定排</w:t>
            </w:r>
            <w:r>
              <w:rPr>
                <w:rFonts w:hint="default" w:ascii="Times New Roman" w:hAnsi="Times New Roman" w:cs="Times New Roman"/>
                <w:b w:val="0"/>
                <w:bCs w:val="0"/>
                <w:sz w:val="24"/>
                <w:szCs w:val="24"/>
                <w:highlight w:val="none"/>
                <w:lang w:val="en-US" w:eastAsia="zh-CN"/>
              </w:rPr>
              <w:t>水W3。</w:t>
            </w:r>
          </w:p>
          <w:p>
            <w:pPr>
              <w:pStyle w:val="114"/>
              <w:keepNext w:val="0"/>
              <w:keepLines w:val="0"/>
              <w:pageBreakBefore w:val="0"/>
              <w:widowControl w:val="0"/>
              <w:kinsoku/>
              <w:wordWrap/>
              <w:overflowPunct/>
              <w:topLinePunct w:val="0"/>
              <w:autoSpaceDE/>
              <w:autoSpaceDN/>
              <w:bidi w:val="0"/>
              <w:snapToGrid w:val="0"/>
              <w:spacing w:line="440" w:lineRule="exact"/>
              <w:ind w:left="0" w:leftChars="0" w:right="0" w:rightChars="0" w:firstLine="480" w:firstLineChars="200"/>
              <w:jc w:val="both"/>
              <w:outlineLvl w:val="9"/>
              <w:rPr>
                <w:rFonts w:hint="default" w:ascii="Times New Roman" w:hAnsi="Times New Roman" w:cs="Times New Roman"/>
                <w:b w:val="0"/>
                <w:bCs w:val="0"/>
                <w:sz w:val="24"/>
                <w:szCs w:val="24"/>
                <w:highlight w:val="none"/>
                <w:lang w:val="en-US" w:eastAsia="zh-CN"/>
              </w:rPr>
            </w:pPr>
            <w:r>
              <w:rPr>
                <w:rFonts w:hint="eastAsia" w:ascii="Times New Roman" w:cs="Times New Roman"/>
                <w:b w:val="0"/>
                <w:bCs w:val="0"/>
                <w:sz w:val="24"/>
                <w:szCs w:val="24"/>
                <w:highlight w:val="none"/>
                <w:lang w:val="en-US" w:eastAsia="zh-CN"/>
              </w:rPr>
              <w:t>3</w:t>
            </w:r>
            <w:r>
              <w:rPr>
                <w:rFonts w:hint="default" w:ascii="Times New Roman" w:hAnsi="Times New Roman" w:cs="Times New Roman"/>
                <w:b w:val="0"/>
                <w:bCs w:val="0"/>
                <w:sz w:val="24"/>
                <w:szCs w:val="24"/>
                <w:highlight w:val="none"/>
                <w:lang w:val="en-US" w:eastAsia="zh-CN"/>
              </w:rPr>
              <w:t>、噪声</w:t>
            </w:r>
          </w:p>
          <w:p>
            <w:pPr>
              <w:pStyle w:val="114"/>
              <w:keepNext w:val="0"/>
              <w:keepLines w:val="0"/>
              <w:pageBreakBefore w:val="0"/>
              <w:widowControl w:val="0"/>
              <w:kinsoku/>
              <w:wordWrap/>
              <w:overflowPunct/>
              <w:topLinePunct w:val="0"/>
              <w:autoSpaceDE/>
              <w:autoSpaceDN/>
              <w:bidi w:val="0"/>
              <w:snapToGrid w:val="0"/>
              <w:spacing w:line="440" w:lineRule="exact"/>
              <w:ind w:left="0" w:leftChars="0" w:right="0" w:rightChars="0" w:firstLine="480" w:firstLineChars="200"/>
              <w:jc w:val="both"/>
              <w:outlineLvl w:val="9"/>
              <w:rPr>
                <w:rFonts w:hint="default" w:ascii="Times New Roman" w:hAnsi="Times New Roman" w:cs="Times New Roman"/>
                <w:b w:val="0"/>
                <w:bCs w:val="0"/>
                <w:sz w:val="24"/>
                <w:szCs w:val="24"/>
                <w:highlight w:val="none"/>
                <w:lang w:val="en-US" w:eastAsia="zh-CN"/>
              </w:rPr>
            </w:pPr>
            <w:r>
              <w:rPr>
                <w:rFonts w:hint="default" w:ascii="Times New Roman" w:hAnsi="Times New Roman" w:cs="Times New Roman"/>
                <w:b w:val="0"/>
                <w:bCs w:val="0"/>
                <w:sz w:val="24"/>
                <w:szCs w:val="24"/>
                <w:highlight w:val="none"/>
                <w:lang w:val="en-US" w:eastAsia="zh-CN"/>
              </w:rPr>
              <w:t>本项目噪声主要来源于洗衣机、烘干机、烫平机、锅炉、水泵、风机等机械噪声，噪声值约为70dB(A)~85dB(A)</w:t>
            </w:r>
            <w:r>
              <w:rPr>
                <w:rFonts w:hint="eastAsia" w:ascii="Times New Roman" w:cs="Times New Roman"/>
                <w:b w:val="0"/>
                <w:bCs w:val="0"/>
                <w:sz w:val="24"/>
                <w:szCs w:val="24"/>
                <w:highlight w:val="none"/>
                <w:lang w:val="en-US" w:eastAsia="zh-CN"/>
              </w:rPr>
              <w:t>。</w:t>
            </w:r>
          </w:p>
          <w:p>
            <w:pPr>
              <w:pStyle w:val="114"/>
              <w:keepNext w:val="0"/>
              <w:keepLines w:val="0"/>
              <w:pageBreakBefore w:val="0"/>
              <w:widowControl w:val="0"/>
              <w:kinsoku/>
              <w:wordWrap/>
              <w:overflowPunct/>
              <w:topLinePunct w:val="0"/>
              <w:autoSpaceDE/>
              <w:autoSpaceDN/>
              <w:bidi w:val="0"/>
              <w:snapToGrid w:val="0"/>
              <w:spacing w:line="440" w:lineRule="exact"/>
              <w:ind w:left="0" w:leftChars="0" w:right="0" w:rightChars="0" w:firstLine="480" w:firstLineChars="200"/>
              <w:jc w:val="both"/>
              <w:outlineLvl w:val="9"/>
              <w:rPr>
                <w:rFonts w:hint="default" w:ascii="Times New Roman" w:hAnsi="Times New Roman" w:cs="Times New Roman"/>
                <w:b w:val="0"/>
                <w:bCs w:val="0"/>
                <w:sz w:val="24"/>
                <w:szCs w:val="24"/>
                <w:highlight w:val="none"/>
                <w:lang w:val="en-US" w:eastAsia="zh-CN"/>
              </w:rPr>
            </w:pPr>
            <w:r>
              <w:rPr>
                <w:rFonts w:hint="eastAsia" w:ascii="Times New Roman" w:cs="Times New Roman"/>
                <w:b w:val="0"/>
                <w:bCs w:val="0"/>
                <w:sz w:val="24"/>
                <w:szCs w:val="24"/>
                <w:highlight w:val="none"/>
                <w:lang w:val="en-US" w:eastAsia="zh-CN"/>
              </w:rPr>
              <w:t>4</w:t>
            </w:r>
            <w:r>
              <w:rPr>
                <w:rFonts w:hint="default" w:ascii="Times New Roman" w:hAnsi="Times New Roman" w:cs="Times New Roman"/>
                <w:b w:val="0"/>
                <w:bCs w:val="0"/>
                <w:sz w:val="24"/>
                <w:szCs w:val="24"/>
                <w:highlight w:val="none"/>
                <w:lang w:val="en-US" w:eastAsia="zh-CN"/>
              </w:rPr>
              <w:t>、固体废物</w:t>
            </w:r>
          </w:p>
          <w:p>
            <w:pPr>
              <w:pStyle w:val="114"/>
              <w:keepNext w:val="0"/>
              <w:keepLines w:val="0"/>
              <w:pageBreakBefore w:val="0"/>
              <w:widowControl w:val="0"/>
              <w:kinsoku/>
              <w:wordWrap/>
              <w:overflowPunct/>
              <w:topLinePunct w:val="0"/>
              <w:autoSpaceDE/>
              <w:autoSpaceDN/>
              <w:bidi w:val="0"/>
              <w:snapToGrid w:val="0"/>
              <w:spacing w:line="440" w:lineRule="exact"/>
              <w:ind w:left="0" w:leftChars="0" w:right="0" w:rightChars="0" w:firstLine="480" w:firstLineChars="200"/>
              <w:jc w:val="both"/>
              <w:outlineLvl w:val="9"/>
              <w:rPr>
                <w:rFonts w:hint="default" w:ascii="Times New Roman" w:hAnsi="Times New Roman" w:cs="Times New Roman"/>
                <w:b w:val="0"/>
                <w:bCs w:val="0"/>
                <w:sz w:val="24"/>
                <w:szCs w:val="24"/>
                <w:lang w:val="en-US" w:eastAsia="zh-CN"/>
              </w:rPr>
            </w:pPr>
            <w:r>
              <w:rPr>
                <w:rFonts w:hint="eastAsia" w:ascii="Times New Roman" w:cs="Times New Roman"/>
                <w:b w:val="0"/>
                <w:bCs w:val="0"/>
                <w:sz w:val="24"/>
                <w:szCs w:val="24"/>
                <w:highlight w:val="none"/>
                <w:lang w:val="en-US" w:eastAsia="zh-CN"/>
              </w:rPr>
              <w:t>（1）</w:t>
            </w:r>
            <w:r>
              <w:rPr>
                <w:rFonts w:hint="default" w:ascii="Times New Roman" w:hAnsi="Times New Roman" w:cs="Times New Roman"/>
                <w:b w:val="0"/>
                <w:bCs w:val="0"/>
                <w:sz w:val="24"/>
                <w:szCs w:val="24"/>
                <w:highlight w:val="none"/>
                <w:lang w:val="en-US" w:eastAsia="zh-CN"/>
              </w:rPr>
              <w:t>员工生活垃圾</w:t>
            </w:r>
            <w:r>
              <w:rPr>
                <w:rFonts w:hint="eastAsia" w:ascii="Times New Roman" w:cs="Times New Roman"/>
                <w:b w:val="0"/>
                <w:bCs w:val="0"/>
                <w:sz w:val="24"/>
                <w:szCs w:val="24"/>
                <w:highlight w:val="none"/>
                <w:lang w:val="en-US" w:eastAsia="zh-CN"/>
              </w:rPr>
              <w:t>；（2）</w:t>
            </w:r>
            <w:r>
              <w:rPr>
                <w:rFonts w:hint="default" w:ascii="Times New Roman" w:hAnsi="Times New Roman" w:cs="Times New Roman"/>
                <w:b w:val="0"/>
                <w:bCs w:val="0"/>
                <w:sz w:val="24"/>
                <w:szCs w:val="24"/>
                <w:highlight w:val="none"/>
                <w:lang w:val="en-US" w:eastAsia="zh-CN"/>
              </w:rPr>
              <w:t>包装原辅料的废包装袋</w:t>
            </w:r>
            <w:r>
              <w:rPr>
                <w:rFonts w:hint="eastAsia" w:ascii="Times New Roman" w:cs="Times New Roman"/>
                <w:b w:val="0"/>
                <w:bCs w:val="0"/>
                <w:sz w:val="24"/>
                <w:szCs w:val="24"/>
                <w:highlight w:val="none"/>
                <w:lang w:val="en-US" w:eastAsia="zh-CN"/>
              </w:rPr>
              <w:t>；（3）</w:t>
            </w:r>
            <w:r>
              <w:rPr>
                <w:rFonts w:hint="default" w:ascii="Times New Roman" w:hAnsi="Times New Roman" w:cs="Times New Roman"/>
                <w:b w:val="0"/>
                <w:bCs w:val="0"/>
                <w:sz w:val="24"/>
                <w:szCs w:val="24"/>
                <w:highlight w:val="none"/>
                <w:lang w:val="en-US" w:eastAsia="zh-CN"/>
              </w:rPr>
              <w:t>废离子交换树脂</w:t>
            </w:r>
            <w:r>
              <w:rPr>
                <w:rFonts w:hint="eastAsia" w:ascii="Times New Roman" w:cs="Times New Roman"/>
                <w:b w:val="0"/>
                <w:bCs w:val="0"/>
                <w:sz w:val="24"/>
                <w:szCs w:val="24"/>
                <w:highlight w:val="none"/>
                <w:lang w:val="en-US" w:eastAsia="zh-CN"/>
              </w:rPr>
              <w:t>；（4）</w:t>
            </w:r>
            <w:r>
              <w:rPr>
                <w:rFonts w:hint="default" w:ascii="Times New Roman" w:hAnsi="Times New Roman" w:cs="Times New Roman"/>
                <w:b w:val="0"/>
                <w:bCs w:val="0"/>
                <w:sz w:val="24"/>
                <w:szCs w:val="24"/>
                <w:highlight w:val="none"/>
                <w:lang w:val="en-US" w:eastAsia="zh-CN"/>
              </w:rPr>
              <w:t>污水处理站污泥</w:t>
            </w:r>
            <w:r>
              <w:rPr>
                <w:rFonts w:hint="eastAsia" w:ascii="Times New Roman" w:cs="Times New Roman"/>
                <w:b w:val="0"/>
                <w:bCs w:val="0"/>
                <w:sz w:val="24"/>
                <w:szCs w:val="24"/>
                <w:highlight w:val="none"/>
                <w:lang w:val="en-US" w:eastAsia="zh-CN"/>
              </w:rPr>
              <w:t>；（5）</w:t>
            </w:r>
            <w:r>
              <w:rPr>
                <w:rFonts w:hint="default" w:ascii="Times New Roman" w:hAnsi="Times New Roman" w:cs="Times New Roman"/>
                <w:b w:val="0"/>
                <w:bCs w:val="0"/>
                <w:sz w:val="24"/>
                <w:szCs w:val="24"/>
                <w:highlight w:val="none"/>
                <w:lang w:val="en-US" w:eastAsia="zh-CN"/>
              </w:rPr>
              <w:t>锅炉灰渣</w:t>
            </w:r>
            <w:r>
              <w:rPr>
                <w:rFonts w:hint="eastAsia" w:ascii="Times New Roman" w:cs="Times New Roman"/>
                <w:b w:val="0"/>
                <w:bCs w:val="0"/>
                <w:sz w:val="24"/>
                <w:szCs w:val="24"/>
                <w:highlight w:val="none"/>
                <w:lang w:val="en-US" w:eastAsia="zh-CN"/>
              </w:rPr>
              <w:t>；（6）</w:t>
            </w:r>
            <w:r>
              <w:rPr>
                <w:rFonts w:hint="default" w:ascii="Times New Roman" w:hAnsi="Times New Roman" w:cs="Times New Roman"/>
                <w:b w:val="0"/>
                <w:bCs w:val="0"/>
                <w:sz w:val="24"/>
                <w:szCs w:val="24"/>
                <w:highlight w:val="none"/>
                <w:lang w:val="en-US" w:eastAsia="zh-CN"/>
              </w:rPr>
              <w:t>除尘灰</w:t>
            </w:r>
            <w:r>
              <w:rPr>
                <w:rFonts w:hint="eastAsia" w:ascii="Times New Roman" w:cs="Times New Roman"/>
                <w:b w:val="0"/>
                <w:bCs w:val="0"/>
                <w:sz w:val="24"/>
                <w:szCs w:val="24"/>
                <w:highlight w:val="none"/>
                <w:lang w:val="en-US" w:eastAsia="zh-CN"/>
              </w:rPr>
              <w:t>；（7）</w:t>
            </w:r>
            <w:r>
              <w:rPr>
                <w:rFonts w:hint="default" w:ascii="Times New Roman" w:hAnsi="Times New Roman" w:cs="Times New Roman"/>
                <w:b w:val="0"/>
                <w:bCs w:val="0"/>
                <w:sz w:val="24"/>
                <w:szCs w:val="24"/>
                <w:highlight w:val="none"/>
                <w:lang w:val="en-US" w:eastAsia="zh-CN"/>
              </w:rPr>
              <w:t>设备维修产生的废机油、废机油桶及含油抹布。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5" w:hRule="atLeast"/>
          <w:jc w:val="center"/>
        </w:trPr>
        <w:tc>
          <w:tcPr>
            <w:tcW w:w="600" w:type="dxa"/>
            <w:vAlign w:val="center"/>
          </w:tcPr>
          <w:p>
            <w:pPr>
              <w:pStyle w:val="33"/>
              <w:adjustRightInd w:val="0"/>
              <w:snapToGrid w:val="0"/>
              <w:spacing w:before="0" w:beforeAutospacing="0" w:after="0" w:afterAutospacing="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bCs/>
                <w:color w:val="auto"/>
                <w:kern w:val="2"/>
                <w:sz w:val="21"/>
                <w:szCs w:val="21"/>
                <w:highlight w:val="none"/>
              </w:rPr>
              <w:t>与项目有关的原有环境污染问题</w:t>
            </w:r>
          </w:p>
        </w:tc>
        <w:tc>
          <w:tcPr>
            <w:tcW w:w="8460" w:type="dxa"/>
            <w:vAlign w:val="top"/>
          </w:tcPr>
          <w:p>
            <w:pPr>
              <w:pStyle w:val="86"/>
              <w:keepNext w:val="0"/>
              <w:keepLines w:val="0"/>
              <w:pageBreakBefore w:val="0"/>
              <w:widowControl w:val="0"/>
              <w:kinsoku/>
              <w:wordWrap/>
              <w:overflowPunct/>
              <w:topLinePunct w:val="0"/>
              <w:autoSpaceDE/>
              <w:autoSpaceDN/>
              <w:bidi w:val="0"/>
              <w:adjustRightInd/>
              <w:snapToGrid/>
              <w:spacing w:line="440" w:lineRule="atLeast"/>
              <w:ind w:firstLine="480"/>
              <w:textAlignment w:val="auto"/>
              <w:rPr>
                <w:rFonts w:hint="eastAsia" w:ascii="Times New Roman" w:hAnsi="Times New Roman" w:cs="Times New Roman"/>
                <w:color w:val="auto"/>
                <w:kern w:val="0"/>
                <w:sz w:val="24"/>
                <w:highlight w:val="none"/>
                <w:lang w:val="en-US" w:eastAsia="zh-CN"/>
              </w:rPr>
            </w:pPr>
            <w:r>
              <w:rPr>
                <w:rFonts w:hint="default" w:ascii="Times New Roman" w:hAnsi="Times New Roman" w:eastAsia="宋体" w:cs="Times New Roman"/>
                <w:bCs/>
                <w:iCs w:val="0"/>
                <w:color w:val="auto"/>
                <w:kern w:val="0"/>
                <w:sz w:val="24"/>
                <w:szCs w:val="24"/>
                <w:highlight w:val="none"/>
                <w:lang w:val="en-US" w:eastAsia="zh-CN" w:bidi="ar-SA"/>
              </w:rPr>
              <w:t>本项目</w:t>
            </w:r>
            <w:r>
              <w:rPr>
                <w:rFonts w:hint="default" w:ascii="Times New Roman" w:hAnsi="Times New Roman" w:cs="Times New Roman"/>
                <w:bCs/>
                <w:iCs w:val="0"/>
                <w:color w:val="auto"/>
                <w:kern w:val="0"/>
                <w:sz w:val="24"/>
                <w:szCs w:val="24"/>
                <w:highlight w:val="none"/>
                <w:lang w:val="en-US" w:eastAsia="zh-CN" w:bidi="ar-SA"/>
              </w:rPr>
              <w:t>位于</w:t>
            </w:r>
            <w:r>
              <w:rPr>
                <w:rFonts w:hint="eastAsia" w:ascii="Times New Roman" w:cs="Times New Roman"/>
                <w:bCs/>
                <w:iCs w:val="0"/>
                <w:color w:val="auto"/>
                <w:kern w:val="0"/>
                <w:sz w:val="24"/>
                <w:szCs w:val="24"/>
                <w:highlight w:val="none"/>
                <w:lang w:val="en-US" w:eastAsia="zh-CN" w:bidi="ar-SA"/>
              </w:rPr>
              <w:t>翼城县唐兴镇谭村东168m</w:t>
            </w:r>
            <w:r>
              <w:rPr>
                <w:rFonts w:hint="default" w:ascii="Times New Roman" w:hAnsi="Times New Roman" w:cs="Times New Roman"/>
                <w:bCs/>
                <w:iCs w:val="0"/>
                <w:color w:val="auto"/>
                <w:kern w:val="0"/>
                <w:sz w:val="24"/>
                <w:szCs w:val="24"/>
                <w:highlight w:val="none"/>
                <w:lang w:val="en-US" w:eastAsia="zh-CN" w:bidi="ar-SA"/>
              </w:rPr>
              <w:t>，</w:t>
            </w:r>
            <w:r>
              <w:rPr>
                <w:rFonts w:hint="default" w:ascii="Times New Roman" w:hAnsi="Times New Roman" w:cs="Times New Roman"/>
                <w:color w:val="auto"/>
                <w:kern w:val="0"/>
                <w:sz w:val="24"/>
                <w:highlight w:val="none"/>
                <w:lang w:val="en-US" w:eastAsia="zh-CN"/>
              </w:rPr>
              <w:t>租用</w:t>
            </w:r>
            <w:r>
              <w:rPr>
                <w:rFonts w:hint="eastAsia" w:ascii="Times New Roman" w:cs="Times New Roman"/>
                <w:color w:val="auto"/>
                <w:kern w:val="0"/>
                <w:sz w:val="24"/>
                <w:highlight w:val="none"/>
                <w:lang w:eastAsia="zh-CN"/>
              </w:rPr>
              <w:t>石胜强塑料制品厂</w:t>
            </w:r>
            <w:r>
              <w:rPr>
                <w:rFonts w:hint="eastAsia" w:ascii="Times New Roman" w:cs="Times New Roman"/>
                <w:color w:val="auto"/>
                <w:kern w:val="0"/>
                <w:sz w:val="24"/>
                <w:highlight w:val="none"/>
                <w:lang w:val="en-US" w:eastAsia="zh-CN"/>
              </w:rPr>
              <w:t>用地</w:t>
            </w:r>
            <w:r>
              <w:rPr>
                <w:rFonts w:hint="default" w:ascii="Times New Roman" w:hAnsi="Times New Roman" w:cs="Times New Roman"/>
                <w:color w:val="auto"/>
                <w:kern w:val="0"/>
                <w:sz w:val="24"/>
                <w:highlight w:val="none"/>
                <w:lang w:val="en-US" w:eastAsia="zh-CN"/>
              </w:rPr>
              <w:t>，</w:t>
            </w:r>
            <w:r>
              <w:rPr>
                <w:rFonts w:hint="eastAsia" w:ascii="Times New Roman" w:hAnsi="Times New Roman" w:cs="Times New Roman"/>
                <w:color w:val="auto"/>
                <w:sz w:val="24"/>
                <w:szCs w:val="24"/>
                <w:highlight w:val="none"/>
                <w:lang w:val="en-US" w:eastAsia="zh-CN"/>
              </w:rPr>
              <w:t>经调查，</w:t>
            </w:r>
            <w:r>
              <w:rPr>
                <w:rFonts w:hint="eastAsia" w:ascii="Times New Roman" w:hAnsi="Times New Roman" w:cs="Times New Roman"/>
                <w:color w:val="auto"/>
                <w:kern w:val="0"/>
                <w:sz w:val="24"/>
                <w:highlight w:val="none"/>
                <w:lang w:val="en-US" w:eastAsia="zh-CN"/>
              </w:rPr>
              <w:t>本项目2018年5月已建设完成，2018年9月18日履行相关行政处罚决定（见附件）</w:t>
            </w:r>
            <w:r>
              <w:rPr>
                <w:rFonts w:hint="eastAsia" w:ascii="Times New Roman" w:cs="Times New Roman"/>
                <w:color w:val="auto"/>
                <w:kern w:val="0"/>
                <w:sz w:val="24"/>
                <w:highlight w:val="none"/>
                <w:lang w:val="en-US" w:eastAsia="zh-CN"/>
              </w:rPr>
              <w:t>。</w:t>
            </w:r>
            <w:r>
              <w:rPr>
                <w:rFonts w:hint="eastAsia" w:ascii="Times New Roman" w:hAnsi="Times New Roman" w:cs="Times New Roman"/>
                <w:color w:val="auto"/>
                <w:kern w:val="0"/>
                <w:sz w:val="24"/>
                <w:highlight w:val="none"/>
                <w:lang w:val="en-US" w:eastAsia="zh-CN"/>
              </w:rPr>
              <w:t xml:space="preserve"> </w:t>
            </w:r>
          </w:p>
          <w:p>
            <w:pPr>
              <w:pStyle w:val="86"/>
              <w:keepNext w:val="0"/>
              <w:keepLines w:val="0"/>
              <w:pageBreakBefore w:val="0"/>
              <w:widowControl w:val="0"/>
              <w:kinsoku/>
              <w:wordWrap/>
              <w:overflowPunct/>
              <w:topLinePunct w:val="0"/>
              <w:autoSpaceDE/>
              <w:autoSpaceDN/>
              <w:bidi w:val="0"/>
              <w:adjustRightInd/>
              <w:snapToGrid/>
              <w:spacing w:line="440" w:lineRule="atLeast"/>
              <w:ind w:firstLine="48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1、存在环境问题</w:t>
            </w:r>
          </w:p>
          <w:p>
            <w:pPr>
              <w:pStyle w:val="86"/>
              <w:keepNext w:val="0"/>
              <w:keepLines w:val="0"/>
              <w:pageBreakBefore w:val="0"/>
              <w:widowControl w:val="0"/>
              <w:kinsoku/>
              <w:wordWrap/>
              <w:overflowPunct/>
              <w:topLinePunct w:val="0"/>
              <w:autoSpaceDE/>
              <w:autoSpaceDN/>
              <w:bidi w:val="0"/>
              <w:adjustRightInd/>
              <w:snapToGrid/>
              <w:spacing w:line="440" w:lineRule="atLeast"/>
              <w:ind w:firstLine="480"/>
              <w:textAlignment w:val="auto"/>
              <w:rPr>
                <w:rFonts w:hint="default" w:ascii="Times New Roman"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①</w:t>
            </w:r>
            <w:r>
              <w:rPr>
                <w:rFonts w:hint="eastAsia" w:ascii="Times New Roman" w:cs="Times New Roman"/>
                <w:color w:val="auto"/>
                <w:kern w:val="0"/>
                <w:sz w:val="24"/>
                <w:highlight w:val="none"/>
                <w:lang w:val="en-US" w:eastAsia="zh-CN"/>
              </w:rPr>
              <w:t>生物质锅炉废气现采取水膜除尘处理，颗粒物去除效率低，且未对烟气中氮氧化物进行处理</w:t>
            </w:r>
            <w:r>
              <w:rPr>
                <w:rFonts w:hint="default" w:ascii="Times New Roman" w:hAnsi="Times New Roman" w:eastAsia="宋体" w:cs="Times New Roman"/>
                <w:color w:val="auto"/>
                <w:kern w:val="0"/>
                <w:sz w:val="24"/>
                <w:highlight w:val="none"/>
                <w:lang w:val="en-US" w:eastAsia="zh-CN"/>
              </w:rPr>
              <w:t>；②</w:t>
            </w:r>
            <w:r>
              <w:rPr>
                <w:rFonts w:hint="eastAsia" w:ascii="Times New Roman" w:cs="Times New Roman"/>
                <w:color w:val="auto"/>
                <w:kern w:val="0"/>
                <w:sz w:val="24"/>
                <w:highlight w:val="none"/>
                <w:lang w:val="en-US" w:eastAsia="zh-CN"/>
              </w:rPr>
              <w:t>未建设专门的危废贮存库；③未建设污水处理设施。</w:t>
            </w:r>
          </w:p>
          <w:p>
            <w:pPr>
              <w:pStyle w:val="86"/>
              <w:keepNext w:val="0"/>
              <w:keepLines w:val="0"/>
              <w:pageBreakBefore w:val="0"/>
              <w:widowControl w:val="0"/>
              <w:kinsoku/>
              <w:wordWrap/>
              <w:overflowPunct/>
              <w:topLinePunct w:val="0"/>
              <w:autoSpaceDE/>
              <w:autoSpaceDN/>
              <w:bidi w:val="0"/>
              <w:adjustRightInd/>
              <w:snapToGrid/>
              <w:spacing w:line="440" w:lineRule="atLeast"/>
              <w:ind w:firstLine="48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2、整改措施</w:t>
            </w:r>
          </w:p>
          <w:p>
            <w:pPr>
              <w:pStyle w:val="86"/>
              <w:keepNext w:val="0"/>
              <w:keepLines w:val="0"/>
              <w:pageBreakBefore w:val="0"/>
              <w:widowControl w:val="0"/>
              <w:kinsoku/>
              <w:wordWrap/>
              <w:overflowPunct/>
              <w:topLinePunct w:val="0"/>
              <w:autoSpaceDE/>
              <w:autoSpaceDN/>
              <w:bidi w:val="0"/>
              <w:adjustRightInd/>
              <w:snapToGrid/>
              <w:spacing w:line="440" w:lineRule="atLeast"/>
              <w:ind w:firstLine="48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①</w:t>
            </w:r>
            <w:r>
              <w:rPr>
                <w:rFonts w:hint="eastAsia" w:ascii="Times New Roman" w:cs="Times New Roman"/>
                <w:color w:val="auto"/>
                <w:kern w:val="0"/>
                <w:sz w:val="24"/>
                <w:highlight w:val="none"/>
                <w:lang w:val="en-US" w:eastAsia="zh-CN"/>
              </w:rPr>
              <w:t>生物质锅炉废气</w:t>
            </w:r>
            <w:r>
              <w:rPr>
                <w:rFonts w:hint="default" w:ascii="Times New Roman" w:hAnsi="Times New Roman" w:eastAsia="宋体" w:cs="Times New Roman"/>
                <w:color w:val="auto"/>
                <w:kern w:val="0"/>
                <w:sz w:val="24"/>
                <w:highlight w:val="none"/>
                <w:lang w:val="en-US" w:eastAsia="zh-CN"/>
              </w:rPr>
              <w:t>经低氮燃烧+SNCR脱硝+旋风除尘+布袋除尘器处理后经1根30m高排气筒外排（DA001）</w:t>
            </w:r>
            <w:r>
              <w:rPr>
                <w:rFonts w:hint="eastAsia" w:ascii="Times New Roman" w:cs="Times New Roman"/>
                <w:color w:val="auto"/>
                <w:kern w:val="0"/>
                <w:sz w:val="24"/>
                <w:highlight w:val="none"/>
                <w:lang w:val="en-US" w:eastAsia="zh-CN"/>
              </w:rPr>
              <w:t>。</w:t>
            </w:r>
          </w:p>
          <w:p>
            <w:pPr>
              <w:pStyle w:val="86"/>
              <w:keepNext w:val="0"/>
              <w:keepLines w:val="0"/>
              <w:pageBreakBefore w:val="0"/>
              <w:widowControl w:val="0"/>
              <w:kinsoku/>
              <w:wordWrap/>
              <w:overflowPunct/>
              <w:topLinePunct w:val="0"/>
              <w:autoSpaceDE/>
              <w:autoSpaceDN/>
              <w:bidi w:val="0"/>
              <w:adjustRightInd/>
              <w:snapToGrid/>
              <w:spacing w:line="440" w:lineRule="atLeast"/>
              <w:ind w:firstLine="480"/>
              <w:textAlignment w:val="auto"/>
              <w:rPr>
                <w:rFonts w:hint="eastAsia" w:ascii="Times New Roman"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②</w:t>
            </w:r>
            <w:r>
              <w:rPr>
                <w:rFonts w:hint="eastAsia" w:ascii="Times New Roman" w:cs="Times New Roman"/>
                <w:color w:val="auto"/>
                <w:kern w:val="0"/>
                <w:sz w:val="24"/>
                <w:highlight w:val="none"/>
                <w:lang w:val="en-US" w:eastAsia="zh-CN"/>
              </w:rPr>
              <w:t>在厂区西侧设10m</w:t>
            </w:r>
            <w:r>
              <w:rPr>
                <w:rFonts w:hint="eastAsia" w:ascii="Times New Roman" w:cs="Times New Roman"/>
                <w:color w:val="auto"/>
                <w:kern w:val="0"/>
                <w:sz w:val="24"/>
                <w:highlight w:val="none"/>
                <w:vertAlign w:val="superscript"/>
                <w:lang w:val="en-US" w:eastAsia="zh-CN"/>
              </w:rPr>
              <w:t>2</w:t>
            </w:r>
            <w:r>
              <w:rPr>
                <w:rFonts w:hint="eastAsia" w:ascii="Times New Roman" w:cs="Times New Roman"/>
                <w:color w:val="auto"/>
                <w:kern w:val="0"/>
                <w:sz w:val="24"/>
                <w:highlight w:val="none"/>
                <w:lang w:val="en-US" w:eastAsia="zh-CN"/>
              </w:rPr>
              <w:t>的危废贮存库，暂存少量设备维修会产生少量的废机油、废油桶及含油抹布等。</w:t>
            </w:r>
          </w:p>
          <w:p>
            <w:pPr>
              <w:keepNext w:val="0"/>
              <w:keepLines w:val="0"/>
              <w:pageBreakBefore w:val="0"/>
              <w:widowControl/>
              <w:kinsoku/>
              <w:wordWrap/>
              <w:overflowPunct/>
              <w:topLinePunct w:val="0"/>
              <w:autoSpaceDE/>
              <w:autoSpaceDN/>
              <w:bidi w:val="0"/>
              <w:adjustRightInd/>
              <w:snapToGrid/>
              <w:spacing w:line="440" w:lineRule="atLeast"/>
              <w:ind w:left="0" w:leftChars="0" w:right="0" w:rightChars="0" w:firstLine="480" w:firstLineChars="200"/>
              <w:jc w:val="both"/>
              <w:textAlignment w:val="auto"/>
              <w:outlineLvl w:val="9"/>
              <w:rPr>
                <w:rFonts w:hint="default" w:ascii="Times New Roman" w:hAnsi="Times New Roman" w:cs="Times New Roman"/>
                <w:bCs/>
                <w:color w:val="auto"/>
                <w:sz w:val="24"/>
                <w:szCs w:val="24"/>
                <w:highlight w:val="none"/>
                <w:lang w:val="en-US" w:eastAsia="zh-CN"/>
              </w:rPr>
            </w:pPr>
            <w:r>
              <w:rPr>
                <w:rFonts w:hint="eastAsia" w:ascii="Times New Roman" w:cs="Times New Roman"/>
                <w:color w:val="auto"/>
                <w:kern w:val="0"/>
                <w:sz w:val="24"/>
                <w:highlight w:val="none"/>
                <w:lang w:val="en-US" w:eastAsia="zh-CN"/>
              </w:rPr>
              <w:t>③</w:t>
            </w:r>
            <w:r>
              <w:rPr>
                <w:rFonts w:hint="default" w:ascii="Times New Roman" w:hAnsi="Times New Roman" w:cs="Times New Roman"/>
                <w:bCs/>
                <w:color w:val="auto"/>
                <w:sz w:val="24"/>
                <w:szCs w:val="24"/>
                <w:highlight w:val="none"/>
                <w:lang w:val="en-US" w:eastAsia="zh-CN"/>
              </w:rPr>
              <w:t>本项目废水排入</w:t>
            </w:r>
            <w:r>
              <w:rPr>
                <w:rFonts w:hint="eastAsia" w:ascii="Times New Roman" w:cs="Times New Roman"/>
                <w:bCs/>
                <w:color w:val="auto"/>
                <w:sz w:val="24"/>
                <w:szCs w:val="24"/>
                <w:highlight w:val="none"/>
                <w:lang w:val="en-US" w:eastAsia="zh-CN"/>
              </w:rPr>
              <w:t>地埋式</w:t>
            </w:r>
            <w:r>
              <w:rPr>
                <w:rFonts w:hint="default" w:ascii="Times New Roman" w:hAnsi="Times New Roman" w:cs="Times New Roman"/>
                <w:bCs/>
                <w:color w:val="auto"/>
                <w:sz w:val="24"/>
                <w:szCs w:val="24"/>
                <w:highlight w:val="none"/>
                <w:lang w:val="en-US" w:eastAsia="zh-CN"/>
              </w:rPr>
              <w:t>一体化污水处理设施（处理能力：</w:t>
            </w:r>
            <w:r>
              <w:rPr>
                <w:rFonts w:hint="eastAsia" w:ascii="Times New Roman" w:cs="Times New Roman"/>
                <w:bCs/>
                <w:color w:val="auto"/>
                <w:sz w:val="24"/>
                <w:szCs w:val="24"/>
                <w:highlight w:val="none"/>
                <w:lang w:val="en-US" w:eastAsia="zh-CN"/>
              </w:rPr>
              <w:t>15</w:t>
            </w:r>
            <w:r>
              <w:rPr>
                <w:rFonts w:hint="default" w:ascii="Times New Roman" w:hAnsi="Times New Roman" w:cs="Times New Roman"/>
                <w:bCs/>
                <w:color w:val="auto"/>
                <w:sz w:val="24"/>
                <w:szCs w:val="24"/>
                <w:highlight w:val="none"/>
                <w:lang w:val="en-US" w:eastAsia="zh-CN"/>
              </w:rPr>
              <w:t>m</w:t>
            </w:r>
            <w:r>
              <w:rPr>
                <w:rFonts w:hint="default" w:ascii="Times New Roman" w:hAnsi="Times New Roman" w:cs="Times New Roman"/>
                <w:bCs/>
                <w:color w:val="auto"/>
                <w:sz w:val="24"/>
                <w:szCs w:val="24"/>
                <w:highlight w:val="none"/>
                <w:vertAlign w:val="superscript"/>
                <w:lang w:val="en-US" w:eastAsia="zh-CN"/>
              </w:rPr>
              <w:t>3</w:t>
            </w:r>
            <w:r>
              <w:rPr>
                <w:rFonts w:hint="default" w:ascii="Times New Roman" w:hAnsi="Times New Roman" w:cs="Times New Roman"/>
                <w:bCs/>
                <w:color w:val="auto"/>
                <w:sz w:val="24"/>
                <w:szCs w:val="24"/>
                <w:highlight w:val="none"/>
                <w:lang w:val="en-US" w:eastAsia="zh-CN"/>
              </w:rPr>
              <w:t>/d；工艺：</w:t>
            </w:r>
            <w:r>
              <w:rPr>
                <w:rFonts w:hint="eastAsia" w:ascii="Times New Roman" w:cs="Times New Roman"/>
                <w:bCs/>
                <w:color w:val="auto"/>
                <w:sz w:val="24"/>
                <w:szCs w:val="24"/>
                <w:highlight w:val="none"/>
                <w:lang w:val="en-US" w:eastAsia="zh-CN"/>
              </w:rPr>
              <w:t>格栅+调节+水解酸化+好氧生物+沉淀</w:t>
            </w:r>
            <w:r>
              <w:rPr>
                <w:rFonts w:hint="default" w:ascii="Times New Roman" w:hAnsi="Times New Roman" w:cs="Times New Roman"/>
                <w:bCs/>
                <w:color w:val="auto"/>
                <w:sz w:val="24"/>
                <w:szCs w:val="24"/>
                <w:highlight w:val="none"/>
                <w:lang w:val="en-US" w:eastAsia="zh-CN"/>
              </w:rPr>
              <w:t>）进行处理，出水质满足《污水排入城镇下水道水质标准》（GB/T31962-2015）中的A等级标准后，</w:t>
            </w:r>
            <w:r>
              <w:rPr>
                <w:rFonts w:hint="eastAsia" w:ascii="Times New Roman" w:eastAsia="方正书宋简体" w:cs="Times New Roman"/>
                <w:bCs/>
                <w:kern w:val="2"/>
                <w:sz w:val="24"/>
                <w:szCs w:val="28"/>
                <w:highlight w:val="none"/>
                <w:lang w:val="en-US" w:eastAsia="zh-CN" w:bidi="ar-SA"/>
              </w:rPr>
              <w:t>由罐车每天拉至市政污水管网排放点</w:t>
            </w:r>
            <w:r>
              <w:rPr>
                <w:rFonts w:hint="eastAsia" w:ascii="Times New Roman" w:hAnsi="Times New Roman" w:eastAsia="方正书宋简体" w:cs="Times New Roman"/>
                <w:bCs/>
                <w:kern w:val="2"/>
                <w:sz w:val="24"/>
                <w:szCs w:val="28"/>
                <w:highlight w:val="none"/>
                <w:lang w:val="en-US" w:eastAsia="zh-CN" w:bidi="ar-SA"/>
              </w:rPr>
              <w:t>，</w:t>
            </w:r>
            <w:r>
              <w:rPr>
                <w:rFonts w:hint="eastAsia" w:ascii="Times New Roman" w:eastAsia="方正书宋简体" w:cs="Times New Roman"/>
                <w:bCs/>
                <w:kern w:val="2"/>
                <w:sz w:val="24"/>
                <w:szCs w:val="28"/>
                <w:highlight w:val="none"/>
                <w:lang w:val="en-US" w:eastAsia="zh-CN" w:bidi="ar-SA"/>
              </w:rPr>
              <w:t>进入</w:t>
            </w:r>
            <w:r>
              <w:rPr>
                <w:rFonts w:hint="eastAsia" w:ascii="Times New Roman" w:hAnsi="Times New Roman" w:eastAsia="方正书宋简体" w:cs="Times New Roman"/>
                <w:bCs/>
                <w:kern w:val="2"/>
                <w:sz w:val="24"/>
                <w:szCs w:val="28"/>
                <w:highlight w:val="none"/>
                <w:lang w:val="en-US" w:eastAsia="zh-CN" w:bidi="ar-SA"/>
              </w:rPr>
              <w:t>翼城县润灏水务有限公司处理</w:t>
            </w:r>
            <w:r>
              <w:rPr>
                <w:rFonts w:hint="default" w:ascii="Times New Roman" w:hAnsi="Times New Roman" w:cs="Times New Roman"/>
                <w:bCs/>
                <w:color w:val="auto"/>
                <w:sz w:val="24"/>
                <w:szCs w:val="24"/>
                <w:highlight w:val="none"/>
                <w:lang w:val="en-US" w:eastAsia="zh-CN"/>
              </w:rPr>
              <w:t>。</w:t>
            </w:r>
          </w:p>
          <w:p>
            <w:pPr>
              <w:pStyle w:val="86"/>
              <w:keepNext w:val="0"/>
              <w:keepLines w:val="0"/>
              <w:pageBreakBefore w:val="0"/>
              <w:widowControl w:val="0"/>
              <w:kinsoku/>
              <w:wordWrap/>
              <w:overflowPunct/>
              <w:topLinePunct w:val="0"/>
              <w:autoSpaceDE/>
              <w:autoSpaceDN/>
              <w:bidi w:val="0"/>
              <w:adjustRightInd/>
              <w:snapToGrid/>
              <w:spacing w:line="440" w:lineRule="atLeast"/>
              <w:ind w:firstLine="48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通过本次环评的实施，将工程存在的环境问题一并得到解决。</w:t>
            </w:r>
          </w:p>
        </w:tc>
      </w:tr>
    </w:tbl>
    <w:p>
      <w:pPr>
        <w:pStyle w:val="33"/>
        <w:jc w:val="center"/>
        <w:rPr>
          <w:rFonts w:hint="default" w:ascii="Times New Roman" w:hAnsi="Times New Roman" w:eastAsia="黑体" w:cs="Times New Roman"/>
          <w:snapToGrid w:val="0"/>
          <w:color w:val="auto"/>
          <w:sz w:val="36"/>
          <w:szCs w:val="36"/>
          <w:highlight w:val="none"/>
        </w:rPr>
        <w:sectPr>
          <w:pgSz w:w="11906" w:h="16838"/>
          <w:pgMar w:top="1531" w:right="1531" w:bottom="1531" w:left="1531"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p>
      <w:pPr>
        <w:pStyle w:val="33"/>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line="460" w:lineRule="exact"/>
        <w:ind w:left="0" w:leftChars="0" w:right="0" w:rightChars="0" w:firstLine="0" w:firstLineChars="0"/>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三、区域环境质量现状、环境保护目标及评价标准</w:t>
      </w:r>
    </w:p>
    <w:tbl>
      <w:tblPr>
        <w:tblStyle w:val="38"/>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82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806" w:type="dxa"/>
            <w:vAlign w:val="center"/>
          </w:tcPr>
          <w:p>
            <w:pPr>
              <w:keepNext w:val="0"/>
              <w:keepLines w:val="0"/>
              <w:pageBreakBefore w:val="0"/>
              <w:widowControl w:val="0"/>
              <w:kinsoku/>
              <w:wordWrap w:val="0"/>
              <w:overflowPunct/>
              <w:topLinePunct w:val="0"/>
              <w:bidi w:val="0"/>
              <w:adjustRightInd w:val="0"/>
              <w:snapToGrid w:val="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区域</w:t>
            </w:r>
          </w:p>
          <w:p>
            <w:pPr>
              <w:keepNext w:val="0"/>
              <w:keepLines w:val="0"/>
              <w:pageBreakBefore w:val="0"/>
              <w:widowControl w:val="0"/>
              <w:kinsoku/>
              <w:wordWrap w:val="0"/>
              <w:overflowPunct/>
              <w:topLinePunct w:val="0"/>
              <w:bidi w:val="0"/>
              <w:adjustRightInd w:val="0"/>
              <w:snapToGrid w:val="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环境</w:t>
            </w:r>
          </w:p>
          <w:p>
            <w:pPr>
              <w:keepNext w:val="0"/>
              <w:keepLines w:val="0"/>
              <w:pageBreakBefore w:val="0"/>
              <w:widowControl w:val="0"/>
              <w:kinsoku/>
              <w:wordWrap w:val="0"/>
              <w:overflowPunct/>
              <w:topLinePunct w:val="0"/>
              <w:bidi w:val="0"/>
              <w:adjustRightInd w:val="0"/>
              <w:snapToGrid w:val="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质量</w:t>
            </w:r>
          </w:p>
          <w:p>
            <w:pPr>
              <w:keepNext w:val="0"/>
              <w:keepLines w:val="0"/>
              <w:pageBreakBefore w:val="0"/>
              <w:widowControl w:val="0"/>
              <w:kinsoku/>
              <w:wordWrap w:val="0"/>
              <w:overflowPunct/>
              <w:topLinePunct w:val="0"/>
              <w:bidi w:val="0"/>
              <w:adjustRightInd w:val="0"/>
              <w:snapToGrid w:val="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1"/>
                <w:szCs w:val="21"/>
                <w:highlight w:val="none"/>
              </w:rPr>
              <w:t>现状</w:t>
            </w:r>
          </w:p>
        </w:tc>
        <w:tc>
          <w:tcPr>
            <w:tcW w:w="8255" w:type="dxa"/>
            <w:vAlign w:val="center"/>
          </w:tcPr>
          <w:p>
            <w:pPr>
              <w:pStyle w:val="85"/>
              <w:keepNext w:val="0"/>
              <w:keepLines w:val="0"/>
              <w:pageBreakBefore w:val="0"/>
              <w:widowControl w:val="0"/>
              <w:kinsoku/>
              <w:wordWrap w:val="0"/>
              <w:overflowPunct/>
              <w:topLinePunct w:val="0"/>
              <w:autoSpaceDE/>
              <w:autoSpaceDN/>
              <w:bidi w:val="0"/>
              <w:adjustRightInd/>
              <w:snapToGrid/>
              <w:spacing w:line="440" w:lineRule="exact"/>
              <w:ind w:firstLine="482"/>
              <w:textAlignment w:val="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一、环境空气质量现状</w:t>
            </w:r>
          </w:p>
          <w:p>
            <w:pPr>
              <w:keepNext w:val="0"/>
              <w:keepLines w:val="0"/>
              <w:pageBreakBefore w:val="0"/>
              <w:widowControl w:val="0"/>
              <w:kinsoku/>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000000" w:themeColor="text1"/>
                <w:kern w:val="0"/>
                <w:sz w:val="24"/>
                <w:highlight w:val="none"/>
                <w14:textFill>
                  <w14:solidFill>
                    <w14:schemeClr w14:val="tx1"/>
                  </w14:solidFill>
                </w14:textFill>
              </w:rPr>
              <w:t>基本污染物</w:t>
            </w:r>
          </w:p>
          <w:p>
            <w:pPr>
              <w:keepNext w:val="0"/>
              <w:keepLines w:val="0"/>
              <w:pageBreakBefore w:val="0"/>
              <w:widowControl w:val="0"/>
              <w:kinsoku/>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 w:val="24"/>
                <w:highlight w:val="none"/>
                <w14:textFill>
                  <w14:solidFill>
                    <w14:schemeClr w14:val="tx1"/>
                  </w14:solidFill>
                </w14:textFill>
              </w:rPr>
              <w:t>本次评价收集了</w:t>
            </w:r>
            <w:r>
              <w:rPr>
                <w:rFonts w:hint="default" w:ascii="Times New Roman" w:hAnsi="Times New Roman" w:cs="Times New Roman"/>
                <w:color w:val="000000" w:themeColor="text1"/>
                <w:kern w:val="0"/>
                <w:sz w:val="24"/>
                <w:highlight w:val="none"/>
                <w:lang w:eastAsia="zh-CN"/>
                <w14:textFill>
                  <w14:solidFill>
                    <w14:schemeClr w14:val="tx1"/>
                  </w14:solidFill>
                </w14:textFill>
              </w:rPr>
              <w:t>翼城县</w:t>
            </w:r>
            <w:r>
              <w:rPr>
                <w:rFonts w:hint="default" w:ascii="Times New Roman" w:hAnsi="Times New Roman" w:cs="Times New Roman"/>
                <w:color w:val="000000" w:themeColor="text1"/>
                <w:kern w:val="0"/>
                <w:sz w:val="24"/>
                <w:highlight w:val="none"/>
                <w14:textFill>
                  <w14:solidFill>
                    <w14:schemeClr w14:val="tx1"/>
                  </w14:solidFill>
                </w14:textFill>
              </w:rPr>
              <w:t>202</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3</w:t>
            </w:r>
            <w:r>
              <w:rPr>
                <w:rFonts w:hint="default" w:ascii="Times New Roman" w:hAnsi="Times New Roman" w:cs="Times New Roman"/>
                <w:color w:val="000000" w:themeColor="text1"/>
                <w:kern w:val="0"/>
                <w:sz w:val="24"/>
                <w:highlight w:val="none"/>
                <w14:textFill>
                  <w14:solidFill>
                    <w14:schemeClr w14:val="tx1"/>
                  </w14:solidFill>
                </w14:textFill>
              </w:rPr>
              <w:t>年空气质量例行监测数据详见下表。</w:t>
            </w:r>
          </w:p>
          <w:p>
            <w:pPr>
              <w:keepNext w:val="0"/>
              <w:keepLines w:val="0"/>
              <w:pageBreakBefore w:val="0"/>
              <w:widowControl w:val="0"/>
              <w:kinsoku/>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bCs/>
                <w:color w:val="000000" w:themeColor="text1"/>
                <w:spacing w:val="-2"/>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2"/>
                <w:kern w:val="0"/>
                <w:sz w:val="21"/>
                <w:szCs w:val="21"/>
                <w:highlight w:val="none"/>
                <w:lang w:val="en-US" w:eastAsia="zh-CN" w:bidi="ar-SA"/>
                <w14:textFill>
                  <w14:solidFill>
                    <w14:schemeClr w14:val="tx1"/>
                  </w14:solidFill>
                </w14:textFill>
              </w:rPr>
              <w:t>表3-1</w:t>
            </w:r>
            <w:r>
              <w:rPr>
                <w:rFonts w:hint="default" w:ascii="Times New Roman" w:hAnsi="Times New Roman" w:cs="Times New Roman"/>
                <w:b/>
                <w:bCs/>
                <w:color w:val="000000" w:themeColor="text1"/>
                <w:spacing w:val="-2"/>
                <w:kern w:val="0"/>
                <w:sz w:val="21"/>
                <w:szCs w:val="21"/>
                <w:highlight w:val="none"/>
                <w:lang w:val="en-US" w:eastAsia="zh-CN" w:bidi="ar-SA"/>
                <w14:textFill>
                  <w14:solidFill>
                    <w14:schemeClr w14:val="tx1"/>
                  </w14:solidFill>
                </w14:textFill>
              </w:rPr>
              <w:t xml:space="preserve">  </w:t>
            </w:r>
            <w:r>
              <w:rPr>
                <w:rFonts w:hint="default" w:ascii="Times New Roman" w:hAnsi="Times New Roman" w:eastAsia="宋体" w:cs="Times New Roman"/>
                <w:b/>
                <w:bCs/>
                <w:color w:val="000000" w:themeColor="text1"/>
                <w:spacing w:val="-2"/>
                <w:kern w:val="0"/>
                <w:sz w:val="21"/>
                <w:szCs w:val="21"/>
                <w:highlight w:val="none"/>
                <w:lang w:val="en-US" w:eastAsia="zh-CN" w:bidi="ar-SA"/>
                <w14:textFill>
                  <w14:solidFill>
                    <w14:schemeClr w14:val="tx1"/>
                  </w14:solidFill>
                </w14:textFill>
              </w:rPr>
              <w:t>区域空气质量现状评价表（单位：μg/m</w:t>
            </w:r>
            <w:r>
              <w:rPr>
                <w:rFonts w:hint="default" w:ascii="Times New Roman" w:hAnsi="Times New Roman" w:eastAsia="宋体" w:cs="Times New Roman"/>
                <w:b/>
                <w:bCs/>
                <w:color w:val="000000" w:themeColor="text1"/>
                <w:spacing w:val="-2"/>
                <w:kern w:val="0"/>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bCs/>
                <w:color w:val="000000" w:themeColor="text1"/>
                <w:spacing w:val="-2"/>
                <w:kern w:val="0"/>
                <w:sz w:val="21"/>
                <w:szCs w:val="21"/>
                <w:highlight w:val="none"/>
                <w:lang w:val="en-US" w:eastAsia="zh-CN" w:bidi="ar-SA"/>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pacing w:line="440" w:lineRule="exact"/>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sz w:val="24"/>
              </w:rPr>
              <w:t>根据表中结果显示，202</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年</w:t>
            </w:r>
            <w:r>
              <w:rPr>
                <w:rFonts w:hint="default" w:ascii="Times New Roman" w:hAnsi="Times New Roman" w:cs="Times New Roman"/>
                <w:color w:val="auto"/>
                <w:sz w:val="24"/>
                <w:lang w:val="en-US" w:eastAsia="zh-CN"/>
              </w:rPr>
              <w:t>翼城县</w:t>
            </w:r>
            <w:r>
              <w:rPr>
                <w:rFonts w:hint="default" w:ascii="Times New Roman" w:hAnsi="Times New Roman" w:cs="Times New Roman"/>
                <w:color w:val="auto"/>
                <w:sz w:val="24"/>
              </w:rPr>
              <w:t>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年平均质量浓度占标率分别为</w:t>
            </w:r>
            <w:r>
              <w:rPr>
                <w:rFonts w:hint="default" w:ascii="Times New Roman" w:hAnsi="Times New Roman" w:cs="Times New Roman"/>
                <w:color w:val="auto"/>
                <w:sz w:val="24"/>
                <w:lang w:val="en-US" w:eastAsia="zh-CN"/>
              </w:rPr>
              <w:t>13</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33</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93</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106</w:t>
            </w:r>
            <w:r>
              <w:rPr>
                <w:rFonts w:hint="default" w:ascii="Times New Roman" w:hAnsi="Times New Roman" w:cs="Times New Roman"/>
                <w:color w:val="auto"/>
                <w:sz w:val="24"/>
              </w:rPr>
              <w:t>%，CO的24小时平均第95百分位数浓度占标率为</w:t>
            </w:r>
            <w:r>
              <w:rPr>
                <w:rFonts w:hint="default" w:ascii="Times New Roman" w:hAnsi="Times New Roman" w:cs="Times New Roman"/>
                <w:color w:val="auto"/>
                <w:sz w:val="24"/>
                <w:lang w:val="en-US" w:eastAsia="zh-CN"/>
              </w:rPr>
              <w:t>45</w:t>
            </w:r>
            <w:r>
              <w:rPr>
                <w:rFonts w:hint="default" w:ascii="Times New Roman" w:hAnsi="Times New Roman" w:cs="Times New Roman"/>
                <w:color w:val="auto"/>
                <w:sz w:val="24"/>
              </w:rPr>
              <w:t>%，O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日最大8小时平均第90百分位数浓度占标率为</w:t>
            </w:r>
            <w:r>
              <w:rPr>
                <w:rFonts w:hint="default" w:ascii="Times New Roman" w:hAnsi="Times New Roman" w:cs="Times New Roman"/>
                <w:color w:val="auto"/>
                <w:sz w:val="24"/>
                <w:lang w:val="en-US" w:eastAsia="zh-CN"/>
              </w:rPr>
              <w:t>105</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lang w:val="en-US" w:eastAsia="zh-CN"/>
              </w:rPr>
              <w:t>超过</w:t>
            </w:r>
            <w:r>
              <w:rPr>
                <w:rFonts w:hint="default" w:ascii="Times New Roman" w:hAnsi="Times New Roman" w:cs="Times New Roman"/>
                <w:color w:val="auto"/>
                <w:sz w:val="24"/>
              </w:rPr>
              <w:t>《环境空气质量标准》（GB3095-2012）二级标准浓度限值，</w:t>
            </w:r>
            <w:r>
              <w:rPr>
                <w:rFonts w:hint="default" w:ascii="Times New Roman" w:hAnsi="Times New Roman" w:cs="Times New Roman"/>
                <w:color w:val="auto"/>
                <w:sz w:val="24"/>
                <w:lang w:val="en-US" w:eastAsia="zh-CN"/>
              </w:rPr>
              <w:t>其</w:t>
            </w:r>
            <w:r>
              <w:rPr>
                <w:rFonts w:hint="default" w:ascii="Times New Roman" w:hAnsi="Times New Roman" w:cs="Times New Roman"/>
                <w:color w:val="auto"/>
                <w:sz w:val="24"/>
                <w:highlight w:val="none"/>
                <w:lang w:val="en-US" w:eastAsia="zh-CN"/>
              </w:rPr>
              <w:t>它都达到标准要求。因此，</w:t>
            </w:r>
            <w:r>
              <w:rPr>
                <w:rFonts w:hint="default" w:ascii="Times New Roman" w:hAnsi="Times New Roman" w:cs="Times New Roman"/>
                <w:color w:val="auto"/>
                <w:sz w:val="24"/>
                <w:highlight w:val="none"/>
              </w:rPr>
              <w:t>202</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lang w:val="en-US" w:eastAsia="zh-CN"/>
              </w:rPr>
              <w:t>翼城县</w:t>
            </w:r>
            <w:r>
              <w:rPr>
                <w:rFonts w:hint="default" w:ascii="Times New Roman" w:hAnsi="Times New Roman" w:cs="Times New Roman"/>
                <w:color w:val="auto"/>
                <w:sz w:val="24"/>
                <w:highlight w:val="none"/>
              </w:rPr>
              <w:t>为环境空气</w:t>
            </w:r>
            <w:r>
              <w:rPr>
                <w:rFonts w:hint="eastAsia" w:ascii="Times New Roman" w:cs="Times New Roman"/>
                <w:color w:val="auto"/>
                <w:sz w:val="24"/>
                <w:highlight w:val="none"/>
                <w:lang w:eastAsia="zh-CN"/>
              </w:rPr>
              <w:t>质量</w:t>
            </w:r>
            <w:r>
              <w:rPr>
                <w:rFonts w:hint="default" w:ascii="Times New Roman" w:hAnsi="Times New Roman" w:cs="Times New Roman"/>
                <w:color w:val="auto"/>
                <w:sz w:val="24"/>
                <w:highlight w:val="none"/>
              </w:rPr>
              <w:t>不达标区。</w:t>
            </w:r>
          </w:p>
          <w:p>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2、特征污染物质量现状</w:t>
            </w:r>
          </w:p>
          <w:p>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32"/>
                <w:highlight w:val="none"/>
              </w:rPr>
              <w:t>本项目</w:t>
            </w:r>
            <w:r>
              <w:rPr>
                <w:rFonts w:hint="eastAsia" w:ascii="Times New Roman" w:cs="Times New Roman"/>
                <w:color w:val="auto"/>
                <w:sz w:val="24"/>
                <w:szCs w:val="32"/>
                <w:highlight w:val="none"/>
                <w:lang w:val="en-US" w:eastAsia="zh-CN"/>
              </w:rPr>
              <w:t>引用《翼城县鑫源洗涤服务有限公司年洗涤5万套布草建设项目环境影响报告表》中</w:t>
            </w:r>
            <w:r>
              <w:rPr>
                <w:rFonts w:hint="eastAsia" w:ascii="Times New Roman" w:hAnsi="Times New Roman" w:cs="Times New Roman"/>
                <w:color w:val="auto"/>
                <w:sz w:val="24"/>
                <w:szCs w:val="32"/>
                <w:highlight w:val="none"/>
                <w:lang w:val="en-US" w:eastAsia="zh-CN"/>
              </w:rPr>
              <w:t>对东寿城村（距本项目</w:t>
            </w:r>
            <w:r>
              <w:rPr>
                <w:rFonts w:hint="eastAsia" w:ascii="Times New Roman" w:cs="Times New Roman"/>
                <w:color w:val="auto"/>
                <w:sz w:val="24"/>
                <w:szCs w:val="32"/>
                <w:highlight w:val="none"/>
                <w:lang w:val="en-US" w:eastAsia="zh-CN"/>
              </w:rPr>
              <w:t>3.6km</w:t>
            </w:r>
            <w:r>
              <w:rPr>
                <w:rFonts w:hint="eastAsia" w:ascii="Times New Roman" w:hAnsi="Times New Roman" w:cs="Times New Roman"/>
                <w:color w:val="auto"/>
                <w:sz w:val="24"/>
                <w:szCs w:val="32"/>
                <w:highlight w:val="none"/>
                <w:lang w:val="en-US" w:eastAsia="zh-CN"/>
              </w:rPr>
              <w:t>）</w:t>
            </w:r>
            <w:r>
              <w:rPr>
                <w:rFonts w:hint="default" w:ascii="Times New Roman" w:hAnsi="Times New Roman" w:cs="Times New Roman"/>
                <w:color w:val="auto"/>
                <w:sz w:val="24"/>
                <w:szCs w:val="32"/>
                <w:highlight w:val="none"/>
              </w:rPr>
              <w:t>特征污染物</w:t>
            </w:r>
            <w:r>
              <w:rPr>
                <w:rFonts w:hint="default" w:ascii="Times New Roman" w:hAnsi="Times New Roman" w:cs="Times New Roman"/>
                <w:color w:val="auto"/>
                <w:sz w:val="24"/>
                <w:szCs w:val="32"/>
                <w:highlight w:val="none"/>
                <w:lang w:val="en-US" w:eastAsia="zh-CN"/>
              </w:rPr>
              <w:t>TSP</w:t>
            </w:r>
            <w:r>
              <w:rPr>
                <w:rFonts w:hint="default" w:ascii="Times New Roman" w:hAnsi="Times New Roman" w:cs="Times New Roman"/>
                <w:color w:val="auto"/>
                <w:sz w:val="24"/>
                <w:szCs w:val="32"/>
                <w:highlight w:val="none"/>
              </w:rPr>
              <w:t>的环境空气质量现状</w:t>
            </w:r>
            <w:r>
              <w:rPr>
                <w:rFonts w:hint="eastAsia" w:ascii="Times New Roman" w:cs="Times New Roman"/>
                <w:color w:val="auto"/>
                <w:sz w:val="24"/>
                <w:szCs w:val="32"/>
                <w:highlight w:val="none"/>
                <w:lang w:val="en-US" w:eastAsia="zh-CN"/>
              </w:rPr>
              <w:t>监测数据</w:t>
            </w:r>
            <w:r>
              <w:rPr>
                <w:rFonts w:hint="default" w:ascii="Times New Roman" w:hAnsi="Times New Roman" w:cs="Times New Roman"/>
                <w:color w:val="auto"/>
                <w:sz w:val="24"/>
                <w:szCs w:val="32"/>
                <w:highlight w:val="none"/>
              </w:rPr>
              <w:t>，</w:t>
            </w:r>
            <w:r>
              <w:rPr>
                <w:rFonts w:hint="eastAsia" w:ascii="Times New Roman" w:cs="Times New Roman"/>
                <w:color w:val="auto"/>
                <w:sz w:val="24"/>
                <w:szCs w:val="32"/>
                <w:highlight w:val="none"/>
                <w:lang w:val="en-US" w:eastAsia="zh-CN"/>
              </w:rPr>
              <w:t>监测结果见下表</w:t>
            </w:r>
            <w:r>
              <w:rPr>
                <w:rFonts w:hint="default" w:ascii="Times New Roman" w:hAnsi="Times New Roman"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rPr>
              <w:t>由</w:t>
            </w:r>
            <w:r>
              <w:rPr>
                <w:rFonts w:hint="default" w:ascii="Times New Roman" w:hAnsi="Times New Roman" w:cs="Times New Roman"/>
                <w:color w:val="auto"/>
                <w:kern w:val="0"/>
                <w:sz w:val="24"/>
                <w:highlight w:val="none"/>
                <w:lang w:val="en-US" w:eastAsia="zh-CN"/>
              </w:rPr>
              <w:t>上表</w:t>
            </w:r>
            <w:r>
              <w:rPr>
                <w:rFonts w:hint="default" w:ascii="Times New Roman" w:hAnsi="Times New Roman" w:cs="Times New Roman"/>
                <w:color w:val="auto"/>
                <w:kern w:val="0"/>
                <w:sz w:val="24"/>
                <w:highlight w:val="none"/>
              </w:rPr>
              <w:t>可知，本项目所在区域TSP满足《环境空气质量标准》（GB3095-2012）</w:t>
            </w:r>
            <w:r>
              <w:rPr>
                <w:rFonts w:hint="default" w:ascii="Times New Roman" w:hAnsi="Times New Roman" w:cs="Times New Roman"/>
                <w:color w:val="auto"/>
                <w:kern w:val="0"/>
                <w:sz w:val="24"/>
                <w:highlight w:val="none"/>
                <w:lang w:val="en-US" w:eastAsia="zh-CN"/>
              </w:rPr>
              <w:t>中的标准限值。</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ascii="Times New Roman" w:hAnsi="Times New Roman" w:cs="Times New Roman"/>
                <w:b/>
                <w:color w:val="000000" w:themeColor="text1"/>
                <w:sz w:val="24"/>
                <w:highlight w:val="none"/>
                <w14:textFill>
                  <w14:solidFill>
                    <w14:schemeClr w14:val="tx1"/>
                  </w14:solidFill>
                </w14:textFill>
              </w:rPr>
            </w:pPr>
            <w:r>
              <w:rPr>
                <w:rFonts w:hint="default" w:ascii="Times New Roman" w:hAnsi="Times New Roman" w:cs="Times New Roman"/>
                <w:b/>
                <w:color w:val="000000" w:themeColor="text1"/>
                <w:sz w:val="24"/>
                <w:highlight w:val="none"/>
                <w:lang w:val="en-US" w:eastAsia="zh-CN"/>
                <w14:textFill>
                  <w14:solidFill>
                    <w14:schemeClr w14:val="tx1"/>
                  </w14:solidFill>
                </w14:textFill>
              </w:rPr>
              <w:t>二、</w:t>
            </w:r>
            <w:r>
              <w:rPr>
                <w:rFonts w:hint="default" w:ascii="Times New Roman" w:hAnsi="Times New Roman" w:cs="Times New Roman"/>
                <w:b/>
                <w:color w:val="000000" w:themeColor="text1"/>
                <w:sz w:val="24"/>
                <w:highlight w:val="none"/>
                <w14:textFill>
                  <w14:solidFill>
                    <w14:schemeClr w14:val="tx1"/>
                  </w14:solidFill>
                </w14:textFill>
              </w:rPr>
              <w:t>地表水环境</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距离项目最近地表水</w:t>
            </w:r>
            <w:r>
              <w:rPr>
                <w:rFonts w:hint="default" w:ascii="Times New Roman" w:hAnsi="Times New Roman" w:cs="Times New Roman"/>
                <w:color w:val="000000" w:themeColor="text1"/>
                <w:sz w:val="24"/>
                <w:highlight w:val="none"/>
                <w:lang w:val="en-US" w:eastAsia="zh-CN"/>
                <w14:textFill>
                  <w14:solidFill>
                    <w14:schemeClr w14:val="tx1"/>
                  </w14:solidFill>
                </w14:textFill>
              </w:rPr>
              <w:t>水体为项目南侧2.</w:t>
            </w:r>
            <w:r>
              <w:rPr>
                <w:rFonts w:hint="eastAsia" w:ascii="Times New Roman" w:cs="Times New Roman"/>
                <w:color w:val="000000" w:themeColor="text1"/>
                <w:sz w:val="24"/>
                <w:highlight w:val="none"/>
                <w:lang w:val="en-US" w:eastAsia="zh-CN"/>
                <w14:textFill>
                  <w14:solidFill>
                    <w14:schemeClr w14:val="tx1"/>
                  </w14:solidFill>
                </w14:textFill>
              </w:rPr>
              <w:t>47</w:t>
            </w:r>
            <w:r>
              <w:rPr>
                <w:rFonts w:hint="default" w:ascii="Times New Roman" w:hAnsi="Times New Roman" w:cs="Times New Roman"/>
                <w:color w:val="000000" w:themeColor="text1"/>
                <w:sz w:val="24"/>
                <w:highlight w:val="none"/>
                <w:lang w:val="en-US" w:eastAsia="zh-CN"/>
                <w14:textFill>
                  <w14:solidFill>
                    <w14:schemeClr w14:val="tx1"/>
                  </w14:solidFill>
                </w14:textFill>
              </w:rPr>
              <w:t>km的浍河，</w:t>
            </w:r>
            <w:r>
              <w:rPr>
                <w:rFonts w:hint="default" w:ascii="Times New Roman" w:hAnsi="Times New Roman" w:cs="Times New Roman"/>
                <w:color w:val="000000" w:themeColor="text1"/>
                <w:sz w:val="24"/>
                <w:highlight w:val="none"/>
                <w14:textFill>
                  <w14:solidFill>
                    <w14:schemeClr w14:val="tx1"/>
                  </w14:solidFill>
                </w14:textFill>
              </w:rPr>
              <w:t>根据《山西省地表水环境功能区划》（DB 14/67-2019）</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auto"/>
                <w:kern w:val="0"/>
                <w:sz w:val="24"/>
                <w:szCs w:val="24"/>
                <w:highlight w:val="none"/>
                <w:lang w:val="en-US" w:eastAsia="zh-CN"/>
              </w:rPr>
              <w:t>浍河冶南村</w:t>
            </w:r>
            <w:r>
              <w:rPr>
                <w:rFonts w:hint="default" w:ascii="Times New Roman" w:hAnsi="Times New Roman" w:cs="Times New Roman"/>
                <w:color w:val="auto"/>
                <w:kern w:val="0"/>
                <w:sz w:val="24"/>
                <w:szCs w:val="24"/>
                <w:highlight w:val="none"/>
                <w:lang w:val="en-US" w:eastAsia="zh-CN"/>
              </w:rPr>
              <w:t>南</w:t>
            </w:r>
            <w:r>
              <w:rPr>
                <w:rFonts w:hint="default" w:ascii="Times New Roman" w:hAnsi="Times New Roman" w:eastAsia="宋体" w:cs="Times New Roman"/>
                <w:color w:val="auto"/>
                <w:kern w:val="0"/>
                <w:sz w:val="24"/>
                <w:szCs w:val="24"/>
                <w:highlight w:val="none"/>
                <w:lang w:val="en-US" w:eastAsia="zh-CN"/>
              </w:rPr>
              <w:t>至入汾河干流段水环境功能为农业用水保护，</w:t>
            </w:r>
            <w:r>
              <w:rPr>
                <w:rFonts w:hint="default" w:ascii="Times New Roman" w:hAnsi="Times New Roman" w:cs="Times New Roman"/>
                <w:bCs/>
                <w:color w:val="auto"/>
                <w:sz w:val="24"/>
                <w:highlight w:val="none"/>
              </w:rPr>
              <w:t>执行《地表水环境质量标准》（GB3838-2002）</w:t>
            </w:r>
            <w:r>
              <w:rPr>
                <w:rFonts w:hint="default" w:ascii="Times New Roman" w:hAnsi="Times New Roman" w:eastAsia="宋体" w:cs="Times New Roman"/>
                <w:color w:val="auto"/>
                <w:kern w:val="0"/>
                <w:sz w:val="24"/>
                <w:szCs w:val="24"/>
                <w:highlight w:val="none"/>
                <w:lang w:val="en-US" w:eastAsia="zh-CN"/>
              </w:rPr>
              <w:t>Ⅴ</w:t>
            </w:r>
            <w:r>
              <w:rPr>
                <w:rFonts w:hint="default" w:ascii="Times New Roman" w:hAnsi="Times New Roman" w:cs="Times New Roman"/>
                <w:bCs/>
                <w:color w:val="auto"/>
                <w:sz w:val="24"/>
                <w:highlight w:val="none"/>
              </w:rPr>
              <w:t>类水质要求。</w:t>
            </w:r>
            <w:r>
              <w:rPr>
                <w:rFonts w:hint="default" w:ascii="Times New Roman" w:hAnsi="Times New Roman" w:cs="Times New Roman"/>
                <w:color w:val="000000" w:themeColor="text1"/>
                <w:sz w:val="24"/>
                <w:highlight w:val="none"/>
                <w14:textFill>
                  <w14:solidFill>
                    <w14:schemeClr w14:val="tx1"/>
                  </w14:solidFill>
                </w14:textFill>
              </w:rPr>
              <w:t>距离项目最近</w:t>
            </w:r>
            <w:r>
              <w:rPr>
                <w:rFonts w:hint="default" w:ascii="Times New Roman" w:hAnsi="Times New Roman" w:cs="Times New Roman"/>
                <w:color w:val="000000" w:themeColor="text1"/>
                <w:sz w:val="24"/>
                <w:highlight w:val="none"/>
                <w:lang w:val="en-US" w:eastAsia="zh-CN"/>
                <w14:textFill>
                  <w14:solidFill>
                    <w14:schemeClr w14:val="tx1"/>
                  </w14:solidFill>
                </w14:textFill>
              </w:rPr>
              <w:t>的浍河下游</w:t>
            </w:r>
            <w:r>
              <w:rPr>
                <w:rFonts w:hint="default" w:ascii="Times New Roman" w:hAnsi="Times New Roman" w:cs="Times New Roman"/>
                <w:color w:val="000000" w:themeColor="text1"/>
                <w:sz w:val="24"/>
                <w:highlight w:val="none"/>
                <w14:textFill>
                  <w14:solidFill>
                    <w14:schemeClr w14:val="tx1"/>
                  </w14:solidFill>
                </w14:textFill>
              </w:rPr>
              <w:t>水质监测断面为</w:t>
            </w:r>
            <w:r>
              <w:rPr>
                <w:rFonts w:hint="default" w:ascii="Times New Roman" w:hAnsi="Times New Roman" w:cs="Times New Roman"/>
                <w:color w:val="000000" w:themeColor="text1"/>
                <w:sz w:val="24"/>
                <w:highlight w:val="none"/>
                <w:lang w:val="en-US" w:eastAsia="zh-CN"/>
                <w14:textFill>
                  <w14:solidFill>
                    <w14:schemeClr w14:val="tx1"/>
                  </w14:solidFill>
                </w14:textFill>
              </w:rPr>
              <w:t>小韩村断面</w:t>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bCs/>
                <w:color w:val="auto"/>
                <w:sz w:val="24"/>
                <w:lang w:val="en-US" w:eastAsia="zh-CN"/>
              </w:rPr>
              <w:t>根据</w:t>
            </w:r>
            <w:r>
              <w:rPr>
                <w:rFonts w:hint="default" w:ascii="Times New Roman" w:hAnsi="Times New Roman" w:eastAsia="宋体" w:cs="Times New Roman"/>
                <w:color w:val="auto"/>
                <w:kern w:val="0"/>
                <w:sz w:val="24"/>
                <w:szCs w:val="24"/>
                <w:highlight w:val="none"/>
              </w:rPr>
              <w:t>202</w:t>
            </w:r>
            <w:r>
              <w:rPr>
                <w:rFonts w:hint="default" w:ascii="Times New Roman" w:hAnsi="Times New Roman" w:eastAsia="宋体"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rPr>
              <w:t>年</w:t>
            </w:r>
            <w:r>
              <w:rPr>
                <w:rFonts w:hint="default" w:ascii="Times New Roman" w:hAnsi="Times New Roman" w:eastAsia="宋体" w:cs="Times New Roman"/>
                <w:color w:val="auto"/>
                <w:kern w:val="0"/>
                <w:sz w:val="24"/>
                <w:szCs w:val="24"/>
                <w:highlight w:val="none"/>
                <w:lang w:val="en-US" w:eastAsia="zh-CN"/>
              </w:rPr>
              <w:t>全年</w:t>
            </w:r>
            <w:r>
              <w:rPr>
                <w:rFonts w:hint="default" w:ascii="Times New Roman" w:hAnsi="Times New Roman" w:eastAsia="宋体" w:cs="Times New Roman"/>
                <w:color w:val="auto"/>
                <w:sz w:val="24"/>
                <w:szCs w:val="24"/>
                <w:highlight w:val="none"/>
                <w:lang w:val="en-US" w:eastAsia="zh-CN"/>
              </w:rPr>
              <w:t>山西省地表水环境质量报告，</w:t>
            </w:r>
            <w:r>
              <w:rPr>
                <w:rFonts w:hint="default" w:ascii="Times New Roman" w:hAnsi="Times New Roman" w:eastAsia="宋体" w:cs="Times New Roman"/>
                <w:color w:val="auto"/>
                <w:kern w:val="0"/>
                <w:sz w:val="24"/>
                <w:szCs w:val="24"/>
                <w:highlight w:val="none"/>
                <w:lang w:val="en-US" w:eastAsia="zh-CN"/>
              </w:rPr>
              <w:t>浍河</w:t>
            </w:r>
            <w:r>
              <w:rPr>
                <w:rFonts w:hint="default" w:ascii="Times New Roman" w:hAnsi="Times New Roman" w:eastAsia="宋体" w:cs="Times New Roman"/>
                <w:color w:val="auto"/>
                <w:sz w:val="24"/>
                <w:szCs w:val="24"/>
                <w:highlight w:val="none"/>
                <w:lang w:val="en-US" w:eastAsia="zh-CN"/>
              </w:rPr>
              <w:t>小韩村监测断面水质</w:t>
            </w:r>
            <w:r>
              <w:rPr>
                <w:rFonts w:hint="default" w:ascii="Times New Roman" w:hAnsi="Times New Roman" w:cs="Times New Roman"/>
                <w:color w:val="000000" w:themeColor="text1"/>
                <w:sz w:val="24"/>
                <w:highlight w:val="none"/>
                <w:lang w:val="en-US" w:eastAsia="zh-CN"/>
                <w14:textFill>
                  <w14:solidFill>
                    <w14:schemeClr w14:val="tx1"/>
                  </w14:solidFill>
                </w14:textFill>
              </w:rPr>
              <w:t>满足《地表水环境质量标准》（GB3838-2022）中V类水质要求。</w:t>
            </w:r>
          </w:p>
          <w:p>
            <w:pPr>
              <w:pStyle w:val="85"/>
              <w:keepNext w:val="0"/>
              <w:keepLines w:val="0"/>
              <w:pageBreakBefore w:val="0"/>
              <w:widowControl w:val="0"/>
              <w:kinsoku/>
              <w:wordWrap w:val="0"/>
              <w:overflowPunct/>
              <w:topLinePunct w:val="0"/>
              <w:autoSpaceDE/>
              <w:autoSpaceDN/>
              <w:bidi w:val="0"/>
              <w:adjustRightInd/>
              <w:snapToGrid/>
              <w:spacing w:line="440" w:lineRule="exac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szCs w:val="32"/>
                <w:highlight w:val="none"/>
              </w:rPr>
              <w:t>本项目厂界外周边50米范围内无声环境保护目标，因此没有对声环境质量现状进行监测。</w:t>
            </w:r>
          </w:p>
          <w:p>
            <w:pPr>
              <w:pStyle w:val="85"/>
              <w:keepNext w:val="0"/>
              <w:keepLines w:val="0"/>
              <w:pageBreakBefore w:val="0"/>
              <w:widowControl w:val="0"/>
              <w:kinsoku/>
              <w:wordWrap w:val="0"/>
              <w:overflowPunct/>
              <w:topLinePunct w:val="0"/>
              <w:autoSpaceDE/>
              <w:autoSpaceDN/>
              <w:bidi w:val="0"/>
              <w:adjustRightInd/>
              <w:snapToGrid/>
              <w:spacing w:line="440" w:lineRule="exact"/>
              <w:textAlignment w:val="auto"/>
              <w:rPr>
                <w:rFonts w:hint="default" w:ascii="Times New Roman" w:hAnsi="Times New Roman" w:eastAsia="宋体" w:cs="Times New Roman"/>
                <w:b/>
                <w:bCs w:val="0"/>
                <w:iCs w:val="0"/>
                <w:color w:val="auto"/>
                <w:kern w:val="0"/>
                <w:sz w:val="24"/>
                <w:szCs w:val="24"/>
                <w:highlight w:val="none"/>
                <w:lang w:val="en-US" w:eastAsia="zh-CN" w:bidi="ar-SA"/>
              </w:rPr>
            </w:pPr>
            <w:r>
              <w:rPr>
                <w:rFonts w:hint="default" w:ascii="Times New Roman" w:hAnsi="Times New Roman" w:cs="Times New Roman"/>
                <w:b/>
                <w:bCs w:val="0"/>
                <w:iCs w:val="0"/>
                <w:color w:val="auto"/>
                <w:kern w:val="0"/>
                <w:sz w:val="24"/>
                <w:szCs w:val="24"/>
                <w:highlight w:val="none"/>
                <w:lang w:val="en-US" w:eastAsia="zh-CN" w:bidi="ar-SA"/>
              </w:rPr>
              <w:t>四</w:t>
            </w:r>
            <w:r>
              <w:rPr>
                <w:rFonts w:hint="default" w:ascii="Times New Roman" w:hAnsi="Times New Roman" w:eastAsia="宋体" w:cs="Times New Roman"/>
                <w:b/>
                <w:bCs w:val="0"/>
                <w:iCs w:val="0"/>
                <w:color w:val="auto"/>
                <w:kern w:val="0"/>
                <w:sz w:val="24"/>
                <w:szCs w:val="24"/>
                <w:highlight w:val="none"/>
                <w:lang w:val="en-US" w:eastAsia="zh-CN" w:bidi="ar-SA"/>
              </w:rPr>
              <w:t xml:space="preserve">、生态环境现状 </w:t>
            </w:r>
          </w:p>
          <w:p>
            <w:pPr>
              <w:pStyle w:val="85"/>
              <w:keepNext w:val="0"/>
              <w:keepLines w:val="0"/>
              <w:pageBreakBefore w:val="0"/>
              <w:widowControl w:val="0"/>
              <w:kinsoku/>
              <w:wordWrap w:val="0"/>
              <w:overflowPunct/>
              <w:topLinePunct w:val="0"/>
              <w:autoSpaceDE/>
              <w:autoSpaceDN/>
              <w:bidi w:val="0"/>
              <w:adjustRightInd/>
              <w:snapToGrid/>
              <w:spacing w:line="440" w:lineRule="exact"/>
              <w:textAlignment w:val="auto"/>
              <w:rPr>
                <w:rFonts w:hint="default" w:ascii="Times New Roman" w:hAnsi="Times New Roman" w:cs="Times New Roman"/>
                <w:bCs/>
                <w:iCs w:val="0"/>
                <w:color w:val="auto"/>
                <w:kern w:val="0"/>
                <w:sz w:val="24"/>
                <w:szCs w:val="24"/>
                <w:highlight w:val="none"/>
                <w:lang w:val="en-US" w:eastAsia="zh-CN" w:bidi="ar-SA"/>
              </w:rPr>
            </w:pPr>
            <w:r>
              <w:rPr>
                <w:rFonts w:hint="default" w:ascii="Times New Roman" w:hAnsi="Times New Roman" w:eastAsia="宋体" w:cs="Times New Roman"/>
                <w:bCs/>
                <w:iCs w:val="0"/>
                <w:color w:val="auto"/>
                <w:kern w:val="0"/>
                <w:sz w:val="24"/>
                <w:szCs w:val="24"/>
                <w:highlight w:val="none"/>
                <w:lang w:val="en-US" w:eastAsia="zh-CN" w:bidi="ar-SA"/>
              </w:rPr>
              <w:t>本项目</w:t>
            </w:r>
            <w:r>
              <w:rPr>
                <w:rFonts w:hint="default" w:ascii="Times New Roman" w:hAnsi="Times New Roman" w:cs="Times New Roman"/>
                <w:bCs/>
                <w:iCs w:val="0"/>
                <w:color w:val="auto"/>
                <w:kern w:val="0"/>
                <w:sz w:val="24"/>
                <w:szCs w:val="24"/>
                <w:highlight w:val="none"/>
                <w:lang w:val="en-US" w:eastAsia="zh-CN" w:bidi="ar-SA"/>
              </w:rPr>
              <w:t>位于</w:t>
            </w:r>
            <w:r>
              <w:rPr>
                <w:rFonts w:hint="eastAsia" w:ascii="Times New Roman" w:cs="Times New Roman"/>
                <w:bCs/>
                <w:iCs w:val="0"/>
                <w:color w:val="auto"/>
                <w:kern w:val="0"/>
                <w:sz w:val="24"/>
                <w:szCs w:val="24"/>
                <w:highlight w:val="none"/>
                <w:lang w:val="en-US" w:eastAsia="zh-CN" w:bidi="ar-SA"/>
              </w:rPr>
              <w:t>翼城县唐兴镇谭村东168m</w:t>
            </w:r>
            <w:r>
              <w:rPr>
                <w:rFonts w:hint="default" w:ascii="Times New Roman" w:hAnsi="Times New Roman" w:cs="Times New Roman"/>
                <w:bCs/>
                <w:iCs w:val="0"/>
                <w:color w:val="auto"/>
                <w:kern w:val="0"/>
                <w:sz w:val="24"/>
                <w:szCs w:val="24"/>
                <w:highlight w:val="none"/>
                <w:lang w:val="en-US" w:eastAsia="zh-CN" w:bidi="ar-SA"/>
              </w:rPr>
              <w:t>，</w:t>
            </w:r>
            <w:r>
              <w:rPr>
                <w:rFonts w:hint="default" w:ascii="Times New Roman" w:hAnsi="Times New Roman" w:cs="Times New Roman"/>
                <w:color w:val="auto"/>
                <w:kern w:val="0"/>
                <w:sz w:val="24"/>
                <w:highlight w:val="none"/>
                <w:lang w:val="en-US" w:eastAsia="zh-CN"/>
              </w:rPr>
              <w:t>本项目租用</w:t>
            </w:r>
            <w:r>
              <w:rPr>
                <w:rFonts w:hint="eastAsia" w:ascii="Times New Roman" w:cs="Times New Roman"/>
                <w:color w:val="auto"/>
                <w:kern w:val="0"/>
                <w:sz w:val="24"/>
                <w:highlight w:val="none"/>
                <w:lang w:eastAsia="zh-CN"/>
              </w:rPr>
              <w:t>石胜强塑料制品厂</w:t>
            </w:r>
            <w:r>
              <w:rPr>
                <w:rFonts w:hint="default" w:ascii="Times New Roman" w:hAnsi="Times New Roman" w:cs="Times New Roman"/>
                <w:color w:val="auto"/>
                <w:kern w:val="0"/>
                <w:sz w:val="24"/>
                <w:highlight w:val="none"/>
                <w:lang w:val="en-US" w:eastAsia="zh-CN"/>
              </w:rPr>
              <w:t>用地</w:t>
            </w:r>
            <w:r>
              <w:rPr>
                <w:rFonts w:hint="eastAsia" w:ascii="Times New Roman" w:cs="Times New Roman"/>
                <w:bCs/>
                <w:iCs w:val="0"/>
                <w:color w:val="auto"/>
                <w:kern w:val="0"/>
                <w:sz w:val="24"/>
                <w:szCs w:val="24"/>
                <w:highlight w:val="none"/>
                <w:lang w:val="en-US" w:eastAsia="zh-CN" w:bidi="ar-SA"/>
              </w:rPr>
              <w:t>，</w:t>
            </w:r>
            <w:r>
              <w:rPr>
                <w:rFonts w:hint="default" w:ascii="Times New Roman" w:hAnsi="Times New Roman" w:cs="Times New Roman"/>
                <w:color w:val="auto"/>
                <w:kern w:val="0"/>
                <w:sz w:val="24"/>
                <w:highlight w:val="none"/>
              </w:rPr>
              <w:t>选址不涉及占用国家及省级自然保护区、风景名胜区、森林公园、饮用水源保护区及其他生态保护红线范围</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bCs/>
                <w:iCs w:val="0"/>
                <w:color w:val="auto"/>
                <w:kern w:val="0"/>
                <w:sz w:val="24"/>
                <w:szCs w:val="24"/>
                <w:highlight w:val="none"/>
                <w:lang w:val="en-US" w:eastAsia="zh-CN" w:bidi="ar-SA"/>
              </w:rPr>
              <w:t>目前生态环境状况一般。</w:t>
            </w:r>
          </w:p>
          <w:p>
            <w:pPr>
              <w:pStyle w:val="85"/>
              <w:keepNext w:val="0"/>
              <w:keepLines w:val="0"/>
              <w:pageBreakBefore w:val="0"/>
              <w:widowControl w:val="0"/>
              <w:kinsoku/>
              <w:wordWrap w:val="0"/>
              <w:overflowPunct/>
              <w:topLinePunct w:val="0"/>
              <w:autoSpaceDE/>
              <w:autoSpaceDN/>
              <w:bidi w:val="0"/>
              <w:adjustRightInd/>
              <w:snapToGrid/>
              <w:spacing w:line="440" w:lineRule="exact"/>
              <w:textAlignment w:val="auto"/>
              <w:rPr>
                <w:rFonts w:hint="default" w:ascii="Times New Roman" w:hAnsi="Times New Roman" w:eastAsia="宋体" w:cs="Times New Roman"/>
                <w:b/>
                <w:bCs w:val="0"/>
                <w:iCs w:val="0"/>
                <w:color w:val="auto"/>
                <w:kern w:val="0"/>
                <w:sz w:val="24"/>
                <w:szCs w:val="24"/>
                <w:highlight w:val="none"/>
                <w:lang w:val="en-US" w:eastAsia="zh-CN" w:bidi="ar-SA"/>
              </w:rPr>
            </w:pPr>
            <w:r>
              <w:rPr>
                <w:rFonts w:hint="default" w:ascii="Times New Roman" w:hAnsi="Times New Roman" w:eastAsia="宋体" w:cs="Times New Roman"/>
                <w:b/>
                <w:bCs w:val="0"/>
                <w:iCs w:val="0"/>
                <w:color w:val="auto"/>
                <w:kern w:val="0"/>
                <w:sz w:val="24"/>
                <w:szCs w:val="24"/>
                <w:highlight w:val="none"/>
                <w:lang w:val="en-US" w:eastAsia="zh-CN" w:bidi="ar-SA"/>
              </w:rPr>
              <w:t>五、地下水、土壤环境质量现状</w:t>
            </w:r>
          </w:p>
          <w:p>
            <w:pPr>
              <w:pStyle w:val="85"/>
              <w:keepNext w:val="0"/>
              <w:keepLines w:val="0"/>
              <w:pageBreakBefore w:val="0"/>
              <w:widowControl w:val="0"/>
              <w:kinsoku/>
              <w:wordWrap w:val="0"/>
              <w:overflowPunct/>
              <w:topLinePunct w:val="0"/>
              <w:autoSpaceDE/>
              <w:autoSpaceDN/>
              <w:bidi w:val="0"/>
              <w:adjustRightInd/>
              <w:snapToGrid/>
              <w:spacing w:line="440" w:lineRule="exact"/>
              <w:textAlignment w:val="auto"/>
              <w:rPr>
                <w:rFonts w:hint="default" w:ascii="Times New Roman" w:hAnsi="Times New Roman" w:cs="Times New Roman"/>
                <w:bCs/>
                <w:iCs w:val="0"/>
                <w:color w:val="auto"/>
                <w:kern w:val="0"/>
                <w:sz w:val="24"/>
                <w:szCs w:val="24"/>
                <w:highlight w:val="none"/>
                <w:lang w:val="en-US" w:eastAsia="zh-CN" w:bidi="ar-SA"/>
              </w:rPr>
            </w:pPr>
            <w:r>
              <w:rPr>
                <w:rFonts w:hint="default" w:ascii="Times New Roman" w:hAnsi="Times New Roman" w:cs="Times New Roman"/>
                <w:bCs/>
                <w:iCs w:val="0"/>
                <w:color w:val="auto"/>
                <w:kern w:val="0"/>
                <w:sz w:val="24"/>
                <w:szCs w:val="24"/>
                <w:highlight w:val="none"/>
                <w:lang w:val="en-US" w:eastAsia="zh-CN" w:bidi="ar-SA"/>
              </w:rPr>
              <w:t>本项目属于布草洗涤，用地范围内进行了地面硬化，不存在直接土壤、地下水污染途径，因此，不进行土壤、地下水环境质量现状监测。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06" w:type="dxa"/>
            <w:vAlign w:val="center"/>
          </w:tcPr>
          <w:p>
            <w:pPr>
              <w:keepNext w:val="0"/>
              <w:keepLines w:val="0"/>
              <w:pageBreakBefore w:val="0"/>
              <w:widowControl w:val="0"/>
              <w:kinsoku/>
              <w:wordWrap w:val="0"/>
              <w:overflowPunct/>
              <w:topLinePunct w:val="0"/>
              <w:bidi w:val="0"/>
              <w:adjustRightInd w:val="0"/>
              <w:snapToGrid w:val="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环境</w:t>
            </w:r>
          </w:p>
          <w:p>
            <w:pPr>
              <w:keepNext w:val="0"/>
              <w:keepLines w:val="0"/>
              <w:pageBreakBefore w:val="0"/>
              <w:widowControl w:val="0"/>
              <w:kinsoku/>
              <w:wordWrap w:val="0"/>
              <w:overflowPunct/>
              <w:topLinePunct w:val="0"/>
              <w:bidi w:val="0"/>
              <w:adjustRightInd w:val="0"/>
              <w:snapToGrid w:val="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保护</w:t>
            </w:r>
          </w:p>
          <w:p>
            <w:pPr>
              <w:keepNext w:val="0"/>
              <w:keepLines w:val="0"/>
              <w:pageBreakBefore w:val="0"/>
              <w:widowControl w:val="0"/>
              <w:kinsoku/>
              <w:wordWrap w:val="0"/>
              <w:overflowPunct/>
              <w:topLinePunct w:val="0"/>
              <w:bidi w:val="0"/>
              <w:adjustRightInd w:val="0"/>
              <w:snapToGrid w:val="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目标</w:t>
            </w:r>
          </w:p>
        </w:tc>
        <w:tc>
          <w:tcPr>
            <w:tcW w:w="8255" w:type="dxa"/>
            <w:vAlign w:val="center"/>
          </w:tcPr>
          <w:p>
            <w:pPr>
              <w:keepNext w:val="0"/>
              <w:keepLines w:val="0"/>
              <w:pageBreakBefore w:val="0"/>
              <w:widowControl w:val="0"/>
              <w:kinsoku/>
              <w:wordWrap w:val="0"/>
              <w:overflowPunct/>
              <w:topLinePunct w:val="0"/>
              <w:autoSpaceDE/>
              <w:autoSpaceDN/>
              <w:bidi w:val="0"/>
              <w:adjustRightInd/>
              <w:snapToGrid/>
              <w:spacing w:line="440" w:lineRule="atLeast"/>
              <w:ind w:left="0" w:leftChars="0"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本项目主要生态环境保护目标具体见下</w:t>
            </w:r>
            <w:r>
              <w:rPr>
                <w:rFonts w:hint="default" w:ascii="Times New Roman" w:hAnsi="Times New Roman" w:eastAsia="宋体" w:cs="Times New Roman"/>
                <w:color w:val="auto"/>
                <w:sz w:val="24"/>
                <w:szCs w:val="24"/>
                <w:highlight w:val="none"/>
                <w:lang w:val="en-US" w:eastAsia="zh-CN"/>
              </w:rPr>
              <w:t>表，项目地理位置图见附图1，四邻关系及保护目标图见附图2。</w:t>
            </w:r>
          </w:p>
          <w:p>
            <w:pPr>
              <w:keepNext w:val="0"/>
              <w:keepLines w:val="0"/>
              <w:pageBreakBefore w:val="0"/>
              <w:widowControl w:val="0"/>
              <w:kinsoku/>
              <w:overflowPunct/>
              <w:topLinePunct w:val="0"/>
              <w:autoSpaceDE/>
              <w:autoSpaceDN/>
              <w:bidi w:val="0"/>
              <w:adjustRightInd/>
              <w:snapToGrid/>
              <w:spacing w:line="440" w:lineRule="atLeast"/>
              <w:jc w:val="center"/>
              <w:textAlignment w:val="auto"/>
              <w:rPr>
                <w:rFonts w:hint="default" w:ascii="Times New Roman" w:hAnsi="Times New Roman" w:eastAsia="宋体" w:cs="Times New Roman"/>
                <w:b/>
                <w:bCs/>
                <w:color w:val="000000" w:themeColor="text1"/>
                <w:spacing w:val="-2"/>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2"/>
                <w:kern w:val="0"/>
                <w:sz w:val="21"/>
                <w:szCs w:val="21"/>
                <w:highlight w:val="none"/>
                <w:lang w:val="en-US" w:eastAsia="zh-CN" w:bidi="ar-SA"/>
                <w14:textFill>
                  <w14:solidFill>
                    <w14:schemeClr w14:val="tx1"/>
                  </w14:solidFill>
                </w14:textFill>
              </w:rPr>
              <w:t>表3-</w:t>
            </w:r>
            <w:r>
              <w:rPr>
                <w:rFonts w:hint="eastAsia" w:ascii="Times New Roman" w:cs="Times New Roman"/>
                <w:b/>
                <w:bCs/>
                <w:color w:val="000000" w:themeColor="text1"/>
                <w:spacing w:val="-2"/>
                <w:kern w:val="0"/>
                <w:sz w:val="21"/>
                <w:szCs w:val="21"/>
                <w:highlight w:val="none"/>
                <w:lang w:val="en-US" w:eastAsia="zh-CN" w:bidi="ar-SA"/>
                <w14:textFill>
                  <w14:solidFill>
                    <w14:schemeClr w14:val="tx1"/>
                  </w14:solidFill>
                </w14:textFill>
              </w:rPr>
              <w:t>4</w:t>
            </w:r>
            <w:r>
              <w:rPr>
                <w:rFonts w:hint="default" w:ascii="Times New Roman" w:hAnsi="Times New Roman" w:eastAsia="宋体" w:cs="Times New Roman"/>
                <w:b/>
                <w:bCs/>
                <w:color w:val="000000" w:themeColor="text1"/>
                <w:spacing w:val="-2"/>
                <w:kern w:val="0"/>
                <w:sz w:val="21"/>
                <w:szCs w:val="21"/>
                <w:highlight w:val="none"/>
                <w:lang w:val="en-US" w:eastAsia="zh-CN" w:bidi="ar-SA"/>
                <w14:textFill>
                  <w14:solidFill>
                    <w14:schemeClr w14:val="tx1"/>
                  </w14:solidFill>
                </w14:textFill>
              </w:rPr>
              <w:t xml:space="preserve"> 主要生态环境保护目标表</w:t>
            </w:r>
          </w:p>
          <w:tbl>
            <w:tblPr>
              <w:tblStyle w:val="38"/>
              <w:tblW w:w="794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841"/>
              <w:gridCol w:w="1376"/>
              <w:gridCol w:w="748"/>
              <w:gridCol w:w="687"/>
              <w:gridCol w:w="717"/>
              <w:gridCol w:w="1044"/>
              <w:gridCol w:w="18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724" w:type="dxa"/>
                  <w:tcBorders>
                    <w:tl2br w:val="nil"/>
                    <w:tr2bl w:val="nil"/>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环境要素</w:t>
                  </w:r>
                </w:p>
              </w:tc>
              <w:tc>
                <w:tcPr>
                  <w:tcW w:w="888" w:type="dxa"/>
                  <w:tcBorders>
                    <w:tl2br w:val="nil"/>
                    <w:tr2bl w:val="nil"/>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1485" w:type="dxa"/>
                  <w:tcBorders>
                    <w:tl2br w:val="nil"/>
                    <w:tr2bl w:val="nil"/>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坐标</w:t>
                  </w:r>
                </w:p>
              </w:tc>
              <w:tc>
                <w:tcPr>
                  <w:tcW w:w="785" w:type="dxa"/>
                  <w:tcBorders>
                    <w:tl2br w:val="nil"/>
                    <w:tr2bl w:val="nil"/>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保护对象</w:t>
                  </w:r>
                </w:p>
              </w:tc>
              <w:tc>
                <w:tcPr>
                  <w:tcW w:w="705" w:type="dxa"/>
                  <w:tcBorders>
                    <w:tl2br w:val="nil"/>
                    <w:tr2bl w:val="nil"/>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保护内容</w:t>
                  </w:r>
                </w:p>
              </w:tc>
              <w:tc>
                <w:tcPr>
                  <w:tcW w:w="750" w:type="dxa"/>
                  <w:tcBorders>
                    <w:tl2br w:val="nil"/>
                    <w:tr2bl w:val="nil"/>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相对项目位置</w:t>
                  </w:r>
                </w:p>
              </w:tc>
              <w:tc>
                <w:tcPr>
                  <w:tcW w:w="1060" w:type="dxa"/>
                  <w:tcBorders>
                    <w:tl2br w:val="nil"/>
                    <w:tr2bl w:val="nil"/>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相对项目最近距离（km）</w:t>
                  </w:r>
                </w:p>
              </w:tc>
              <w:tc>
                <w:tcPr>
                  <w:tcW w:w="1547" w:type="dxa"/>
                  <w:tcBorders>
                    <w:tl2br w:val="nil"/>
                    <w:tr2bl w:val="nil"/>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环境功能区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4" w:type="dxa"/>
                  <w:tcBorders>
                    <w:tl2br w:val="nil"/>
                    <w:tr2bl w:val="nil"/>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环境空气</w:t>
                  </w:r>
                </w:p>
              </w:tc>
              <w:tc>
                <w:tcPr>
                  <w:tcW w:w="888"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rPr>
                  </w:pPr>
                  <w:r>
                    <w:rPr>
                      <w:rFonts w:hint="eastAsia" w:ascii="Times New Roman" w:cs="Times New Roman"/>
                      <w:color w:val="auto"/>
                      <w:spacing w:val="0"/>
                      <w:kern w:val="2"/>
                      <w:sz w:val="21"/>
                      <w:szCs w:val="21"/>
                      <w:highlight w:val="none"/>
                      <w:lang w:val="en-US" w:eastAsia="zh-CN" w:bidi="ar-SA"/>
                    </w:rPr>
                    <w:t>谭</w:t>
                  </w:r>
                  <w:r>
                    <w:rPr>
                      <w:rFonts w:hint="default" w:ascii="Times New Roman" w:hAnsi="Times New Roman" w:cs="Times New Roman"/>
                      <w:color w:val="auto"/>
                      <w:spacing w:val="0"/>
                      <w:kern w:val="2"/>
                      <w:sz w:val="21"/>
                      <w:szCs w:val="21"/>
                      <w:highlight w:val="none"/>
                      <w:lang w:val="en-US" w:eastAsia="zh-CN" w:bidi="ar-SA"/>
                    </w:rPr>
                    <w:t>村</w:t>
                  </w:r>
                </w:p>
              </w:tc>
              <w:tc>
                <w:tcPr>
                  <w:tcW w:w="1485"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rPr>
                  </w:pPr>
                </w:p>
              </w:tc>
              <w:tc>
                <w:tcPr>
                  <w:tcW w:w="785" w:type="dxa"/>
                  <w:tcBorders>
                    <w:tl2br w:val="nil"/>
                    <w:tr2bl w:val="nil"/>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居民</w:t>
                  </w:r>
                </w:p>
              </w:tc>
              <w:tc>
                <w:tcPr>
                  <w:tcW w:w="705" w:type="dxa"/>
                  <w:tcBorders>
                    <w:tl2br w:val="nil"/>
                    <w:tr2bl w:val="nil"/>
                  </w:tcBorders>
                  <w:vAlign w:val="center"/>
                </w:tcPr>
                <w:p>
                  <w:pPr>
                    <w:spacing w:line="240" w:lineRule="auto"/>
                    <w:jc w:val="center"/>
                    <w:rPr>
                      <w:rFonts w:hint="default" w:ascii="Times New Roman" w:hAnsi="Times New Roman" w:eastAsia="宋体" w:cs="Times New Roman"/>
                      <w:sz w:val="21"/>
                      <w:szCs w:val="21"/>
                      <w:lang w:eastAsia="zh-CN"/>
                    </w:rPr>
                  </w:pPr>
                  <w:r>
                    <w:rPr>
                      <w:rFonts w:hint="eastAsia" w:ascii="Times New Roman" w:cs="Times New Roman"/>
                      <w:sz w:val="21"/>
                      <w:szCs w:val="21"/>
                      <w:highlight w:val="none"/>
                      <w:lang w:val="en-US" w:eastAsia="zh-CN"/>
                    </w:rPr>
                    <w:t>841</w:t>
                  </w:r>
                  <w:r>
                    <w:rPr>
                      <w:rFonts w:hint="default" w:ascii="Times New Roman" w:hAnsi="Times New Roman" w:cs="Times New Roman"/>
                      <w:sz w:val="21"/>
                      <w:szCs w:val="21"/>
                      <w:highlight w:val="none"/>
                      <w:lang w:val="en-US" w:eastAsia="zh-CN"/>
                    </w:rPr>
                    <w:t>人</w:t>
                  </w:r>
                </w:p>
              </w:tc>
              <w:tc>
                <w:tcPr>
                  <w:tcW w:w="750" w:type="dxa"/>
                  <w:tcBorders>
                    <w:tl2br w:val="nil"/>
                    <w:tr2bl w:val="nil"/>
                  </w:tcBorders>
                  <w:vAlign w:val="center"/>
                </w:tcPr>
                <w:p>
                  <w:pPr>
                    <w:spacing w:line="240" w:lineRule="auto"/>
                    <w:jc w:val="center"/>
                    <w:rPr>
                      <w:rFonts w:hint="default" w:ascii="Times New Roman" w:hAnsi="Times New Roman" w:eastAsia="宋体" w:cs="Times New Roman"/>
                      <w:sz w:val="21"/>
                      <w:szCs w:val="21"/>
                      <w:lang w:val="en-US" w:eastAsia="zh-CN"/>
                    </w:rPr>
                  </w:pPr>
                  <w:r>
                    <w:rPr>
                      <w:rFonts w:hint="eastAsia" w:ascii="Times New Roman" w:cs="Times New Roman"/>
                      <w:sz w:val="21"/>
                      <w:szCs w:val="21"/>
                      <w:lang w:val="en-US" w:eastAsia="zh-CN"/>
                    </w:rPr>
                    <w:t>W</w:t>
                  </w:r>
                </w:p>
              </w:tc>
              <w:tc>
                <w:tcPr>
                  <w:tcW w:w="1060" w:type="dxa"/>
                  <w:tcBorders>
                    <w:tl2br w:val="nil"/>
                    <w:tr2bl w:val="nil"/>
                  </w:tcBorders>
                  <w:vAlign w:val="center"/>
                </w:tcPr>
                <w:p>
                  <w:pPr>
                    <w:spacing w:line="240" w:lineRule="auto"/>
                    <w:jc w:val="center"/>
                    <w:rPr>
                      <w:rFonts w:hint="default" w:ascii="Times New Roman" w:hAnsi="Times New Roman" w:cs="Times New Roman"/>
                      <w:sz w:val="21"/>
                      <w:szCs w:val="21"/>
                      <w:lang w:val="en-US"/>
                    </w:rPr>
                  </w:pPr>
                  <w:r>
                    <w:rPr>
                      <w:rFonts w:hint="default" w:ascii="Times New Roman" w:hAnsi="Times New Roman" w:cs="Times New Roman"/>
                      <w:sz w:val="21"/>
                      <w:szCs w:val="21"/>
                    </w:rPr>
                    <w:t>0.</w:t>
                  </w:r>
                  <w:r>
                    <w:rPr>
                      <w:rFonts w:hint="eastAsia" w:ascii="Times New Roman" w:cs="Times New Roman"/>
                      <w:sz w:val="21"/>
                      <w:szCs w:val="21"/>
                      <w:lang w:val="en-US" w:eastAsia="zh-CN"/>
                    </w:rPr>
                    <w:t>168</w:t>
                  </w:r>
                </w:p>
              </w:tc>
              <w:tc>
                <w:tcPr>
                  <w:tcW w:w="1547" w:type="dxa"/>
                  <w:tcBorders>
                    <w:tl2br w:val="nil"/>
                    <w:tr2bl w:val="nil"/>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eastAsia="宋体" w:cs="Times New Roman"/>
                      <w:color w:val="auto"/>
                      <w:sz w:val="21"/>
                      <w:szCs w:val="21"/>
                      <w:highlight w:val="none"/>
                    </w:rPr>
                    <w:t>《环境空气质量标准》（GB3095-2012）及其修改单中二级标准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24" w:type="dxa"/>
                  <w:tcBorders>
                    <w:tl2br w:val="nil"/>
                    <w:tr2bl w:val="nil"/>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声环境</w:t>
                  </w:r>
                </w:p>
              </w:tc>
              <w:tc>
                <w:tcPr>
                  <w:tcW w:w="7220" w:type="dxa"/>
                  <w:gridSpan w:val="7"/>
                  <w:tcBorders>
                    <w:tl2br w:val="nil"/>
                    <w:tr2bl w:val="nil"/>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color w:val="auto"/>
                      <w:sz w:val="21"/>
                      <w:szCs w:val="21"/>
                      <w:highlight w:val="none"/>
                      <w:lang w:eastAsia="zh-CN"/>
                    </w:rPr>
                    <w:t>本项目厂界外</w:t>
                  </w:r>
                  <w:r>
                    <w:rPr>
                      <w:rFonts w:hint="default" w:ascii="Times New Roman" w:hAnsi="Times New Roman" w:cs="Times New Roman"/>
                      <w:color w:val="auto"/>
                      <w:sz w:val="21"/>
                      <w:szCs w:val="21"/>
                      <w:highlight w:val="none"/>
                      <w:lang w:val="en-US" w:eastAsia="zh-CN"/>
                    </w:rPr>
                    <w:t>50米范围内无声环境保护目标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4" w:type="dxa"/>
                  <w:tcBorders>
                    <w:tl2br w:val="nil"/>
                    <w:tr2bl w:val="nil"/>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地下水</w:t>
                  </w:r>
                </w:p>
              </w:tc>
              <w:tc>
                <w:tcPr>
                  <w:tcW w:w="7220" w:type="dxa"/>
                  <w:gridSpan w:val="7"/>
                  <w:tcBorders>
                    <w:tl2br w:val="nil"/>
                    <w:tr2bl w:val="nil"/>
                  </w:tcBorders>
                  <w:vAlign w:val="center"/>
                </w:tcPr>
                <w:p>
                  <w:pPr>
                    <w:spacing w:line="240" w:lineRule="auto"/>
                    <w:jc w:val="left"/>
                    <w:rPr>
                      <w:rFonts w:hint="default" w:ascii="Times New Roman" w:hAnsi="Times New Roman" w:cs="Times New Roman"/>
                      <w:sz w:val="21"/>
                      <w:szCs w:val="21"/>
                    </w:rPr>
                  </w:pPr>
                  <w:r>
                    <w:rPr>
                      <w:rFonts w:hint="default" w:ascii="Times New Roman" w:hAnsi="Times New Roman" w:cs="Times New Roman"/>
                      <w:sz w:val="21"/>
                      <w:szCs w:val="21"/>
                    </w:rPr>
                    <w:t>厂界外500米范围内没有地下水集中式饮用水水源和热水、矿泉水、温泉等特殊地下水资源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4" w:type="dxa"/>
                  <w:tcBorders>
                    <w:tl2br w:val="nil"/>
                    <w:tr2bl w:val="nil"/>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生态环境</w:t>
                  </w:r>
                </w:p>
              </w:tc>
              <w:tc>
                <w:tcPr>
                  <w:tcW w:w="7220" w:type="dxa"/>
                  <w:gridSpan w:val="7"/>
                  <w:tcBorders>
                    <w:tl2br w:val="nil"/>
                    <w:tr2bl w:val="nil"/>
                  </w:tcBorders>
                  <w:vAlign w:val="center"/>
                </w:tcPr>
                <w:p>
                  <w:pPr>
                    <w:spacing w:line="240" w:lineRule="auto"/>
                    <w:jc w:val="left"/>
                    <w:rPr>
                      <w:rFonts w:hint="default" w:ascii="Times New Roman" w:hAnsi="Times New Roman" w:cs="Times New Roman"/>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本项目租用</w:t>
                  </w:r>
                  <w:r>
                    <w:rPr>
                      <w:rFonts w:hint="eastAsia" w:ascii="Times New Roman" w:cs="Times New Roman"/>
                      <w:color w:val="auto"/>
                      <w:kern w:val="2"/>
                      <w:sz w:val="21"/>
                      <w:szCs w:val="21"/>
                      <w:highlight w:val="none"/>
                      <w:lang w:val="en-US" w:eastAsia="zh-CN" w:bidi="ar-SA"/>
                    </w:rPr>
                    <w:t>石胜强塑料制品厂</w:t>
                  </w:r>
                  <w:r>
                    <w:rPr>
                      <w:rFonts w:hint="default" w:ascii="Times New Roman" w:hAnsi="Times New Roman" w:eastAsia="宋体" w:cs="Times New Roman"/>
                      <w:color w:val="auto"/>
                      <w:kern w:val="2"/>
                      <w:sz w:val="21"/>
                      <w:szCs w:val="21"/>
                      <w:highlight w:val="none"/>
                      <w:lang w:val="en-US" w:eastAsia="zh-CN" w:bidi="ar-SA"/>
                    </w:rPr>
                    <w:t>用地，项目用地范围内无生态环境保护目标。</w:t>
                  </w:r>
                </w:p>
              </w:tc>
            </w:tr>
          </w:tbl>
          <w:p>
            <w:pPr>
              <w:pStyle w:val="85"/>
              <w:keepNext w:val="0"/>
              <w:keepLines w:val="0"/>
              <w:pageBreakBefore w:val="0"/>
              <w:widowControl w:val="0"/>
              <w:kinsoku/>
              <w:wordWrap w:val="0"/>
              <w:overflowPunct/>
              <w:topLinePunct w:val="0"/>
              <w:autoSpaceDE/>
              <w:autoSpaceDN/>
              <w:bidi w:val="0"/>
              <w:adjustRightInd/>
              <w:snapToGrid/>
              <w:spacing w:line="360" w:lineRule="auto"/>
              <w:textAlignment w:val="auto"/>
              <w:rPr>
                <w:rFonts w:hint="default" w:ascii="Times New Roman" w:hAnsi="Times New Roman" w:eastAsia="宋体" w:cs="Times New Roman"/>
                <w:bCs/>
                <w:iCs w:val="0"/>
                <w:color w:val="auto"/>
                <w:kern w:val="0"/>
                <w:sz w:val="24"/>
                <w:szCs w:val="24"/>
                <w:highlight w:val="no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806" w:type="dxa"/>
            <w:tcMar>
              <w:left w:w="28" w:type="dxa"/>
              <w:right w:w="28" w:type="dxa"/>
            </w:tcMar>
            <w:vAlign w:val="center"/>
          </w:tcPr>
          <w:p>
            <w:pPr>
              <w:keepNext w:val="0"/>
              <w:keepLines w:val="0"/>
              <w:pageBreakBefore w:val="0"/>
              <w:widowControl w:val="0"/>
              <w:kinsoku/>
              <w:wordWrap w:val="0"/>
              <w:overflowPunct/>
              <w:topLinePunct w:val="0"/>
              <w:bidi w:val="0"/>
              <w:adjustRightInd w:val="0"/>
              <w:snapToGrid w:val="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污染</w:t>
            </w:r>
          </w:p>
          <w:p>
            <w:pPr>
              <w:keepNext w:val="0"/>
              <w:keepLines w:val="0"/>
              <w:pageBreakBefore w:val="0"/>
              <w:widowControl w:val="0"/>
              <w:kinsoku/>
              <w:wordWrap w:val="0"/>
              <w:overflowPunct/>
              <w:topLinePunct w:val="0"/>
              <w:bidi w:val="0"/>
              <w:adjustRightInd w:val="0"/>
              <w:snapToGrid w:val="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物排</w:t>
            </w:r>
          </w:p>
          <w:p>
            <w:pPr>
              <w:keepNext w:val="0"/>
              <w:keepLines w:val="0"/>
              <w:pageBreakBefore w:val="0"/>
              <w:widowControl w:val="0"/>
              <w:kinsoku/>
              <w:wordWrap w:val="0"/>
              <w:overflowPunct/>
              <w:topLinePunct w:val="0"/>
              <w:bidi w:val="0"/>
              <w:adjustRightInd w:val="0"/>
              <w:snapToGrid w:val="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放控</w:t>
            </w:r>
          </w:p>
          <w:p>
            <w:pPr>
              <w:keepNext w:val="0"/>
              <w:keepLines w:val="0"/>
              <w:pageBreakBefore w:val="0"/>
              <w:widowControl w:val="0"/>
              <w:kinsoku/>
              <w:wordWrap w:val="0"/>
              <w:overflowPunct/>
              <w:topLinePunct w:val="0"/>
              <w:bidi w:val="0"/>
              <w:adjustRightInd w:val="0"/>
              <w:snapToGrid w:val="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制标</w:t>
            </w:r>
          </w:p>
          <w:p>
            <w:pPr>
              <w:keepNext w:val="0"/>
              <w:keepLines w:val="0"/>
              <w:pageBreakBefore w:val="0"/>
              <w:widowControl w:val="0"/>
              <w:kinsoku/>
              <w:wordWrap w:val="0"/>
              <w:overflowPunct/>
              <w:topLinePunct w:val="0"/>
              <w:bidi w:val="0"/>
              <w:adjustRightInd w:val="0"/>
              <w:snapToGrid w:val="0"/>
              <w:jc w:val="center"/>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1"/>
                <w:szCs w:val="21"/>
                <w:highlight w:val="none"/>
              </w:rPr>
              <w:t>准</w:t>
            </w:r>
          </w:p>
        </w:tc>
        <w:tc>
          <w:tcPr>
            <w:tcW w:w="8255" w:type="dxa"/>
            <w:vAlign w:val="center"/>
          </w:tcPr>
          <w:p>
            <w:pPr>
              <w:keepNext w:val="0"/>
              <w:keepLines w:val="0"/>
              <w:pageBreakBefore w:val="0"/>
              <w:widowControl w:val="0"/>
              <w:kinsoku/>
              <w:wordWrap w:val="0"/>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1、废气</w:t>
            </w:r>
            <w:r>
              <w:rPr>
                <w:rFonts w:hint="default" w:ascii="Times New Roman" w:hAnsi="Times New Roman" w:eastAsia="宋体" w:cs="Times New Roman"/>
                <w:color w:val="auto"/>
                <w:sz w:val="24"/>
                <w:szCs w:val="24"/>
                <w:highlight w:val="none"/>
                <w:lang w:val="en-US" w:eastAsia="zh-CN"/>
              </w:rPr>
              <w:t>排放</w:t>
            </w:r>
            <w:r>
              <w:rPr>
                <w:rFonts w:hint="default" w:ascii="Times New Roman" w:hAnsi="Times New Roman" w:eastAsia="宋体" w:cs="Times New Roman"/>
                <w:color w:val="auto"/>
                <w:sz w:val="24"/>
                <w:szCs w:val="24"/>
                <w:highlight w:val="none"/>
              </w:rPr>
              <w:t>标准</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lang w:val="en-US" w:eastAsia="zh-CN"/>
              </w:rPr>
              <w:t>运营期生物质锅炉烟气执行山西省《锅炉大气污染物排放标准》（DB14/1929-2019）表2中新建燃生物质锅炉排放浓度限值</w:t>
            </w:r>
            <w:r>
              <w:rPr>
                <w:rFonts w:hint="default" w:ascii="Times New Roman" w:hAnsi="Times New Roman" w:eastAsia="宋体" w:cs="Times New Roman"/>
                <w:color w:val="auto"/>
                <w:sz w:val="24"/>
                <w:szCs w:val="24"/>
              </w:rPr>
              <w:t>。详</w:t>
            </w:r>
            <w:r>
              <w:rPr>
                <w:rFonts w:hint="default" w:ascii="Times New Roman" w:hAnsi="Times New Roman" w:eastAsia="宋体" w:cs="Times New Roman"/>
                <w:bCs/>
                <w:color w:val="auto"/>
                <w:sz w:val="24"/>
                <w:szCs w:val="24"/>
              </w:rPr>
              <w:t>见</w:t>
            </w:r>
            <w:r>
              <w:rPr>
                <w:rFonts w:hint="default" w:ascii="Times New Roman" w:hAnsi="Times New Roman" w:cs="Times New Roman"/>
                <w:bCs/>
                <w:color w:val="auto"/>
                <w:sz w:val="24"/>
                <w:szCs w:val="24"/>
                <w:lang w:val="en-US" w:eastAsia="zh-CN"/>
              </w:rPr>
              <w:t>下</w:t>
            </w:r>
            <w:r>
              <w:rPr>
                <w:rFonts w:hint="default" w:ascii="Times New Roman" w:hAnsi="Times New Roman" w:eastAsia="宋体" w:cs="Times New Roman"/>
                <w:bCs/>
                <w:color w:val="auto"/>
                <w:sz w:val="24"/>
                <w:szCs w:val="24"/>
              </w:rPr>
              <w:t>表</w:t>
            </w:r>
            <w:r>
              <w:rPr>
                <w:rFonts w:hint="default" w:ascii="Times New Roman" w:hAnsi="Times New Roman" w:cs="Times New Roman"/>
                <w:bCs/>
                <w:color w:val="auto"/>
                <w:sz w:val="24"/>
                <w:szCs w:val="24"/>
                <w:lang w:val="en-US" w:eastAsia="zh-CN"/>
              </w:rPr>
              <w:t>。</w:t>
            </w:r>
          </w:p>
          <w:p>
            <w:pPr>
              <w:keepNext w:val="0"/>
              <w:keepLines w:val="0"/>
              <w:pageBreakBefore w:val="0"/>
              <w:widowControl w:val="0"/>
              <w:kinsoku/>
              <w:overflowPunct/>
              <w:topLinePunct w:val="0"/>
              <w:autoSpaceDE/>
              <w:autoSpaceDN/>
              <w:bidi w:val="0"/>
              <w:spacing w:line="440" w:lineRule="exact"/>
              <w:jc w:val="center"/>
              <w:rPr>
                <w:rFonts w:hint="default" w:ascii="Times New Roman" w:hAnsi="Times New Roman" w:eastAsia="宋体" w:cs="Times New Roman"/>
                <w:b/>
                <w:bCs/>
                <w:color w:val="000000" w:themeColor="text1"/>
                <w:spacing w:val="-2"/>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2"/>
                <w:kern w:val="0"/>
                <w:sz w:val="21"/>
                <w:szCs w:val="21"/>
                <w:highlight w:val="none"/>
                <w:lang w:val="en-US" w:eastAsia="zh-CN" w:bidi="ar-SA"/>
                <w14:textFill>
                  <w14:solidFill>
                    <w14:schemeClr w14:val="tx1"/>
                  </w14:solidFill>
                </w14:textFill>
              </w:rPr>
              <w:t>表3-</w:t>
            </w:r>
            <w:r>
              <w:rPr>
                <w:rFonts w:hint="eastAsia" w:ascii="Times New Roman" w:cs="Times New Roman"/>
                <w:b/>
                <w:bCs/>
                <w:color w:val="000000" w:themeColor="text1"/>
                <w:spacing w:val="-2"/>
                <w:kern w:val="0"/>
                <w:sz w:val="21"/>
                <w:szCs w:val="21"/>
                <w:highlight w:val="none"/>
                <w:lang w:val="en-US" w:eastAsia="zh-CN" w:bidi="ar-SA"/>
                <w14:textFill>
                  <w14:solidFill>
                    <w14:schemeClr w14:val="tx1"/>
                  </w14:solidFill>
                </w14:textFill>
              </w:rPr>
              <w:t>5</w:t>
            </w:r>
            <w:r>
              <w:rPr>
                <w:rFonts w:hint="default" w:ascii="Times New Roman" w:hAnsi="Times New Roman" w:eastAsia="宋体" w:cs="Times New Roman"/>
                <w:b/>
                <w:bCs/>
                <w:color w:val="000000" w:themeColor="text1"/>
                <w:spacing w:val="-2"/>
                <w:kern w:val="0"/>
                <w:sz w:val="21"/>
                <w:szCs w:val="21"/>
                <w:highlight w:val="none"/>
                <w:lang w:val="en-US" w:eastAsia="zh-CN" w:bidi="ar-SA"/>
                <w14:textFill>
                  <w14:solidFill>
                    <w14:schemeClr w14:val="tx1"/>
                  </w14:solidFill>
                </w14:textFill>
              </w:rPr>
              <w:t xml:space="preserve">  </w:t>
            </w:r>
            <w:r>
              <w:rPr>
                <w:rFonts w:hint="default" w:ascii="Times New Roman" w:hAnsi="Times New Roman" w:eastAsia="宋体" w:cs="Times New Roman"/>
                <w:b/>
                <w:bCs/>
                <w:snapToGrid w:val="0"/>
                <w:color w:val="000000" w:themeColor="text1"/>
                <w:kern w:val="0"/>
                <w:sz w:val="21"/>
                <w:szCs w:val="21"/>
                <w:lang w:val="en-US" w:eastAsia="zh-CN" w:bidi="ar-SA"/>
                <w14:textFill>
                  <w14:solidFill>
                    <w14:schemeClr w14:val="tx1"/>
                  </w14:solidFill>
                </w14:textFill>
              </w:rPr>
              <w:t>《锅炉大气污染物排放标准》（DB14/1929-2019）</w:t>
            </w:r>
          </w:p>
          <w:tbl>
            <w:tblPr>
              <w:tblStyle w:val="39"/>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002"/>
              <w:gridCol w:w="40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36" w:hRule="atLeast"/>
              </w:trPr>
              <w:tc>
                <w:tcPr>
                  <w:tcW w:w="2499" w:type="pct"/>
                  <w:tcBorders>
                    <w:tl2br w:val="nil"/>
                    <w:tr2bl w:val="nil"/>
                  </w:tcBorders>
                  <w:vAlign w:val="top"/>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污染物项目</w:t>
                  </w:r>
                </w:p>
              </w:tc>
              <w:tc>
                <w:tcPr>
                  <w:tcW w:w="2500" w:type="pct"/>
                  <w:tcBorders>
                    <w:tl2br w:val="nil"/>
                    <w:tr2bl w:val="nil"/>
                  </w:tcBorders>
                  <w:vAlign w:val="top"/>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排放浓度（mg/m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trPr>
              <w:tc>
                <w:tcPr>
                  <w:tcW w:w="2499" w:type="pct"/>
                  <w:tcBorders>
                    <w:tl2br w:val="nil"/>
                    <w:tr2bl w:val="nil"/>
                  </w:tcBorders>
                  <w:vAlign w:val="top"/>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颗粒物</w:t>
                  </w:r>
                </w:p>
              </w:tc>
              <w:tc>
                <w:tcPr>
                  <w:tcW w:w="2500" w:type="pct"/>
                  <w:tcBorders>
                    <w:tl2br w:val="nil"/>
                    <w:tr2bl w:val="nil"/>
                  </w:tcBorders>
                  <w:vAlign w:val="top"/>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2499" w:type="pct"/>
                  <w:tcBorders>
                    <w:tl2br w:val="nil"/>
                    <w:tr2bl w:val="nil"/>
                  </w:tcBorders>
                  <w:vAlign w:val="top"/>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二氧化硫</w:t>
                  </w:r>
                </w:p>
              </w:tc>
              <w:tc>
                <w:tcPr>
                  <w:tcW w:w="2500" w:type="pct"/>
                  <w:tcBorders>
                    <w:tl2br w:val="nil"/>
                    <w:tr2bl w:val="nil"/>
                  </w:tcBorders>
                  <w:vAlign w:val="top"/>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2499" w:type="pct"/>
                  <w:tcBorders>
                    <w:tl2br w:val="nil"/>
                    <w:tr2bl w:val="nil"/>
                  </w:tcBorders>
                  <w:vAlign w:val="top"/>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氮氧化物</w:t>
                  </w:r>
                </w:p>
              </w:tc>
              <w:tc>
                <w:tcPr>
                  <w:tcW w:w="2500" w:type="pct"/>
                  <w:tcBorders>
                    <w:tl2br w:val="nil"/>
                    <w:tr2bl w:val="nil"/>
                  </w:tcBorders>
                  <w:vAlign w:val="top"/>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2499" w:type="pct"/>
                  <w:tcBorders>
                    <w:tl2br w:val="nil"/>
                    <w:tr2bl w:val="nil"/>
                  </w:tcBorders>
                  <w:vAlign w:val="top"/>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一氧化碳</w:t>
                  </w:r>
                </w:p>
              </w:tc>
              <w:tc>
                <w:tcPr>
                  <w:tcW w:w="2500" w:type="pct"/>
                  <w:tcBorders>
                    <w:tl2br w:val="nil"/>
                    <w:tr2bl w:val="nil"/>
                  </w:tcBorders>
                  <w:vAlign w:val="top"/>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27" w:hRule="atLeast"/>
              </w:trPr>
              <w:tc>
                <w:tcPr>
                  <w:tcW w:w="2499" w:type="pct"/>
                  <w:tcBorders>
                    <w:tl2br w:val="nil"/>
                    <w:tr2bl w:val="nil"/>
                  </w:tcBorders>
                  <w:vAlign w:val="top"/>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烟气黑度（林格曼黑度，级）</w:t>
                  </w:r>
                </w:p>
              </w:tc>
              <w:tc>
                <w:tcPr>
                  <w:tcW w:w="2500" w:type="pct"/>
                  <w:tcBorders>
                    <w:tl2br w:val="nil"/>
                    <w:tr2bl w:val="nil"/>
                  </w:tcBorders>
                  <w:vAlign w:val="top"/>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0" w:hRule="atLeast"/>
              </w:trPr>
              <w:tc>
                <w:tcPr>
                  <w:tcW w:w="2499" w:type="pct"/>
                  <w:tcBorders>
                    <w:tl2br w:val="nil"/>
                    <w:tr2bl w:val="nil"/>
                  </w:tcBorders>
                  <w:vAlign w:val="top"/>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汞及其化合物</w:t>
                  </w:r>
                </w:p>
              </w:tc>
              <w:tc>
                <w:tcPr>
                  <w:tcW w:w="2500" w:type="pct"/>
                  <w:tcBorders>
                    <w:tl2br w:val="nil"/>
                    <w:tr2bl w:val="nil"/>
                  </w:tcBorders>
                  <w:vAlign w:val="top"/>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0.05</w:t>
                  </w:r>
                </w:p>
              </w:tc>
            </w:tr>
          </w:tbl>
          <w:p>
            <w:pPr>
              <w:pStyle w:val="133"/>
              <w:keepNext w:val="0"/>
              <w:keepLines w:val="0"/>
              <w:pageBreakBefore w:val="0"/>
              <w:widowControl w:val="0"/>
              <w:kinsoku/>
              <w:wordWrap/>
              <w:overflowPunct/>
              <w:topLinePunct w:val="0"/>
              <w:autoSpaceDE/>
              <w:autoSpaceDN/>
              <w:bidi w:val="0"/>
              <w:adjustRightInd/>
              <w:snapToGrid/>
              <w:spacing w:before="10" w:line="440" w:lineRule="exact"/>
              <w:ind w:firstLine="480" w:firstLineChars="200"/>
              <w:jc w:val="both"/>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lang w:val="en-US" w:eastAsia="zh-CN"/>
              </w:rPr>
              <w:t>运营期</w:t>
            </w:r>
            <w:r>
              <w:rPr>
                <w:rFonts w:hint="default" w:ascii="Times New Roman" w:hAnsi="Times New Roman" w:eastAsia="宋体" w:cs="Times New Roman"/>
                <w:color w:val="auto"/>
                <w:sz w:val="24"/>
                <w:szCs w:val="24"/>
                <w:lang w:val="en-US" w:eastAsia="zh-CN" w:bidi="ar-SA"/>
              </w:rPr>
              <w:t>污水处理站产生的恶臭执行《恶臭污染物排放标准》（GB14554-</w:t>
            </w:r>
            <w:r>
              <w:rPr>
                <w:rFonts w:hint="default" w:ascii="Times New Roman" w:hAnsi="Times New Roman" w:cs="Times New Roman"/>
                <w:color w:val="auto"/>
                <w:sz w:val="24"/>
                <w:szCs w:val="24"/>
                <w:lang w:val="en-US" w:eastAsia="zh-CN" w:bidi="ar-SA"/>
              </w:rPr>
              <w:t>19</w:t>
            </w:r>
            <w:r>
              <w:rPr>
                <w:rFonts w:hint="default" w:ascii="Times New Roman" w:hAnsi="Times New Roman" w:eastAsia="宋体" w:cs="Times New Roman"/>
                <w:color w:val="auto"/>
                <w:sz w:val="24"/>
                <w:szCs w:val="24"/>
                <w:lang w:val="en-US" w:eastAsia="zh-CN" w:bidi="ar-SA"/>
              </w:rPr>
              <w:t>93）表1中二级新扩改建标准，具体标准限值见下表。</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imes New Roman" w:hAnsi="Times New Roman" w:eastAsia="宋体" w:cs="Times New Roman"/>
                <w:b/>
                <w:bCs/>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kern w:val="0"/>
                <w:sz w:val="21"/>
                <w:szCs w:val="21"/>
                <w:lang w:val="en-US" w:eastAsia="zh-CN" w:bidi="ar-SA"/>
                <w14:textFill>
                  <w14:solidFill>
                    <w14:schemeClr w14:val="tx1"/>
                  </w14:solidFill>
                </w14:textFill>
              </w:rPr>
              <w:t>表 3-</w:t>
            </w:r>
            <w:r>
              <w:rPr>
                <w:rFonts w:hint="eastAsia" w:ascii="Times New Roman" w:hAnsi="Times New Roman" w:cs="Times New Roman"/>
                <w:b/>
                <w:bCs/>
                <w:snapToGrid w:val="0"/>
                <w:color w:val="000000" w:themeColor="text1"/>
                <w:kern w:val="0"/>
                <w:sz w:val="21"/>
                <w:szCs w:val="21"/>
                <w:lang w:val="en-US" w:eastAsia="zh-CN" w:bidi="ar-SA"/>
                <w14:textFill>
                  <w14:solidFill>
                    <w14:schemeClr w14:val="tx1"/>
                  </w14:solidFill>
                </w14:textFill>
              </w:rPr>
              <w:t>6</w:t>
            </w:r>
            <w:r>
              <w:rPr>
                <w:rFonts w:hint="default" w:ascii="Times New Roman" w:hAnsi="Times New Roman" w:eastAsia="宋体" w:cs="Times New Roman"/>
                <w:b/>
                <w:bCs/>
                <w:snapToGrid w:val="0"/>
                <w:color w:val="000000" w:themeColor="text1"/>
                <w:kern w:val="0"/>
                <w:sz w:val="21"/>
                <w:szCs w:val="21"/>
                <w:lang w:val="en-US" w:eastAsia="zh-CN" w:bidi="ar-SA"/>
                <w14:textFill>
                  <w14:solidFill>
                    <w14:schemeClr w14:val="tx1"/>
                  </w14:solidFill>
                </w14:textFill>
              </w:rPr>
              <w:t xml:space="preserve"> </w:t>
            </w:r>
            <w:r>
              <w:rPr>
                <w:rFonts w:hint="default" w:ascii="Times New Roman" w:hAnsi="Times New Roman" w:cs="Times New Roman"/>
                <w:b/>
                <w:bCs/>
                <w:snapToGrid w:val="0"/>
                <w:color w:val="000000" w:themeColor="text1"/>
                <w:kern w:val="0"/>
                <w:sz w:val="21"/>
                <w:szCs w:val="21"/>
                <w:lang w:val="en-US" w:eastAsia="zh-CN" w:bidi="ar-SA"/>
                <w14:textFill>
                  <w14:solidFill>
                    <w14:schemeClr w14:val="tx1"/>
                  </w14:solidFill>
                </w14:textFill>
              </w:rPr>
              <w:t xml:space="preserve"> </w:t>
            </w:r>
            <w:r>
              <w:rPr>
                <w:rFonts w:hint="default" w:ascii="Times New Roman" w:hAnsi="Times New Roman" w:eastAsia="宋体" w:cs="Times New Roman"/>
                <w:b/>
                <w:bCs/>
                <w:snapToGrid w:val="0"/>
                <w:color w:val="000000" w:themeColor="text1"/>
                <w:kern w:val="0"/>
                <w:sz w:val="21"/>
                <w:szCs w:val="21"/>
                <w:lang w:val="en-US" w:eastAsia="zh-CN" w:bidi="ar-SA"/>
                <w14:textFill>
                  <w14:solidFill>
                    <w14:schemeClr w14:val="tx1"/>
                  </w14:solidFill>
                </w14:textFill>
              </w:rPr>
              <w:t>恶臭污染物厂界标准值</w:t>
            </w:r>
          </w:p>
          <w:tbl>
            <w:tblPr>
              <w:tblStyle w:val="39"/>
              <w:tblW w:w="4998" w:type="pct"/>
              <w:tblInd w:w="-11"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2668"/>
              <w:gridCol w:w="2671"/>
              <w:gridCol w:w="266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1666" w:type="pct"/>
                  <w:tcBorders>
                    <w:tl2br w:val="nil"/>
                    <w:tr2bl w:val="nil"/>
                  </w:tcBorders>
                  <w:vAlign w:val="top"/>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序号</w:t>
                  </w:r>
                </w:p>
              </w:tc>
              <w:tc>
                <w:tcPr>
                  <w:tcW w:w="2682" w:type="dxa"/>
                  <w:tcBorders>
                    <w:tl2br w:val="nil"/>
                    <w:tr2bl w:val="nil"/>
                  </w:tcBorders>
                  <w:vAlign w:val="top"/>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控制项目</w:t>
                  </w:r>
                </w:p>
              </w:tc>
              <w:tc>
                <w:tcPr>
                  <w:tcW w:w="2683" w:type="dxa"/>
                  <w:tcBorders>
                    <w:tl2br w:val="nil"/>
                    <w:tr2bl w:val="nil"/>
                  </w:tcBorders>
                  <w:vAlign w:val="top"/>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二级标准值</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1666" w:type="pct"/>
                  <w:tcBorders>
                    <w:tl2br w:val="nil"/>
                    <w:tr2bl w:val="nil"/>
                  </w:tcBorders>
                  <w:vAlign w:val="top"/>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w:t>
                  </w:r>
                </w:p>
              </w:tc>
              <w:tc>
                <w:tcPr>
                  <w:tcW w:w="2682" w:type="dxa"/>
                  <w:tcBorders>
                    <w:tl2br w:val="nil"/>
                    <w:tr2bl w:val="nil"/>
                  </w:tcBorders>
                  <w:vAlign w:val="top"/>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氨（mg/m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lang w:val="en-US" w:eastAsia="zh-CN"/>
                    </w:rPr>
                    <w:t>）</w:t>
                  </w:r>
                </w:p>
              </w:tc>
              <w:tc>
                <w:tcPr>
                  <w:tcW w:w="2683" w:type="dxa"/>
                  <w:tcBorders>
                    <w:tl2br w:val="nil"/>
                    <w:tr2bl w:val="nil"/>
                  </w:tcBorders>
                  <w:vAlign w:val="top"/>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1666" w:type="pct"/>
                  <w:tcBorders>
                    <w:tl2br w:val="nil"/>
                    <w:tr2bl w:val="nil"/>
                  </w:tcBorders>
                  <w:vAlign w:val="top"/>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w:t>
                  </w:r>
                </w:p>
              </w:tc>
              <w:tc>
                <w:tcPr>
                  <w:tcW w:w="2682" w:type="dxa"/>
                  <w:tcBorders>
                    <w:tl2br w:val="nil"/>
                    <w:tr2bl w:val="nil"/>
                  </w:tcBorders>
                  <w:vAlign w:val="top"/>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硫化氢（mg/m</w:t>
                  </w:r>
                  <w:r>
                    <w:rPr>
                      <w:rFonts w:hint="default" w:ascii="Times New Roman" w:hAnsi="Times New Roman" w:cs="Times New Roman"/>
                      <w:sz w:val="21"/>
                      <w:szCs w:val="21"/>
                      <w:highlight w:val="none"/>
                      <w:vertAlign w:val="superscript"/>
                      <w:lang w:val="en-US" w:eastAsia="zh-CN"/>
                    </w:rPr>
                    <w:t>3</w:t>
                  </w:r>
                  <w:r>
                    <w:rPr>
                      <w:rFonts w:hint="default" w:ascii="Times New Roman" w:hAnsi="Times New Roman" w:cs="Times New Roman"/>
                      <w:sz w:val="21"/>
                      <w:szCs w:val="21"/>
                      <w:highlight w:val="none"/>
                      <w:lang w:val="en-US" w:eastAsia="zh-CN"/>
                    </w:rPr>
                    <w:t>）</w:t>
                  </w:r>
                </w:p>
              </w:tc>
              <w:tc>
                <w:tcPr>
                  <w:tcW w:w="2683" w:type="dxa"/>
                  <w:tcBorders>
                    <w:tl2br w:val="nil"/>
                    <w:tr2bl w:val="nil"/>
                  </w:tcBorders>
                  <w:vAlign w:val="top"/>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0.06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1666" w:type="pct"/>
                  <w:tcBorders>
                    <w:tl2br w:val="nil"/>
                    <w:tr2bl w:val="nil"/>
                  </w:tcBorders>
                  <w:vAlign w:val="top"/>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3</w:t>
                  </w:r>
                </w:p>
              </w:tc>
              <w:tc>
                <w:tcPr>
                  <w:tcW w:w="2682" w:type="dxa"/>
                  <w:tcBorders>
                    <w:tl2br w:val="nil"/>
                    <w:tr2bl w:val="nil"/>
                  </w:tcBorders>
                  <w:vAlign w:val="top"/>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臭气浓度（无量纲）</w:t>
                  </w:r>
                </w:p>
              </w:tc>
              <w:tc>
                <w:tcPr>
                  <w:tcW w:w="2683" w:type="dxa"/>
                  <w:tcBorders>
                    <w:tl2br w:val="nil"/>
                    <w:tr2bl w:val="nil"/>
                  </w:tcBorders>
                  <w:vAlign w:val="top"/>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20</w:t>
                  </w:r>
                </w:p>
              </w:tc>
            </w:tr>
          </w:tbl>
          <w:p>
            <w:pPr>
              <w:keepNext w:val="0"/>
              <w:keepLines w:val="0"/>
              <w:pageBreakBefore w:val="0"/>
              <w:widowControl w:val="0"/>
              <w:numPr>
                <w:ilvl w:val="0"/>
                <w:numId w:val="0"/>
              </w:numPr>
              <w:kinsoku/>
              <w:wordWrap w:val="0"/>
              <w:overflowPunct/>
              <w:topLinePunct w:val="0"/>
              <w:autoSpaceDE/>
              <w:autoSpaceDN/>
              <w:bidi w:val="0"/>
              <w:adjustRightInd/>
              <w:snapToGrid/>
              <w:spacing w:line="440" w:lineRule="atLeas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2、废水</w:t>
            </w:r>
          </w:p>
          <w:p>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jc w:val="both"/>
              <w:textAlignment w:val="auto"/>
              <w:rPr>
                <w:rFonts w:hint="default" w:ascii="Times New Roman" w:hAnsi="Times New Roman" w:cs="Times New Roman"/>
                <w:color w:val="auto"/>
                <w:sz w:val="24"/>
                <w:highlight w:val="green"/>
                <w:lang w:val="zh-CN" w:bidi="zh-CN"/>
              </w:rPr>
            </w:pPr>
            <w:r>
              <w:rPr>
                <w:rFonts w:hint="eastAsia" w:ascii="Times New Roman" w:eastAsia="方正书宋简体" w:cs="Times New Roman"/>
                <w:bCs/>
                <w:kern w:val="2"/>
                <w:sz w:val="24"/>
                <w:szCs w:val="28"/>
                <w:highlight w:val="none"/>
                <w:lang w:val="en-US" w:eastAsia="zh-CN" w:bidi="ar-SA"/>
              </w:rPr>
              <w:t>生活污水、洗涤废水、锅炉排污水经污水处理站处理后，由罐车每天拉至市政污水管网排放点</w:t>
            </w:r>
            <w:r>
              <w:rPr>
                <w:rFonts w:hint="eastAsia" w:ascii="Times New Roman" w:hAnsi="Times New Roman" w:eastAsia="方正书宋简体" w:cs="Times New Roman"/>
                <w:bCs/>
                <w:kern w:val="2"/>
                <w:sz w:val="24"/>
                <w:szCs w:val="28"/>
                <w:highlight w:val="none"/>
                <w:lang w:val="en-US" w:eastAsia="zh-CN" w:bidi="ar-SA"/>
              </w:rPr>
              <w:t>，</w:t>
            </w:r>
            <w:r>
              <w:rPr>
                <w:rFonts w:hint="eastAsia" w:ascii="Times New Roman" w:eastAsia="方正书宋简体" w:cs="Times New Roman"/>
                <w:bCs/>
                <w:kern w:val="2"/>
                <w:sz w:val="24"/>
                <w:szCs w:val="28"/>
                <w:highlight w:val="none"/>
                <w:lang w:val="en-US" w:eastAsia="zh-CN" w:bidi="ar-SA"/>
              </w:rPr>
              <w:t>进入</w:t>
            </w:r>
            <w:r>
              <w:rPr>
                <w:rFonts w:hint="eastAsia" w:ascii="Times New Roman" w:hAnsi="Times New Roman" w:eastAsia="方正书宋简体" w:cs="Times New Roman"/>
                <w:bCs/>
                <w:kern w:val="2"/>
                <w:sz w:val="24"/>
                <w:szCs w:val="28"/>
                <w:highlight w:val="none"/>
                <w:lang w:val="en-US" w:eastAsia="zh-CN" w:bidi="ar-SA"/>
              </w:rPr>
              <w:t>翼城县润灏水务有限公司处理</w:t>
            </w:r>
            <w:r>
              <w:rPr>
                <w:rFonts w:hint="default" w:ascii="Times New Roman" w:hAnsi="Times New Roman" w:cs="Times New Roman"/>
                <w:color w:val="auto"/>
                <w:sz w:val="24"/>
                <w:szCs w:val="24"/>
                <w:highlight w:val="none"/>
                <w:lang w:val="en-US" w:eastAsia="zh-CN"/>
              </w:rPr>
              <w:t>，外排污水</w:t>
            </w:r>
            <w:r>
              <w:rPr>
                <w:rFonts w:hint="default" w:ascii="Times New Roman" w:hAnsi="Times New Roman" w:cs="Times New Roman"/>
                <w:color w:val="auto"/>
                <w:sz w:val="24"/>
                <w:szCs w:val="24"/>
                <w:highlight w:val="none"/>
              </w:rPr>
              <w:t>执行《污水排入城镇下水道水质标准》（GB/T31962-2015）中A</w:t>
            </w:r>
            <w:r>
              <w:rPr>
                <w:rFonts w:hint="default" w:ascii="Times New Roman" w:hAnsi="Times New Roman" w:cs="Times New Roman"/>
                <w:color w:val="auto"/>
                <w:sz w:val="24"/>
                <w:szCs w:val="24"/>
                <w:highlight w:val="none"/>
                <w:lang w:val="en-US"/>
              </w:rPr>
              <w:t>等级</w:t>
            </w:r>
            <w:r>
              <w:rPr>
                <w:rFonts w:hint="default" w:ascii="Times New Roman" w:hAnsi="Times New Roman" w:cs="Times New Roman"/>
                <w:color w:val="auto"/>
                <w:sz w:val="24"/>
                <w:szCs w:val="24"/>
                <w:highlight w:val="none"/>
              </w:rPr>
              <w:t>标准</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highlight w:val="none"/>
                <w:lang w:val="en-US" w:bidi="zh-CN"/>
              </w:rPr>
              <w:t>见下表</w:t>
            </w:r>
            <w:r>
              <w:rPr>
                <w:rFonts w:hint="default" w:ascii="Times New Roman" w:hAnsi="Times New Roman" w:cs="Times New Roman"/>
                <w:color w:val="auto"/>
                <w:sz w:val="24"/>
                <w:highlight w:val="none"/>
                <w:lang w:bidi="zh-CN"/>
              </w:rPr>
              <w:t>。</w:t>
            </w:r>
          </w:p>
          <w:p>
            <w:pPr>
              <w:keepNext w:val="0"/>
              <w:keepLines w:val="0"/>
              <w:pageBreakBefore w:val="0"/>
              <w:widowControl w:val="0"/>
              <w:kinsoku/>
              <w:wordWrap/>
              <w:overflowPunct/>
              <w:topLinePunct w:val="0"/>
              <w:autoSpaceDE/>
              <w:autoSpaceDN/>
              <w:bidi w:val="0"/>
              <w:adjustRightInd w:val="0"/>
              <w:snapToGrid w:val="0"/>
              <w:spacing w:line="440" w:lineRule="atLeast"/>
              <w:ind w:firstLine="422" w:firstLineChars="20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ascii="Times New Roman" w:cs="Times New Roman"/>
                <w:b/>
                <w:bCs/>
                <w:color w:val="auto"/>
                <w:sz w:val="21"/>
                <w:szCs w:val="21"/>
                <w:lang w:val="en-US" w:eastAsia="zh-CN"/>
              </w:rPr>
              <w:t>7</w:t>
            </w:r>
            <w:r>
              <w:rPr>
                <w:rFonts w:hint="default" w:ascii="Times New Roman" w:hAnsi="Times New Roman" w:cs="Times New Roman"/>
                <w:b/>
                <w:bCs/>
                <w:color w:val="auto"/>
                <w:sz w:val="21"/>
                <w:szCs w:val="21"/>
                <w:lang w:val="en-US" w:eastAsia="zh-CN"/>
              </w:rPr>
              <w:t xml:space="preserve">  废水污染物排放限值</w:t>
            </w:r>
          </w:p>
          <w:tbl>
            <w:tblPr>
              <w:tblStyle w:val="38"/>
              <w:tblW w:w="80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843"/>
              <w:gridCol w:w="2151"/>
              <w:gridCol w:w="26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366" w:type="dxa"/>
                  <w:tcBorders>
                    <w:tl2br w:val="nil"/>
                    <w:tr2bl w:val="nil"/>
                  </w:tcBorders>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污染源</w:t>
                  </w:r>
                </w:p>
              </w:tc>
              <w:tc>
                <w:tcPr>
                  <w:tcW w:w="1843" w:type="dxa"/>
                  <w:tcBorders>
                    <w:tl2br w:val="nil"/>
                    <w:tr2bl w:val="nil"/>
                  </w:tcBorders>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污染物</w:t>
                  </w:r>
                </w:p>
              </w:tc>
              <w:tc>
                <w:tcPr>
                  <w:tcW w:w="2151" w:type="dxa"/>
                  <w:tcBorders>
                    <w:tl2br w:val="nil"/>
                    <w:tr2bl w:val="nil"/>
                  </w:tcBorders>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浓度限值</w:t>
                  </w:r>
                </w:p>
              </w:tc>
              <w:tc>
                <w:tcPr>
                  <w:tcW w:w="2649" w:type="dxa"/>
                  <w:tcBorders>
                    <w:tl2br w:val="nil"/>
                    <w:tr2bl w:val="nil"/>
                  </w:tcBorders>
                  <w:vAlign w:val="top"/>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366" w:type="dxa"/>
                  <w:vMerge w:val="restart"/>
                  <w:tcBorders>
                    <w:tl2br w:val="nil"/>
                    <w:tr2bl w:val="nil"/>
                  </w:tcBorders>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废水</w:t>
                  </w:r>
                </w:p>
              </w:tc>
              <w:tc>
                <w:tcPr>
                  <w:tcW w:w="1843" w:type="dxa"/>
                  <w:tcBorders>
                    <w:tl2br w:val="nil"/>
                    <w:tr2bl w:val="nil"/>
                  </w:tcBorders>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PH值</w:t>
                  </w:r>
                </w:p>
              </w:tc>
              <w:tc>
                <w:tcPr>
                  <w:tcW w:w="2151" w:type="dxa"/>
                  <w:tcBorders>
                    <w:tl2br w:val="nil"/>
                    <w:tr2bl w:val="nil"/>
                  </w:tcBorders>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6.5~9.5</w:t>
                  </w:r>
                </w:p>
              </w:tc>
              <w:tc>
                <w:tcPr>
                  <w:tcW w:w="2649" w:type="dxa"/>
                  <w:vMerge w:val="restart"/>
                  <w:tcBorders>
                    <w:tl2br w:val="nil"/>
                    <w:tr2bl w:val="nil"/>
                  </w:tcBorders>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《污水排入城镇下水道水质标准》（GB/T31962-2015）中的A等级标准要求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366" w:type="dxa"/>
                  <w:vMerge w:val="continue"/>
                  <w:tcBorders>
                    <w:tl2br w:val="nil"/>
                    <w:tr2bl w:val="nil"/>
                  </w:tcBorders>
                  <w:vAlign w:val="center"/>
                </w:tcPr>
                <w:p>
                  <w:pPr>
                    <w:jc w:val="center"/>
                    <w:rPr>
                      <w:rFonts w:hint="default" w:ascii="Times New Roman" w:hAnsi="Times New Roman" w:cs="Times New Roman"/>
                      <w:sz w:val="21"/>
                      <w:szCs w:val="21"/>
                      <w:highlight w:val="none"/>
                      <w:lang w:val="en-US" w:eastAsia="zh-CN"/>
                    </w:rPr>
                  </w:pPr>
                </w:p>
              </w:tc>
              <w:tc>
                <w:tcPr>
                  <w:tcW w:w="1843" w:type="dxa"/>
                  <w:tcBorders>
                    <w:tl2br w:val="nil"/>
                    <w:tr2bl w:val="nil"/>
                  </w:tcBorders>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COD</w:t>
                  </w:r>
                </w:p>
              </w:tc>
              <w:tc>
                <w:tcPr>
                  <w:tcW w:w="2151" w:type="dxa"/>
                  <w:tcBorders>
                    <w:tl2br w:val="nil"/>
                    <w:tr2bl w:val="nil"/>
                  </w:tcBorders>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500mg/L</w:t>
                  </w:r>
                </w:p>
              </w:tc>
              <w:tc>
                <w:tcPr>
                  <w:tcW w:w="2649" w:type="dxa"/>
                  <w:vMerge w:val="continue"/>
                  <w:tcBorders>
                    <w:tl2br w:val="nil"/>
                    <w:tr2bl w:val="nil"/>
                  </w:tcBorders>
                  <w:vAlign w:val="top"/>
                </w:tcPr>
                <w:p>
                  <w:pPr>
                    <w:jc w:val="center"/>
                    <w:rPr>
                      <w:rFonts w:hint="default" w:ascii="Times New Roman" w:hAnsi="Times New Roman"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366" w:type="dxa"/>
                  <w:vMerge w:val="continue"/>
                  <w:tcBorders>
                    <w:tl2br w:val="nil"/>
                    <w:tr2bl w:val="nil"/>
                  </w:tcBorders>
                  <w:vAlign w:val="center"/>
                </w:tcPr>
                <w:p>
                  <w:pPr>
                    <w:jc w:val="center"/>
                    <w:rPr>
                      <w:rFonts w:hint="default" w:ascii="Times New Roman" w:hAnsi="Times New Roman" w:cs="Times New Roman"/>
                      <w:sz w:val="21"/>
                      <w:szCs w:val="21"/>
                      <w:highlight w:val="none"/>
                      <w:lang w:val="en-US" w:eastAsia="zh-CN"/>
                    </w:rPr>
                  </w:pPr>
                </w:p>
              </w:tc>
              <w:tc>
                <w:tcPr>
                  <w:tcW w:w="1843" w:type="dxa"/>
                  <w:tcBorders>
                    <w:tl2br w:val="nil"/>
                    <w:tr2bl w:val="nil"/>
                  </w:tcBorders>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BOD</w:t>
                  </w:r>
                  <w:r>
                    <w:rPr>
                      <w:rFonts w:hint="default" w:ascii="Times New Roman" w:hAnsi="Times New Roman" w:cs="Times New Roman"/>
                      <w:sz w:val="21"/>
                      <w:szCs w:val="21"/>
                      <w:highlight w:val="none"/>
                      <w:vertAlign w:val="subscript"/>
                      <w:lang w:val="en-US" w:eastAsia="zh-CN"/>
                    </w:rPr>
                    <w:t>5</w:t>
                  </w:r>
                </w:p>
              </w:tc>
              <w:tc>
                <w:tcPr>
                  <w:tcW w:w="2151" w:type="dxa"/>
                  <w:tcBorders>
                    <w:tl2br w:val="nil"/>
                    <w:tr2bl w:val="nil"/>
                  </w:tcBorders>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350mg/L</w:t>
                  </w:r>
                </w:p>
              </w:tc>
              <w:tc>
                <w:tcPr>
                  <w:tcW w:w="2649" w:type="dxa"/>
                  <w:vMerge w:val="continue"/>
                  <w:tcBorders>
                    <w:tl2br w:val="nil"/>
                    <w:tr2bl w:val="nil"/>
                  </w:tcBorders>
                  <w:vAlign w:val="top"/>
                </w:tcPr>
                <w:p>
                  <w:pPr>
                    <w:jc w:val="center"/>
                    <w:rPr>
                      <w:rFonts w:hint="default" w:ascii="Times New Roman" w:hAnsi="Times New Roman"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366" w:type="dxa"/>
                  <w:vMerge w:val="continue"/>
                  <w:tcBorders>
                    <w:tl2br w:val="nil"/>
                    <w:tr2bl w:val="nil"/>
                  </w:tcBorders>
                  <w:vAlign w:val="center"/>
                </w:tcPr>
                <w:p>
                  <w:pPr>
                    <w:jc w:val="center"/>
                    <w:rPr>
                      <w:rFonts w:hint="default" w:ascii="Times New Roman" w:hAnsi="Times New Roman" w:cs="Times New Roman"/>
                      <w:sz w:val="21"/>
                      <w:szCs w:val="21"/>
                      <w:highlight w:val="none"/>
                      <w:lang w:val="en-US" w:eastAsia="zh-CN"/>
                    </w:rPr>
                  </w:pPr>
                </w:p>
              </w:tc>
              <w:tc>
                <w:tcPr>
                  <w:tcW w:w="1843" w:type="dxa"/>
                  <w:tcBorders>
                    <w:tl2br w:val="nil"/>
                    <w:tr2bl w:val="nil"/>
                  </w:tcBorders>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SS</w:t>
                  </w:r>
                </w:p>
              </w:tc>
              <w:tc>
                <w:tcPr>
                  <w:tcW w:w="2151" w:type="dxa"/>
                  <w:tcBorders>
                    <w:tl2br w:val="nil"/>
                    <w:tr2bl w:val="nil"/>
                  </w:tcBorders>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400mg/L</w:t>
                  </w:r>
                </w:p>
              </w:tc>
              <w:tc>
                <w:tcPr>
                  <w:tcW w:w="2649" w:type="dxa"/>
                  <w:vMerge w:val="continue"/>
                  <w:tcBorders>
                    <w:tl2br w:val="nil"/>
                    <w:tr2bl w:val="nil"/>
                  </w:tcBorders>
                  <w:vAlign w:val="top"/>
                </w:tcPr>
                <w:p>
                  <w:pPr>
                    <w:jc w:val="center"/>
                    <w:rPr>
                      <w:rFonts w:hint="default" w:ascii="Times New Roman" w:hAnsi="Times New Roman"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366" w:type="dxa"/>
                  <w:vMerge w:val="continue"/>
                  <w:tcBorders>
                    <w:tl2br w:val="nil"/>
                    <w:tr2bl w:val="nil"/>
                  </w:tcBorders>
                  <w:vAlign w:val="center"/>
                </w:tcPr>
                <w:p>
                  <w:pPr>
                    <w:jc w:val="center"/>
                    <w:rPr>
                      <w:rFonts w:hint="default" w:ascii="Times New Roman" w:hAnsi="Times New Roman" w:cs="Times New Roman"/>
                      <w:sz w:val="21"/>
                      <w:szCs w:val="21"/>
                      <w:highlight w:val="none"/>
                      <w:lang w:val="en-US" w:eastAsia="zh-CN"/>
                    </w:rPr>
                  </w:pPr>
                </w:p>
              </w:tc>
              <w:tc>
                <w:tcPr>
                  <w:tcW w:w="1843" w:type="dxa"/>
                  <w:tcBorders>
                    <w:tl2br w:val="nil"/>
                    <w:tr2bl w:val="nil"/>
                  </w:tcBorders>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氨氮</w:t>
                  </w:r>
                </w:p>
              </w:tc>
              <w:tc>
                <w:tcPr>
                  <w:tcW w:w="2151" w:type="dxa"/>
                  <w:tcBorders>
                    <w:tl2br w:val="nil"/>
                    <w:tr2bl w:val="nil"/>
                  </w:tcBorders>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45mg/L</w:t>
                  </w:r>
                </w:p>
              </w:tc>
              <w:tc>
                <w:tcPr>
                  <w:tcW w:w="2649" w:type="dxa"/>
                  <w:vMerge w:val="continue"/>
                  <w:tcBorders>
                    <w:tl2br w:val="nil"/>
                    <w:tr2bl w:val="nil"/>
                  </w:tcBorders>
                  <w:vAlign w:val="top"/>
                </w:tcPr>
                <w:p>
                  <w:pPr>
                    <w:jc w:val="center"/>
                    <w:rPr>
                      <w:rFonts w:hint="default" w:ascii="Times New Roman" w:hAnsi="Times New Roman"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366" w:type="dxa"/>
                  <w:vMerge w:val="continue"/>
                  <w:tcBorders>
                    <w:tl2br w:val="nil"/>
                    <w:tr2bl w:val="nil"/>
                  </w:tcBorders>
                  <w:vAlign w:val="center"/>
                </w:tcPr>
                <w:p>
                  <w:pPr>
                    <w:jc w:val="center"/>
                    <w:rPr>
                      <w:rFonts w:hint="default" w:ascii="Times New Roman" w:hAnsi="Times New Roman" w:cs="Times New Roman"/>
                      <w:sz w:val="21"/>
                      <w:szCs w:val="21"/>
                      <w:highlight w:val="none"/>
                      <w:lang w:val="en-US" w:eastAsia="zh-CN"/>
                    </w:rPr>
                  </w:pPr>
                </w:p>
              </w:tc>
              <w:tc>
                <w:tcPr>
                  <w:tcW w:w="1843" w:type="dxa"/>
                  <w:tcBorders>
                    <w:tl2br w:val="nil"/>
                    <w:tr2bl w:val="nil"/>
                  </w:tcBorders>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阴离子表面活性剂（LAS）</w:t>
                  </w:r>
                </w:p>
              </w:tc>
              <w:tc>
                <w:tcPr>
                  <w:tcW w:w="2151" w:type="dxa"/>
                  <w:tcBorders>
                    <w:tl2br w:val="nil"/>
                    <w:tr2bl w:val="nil"/>
                  </w:tcBorders>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20mg/L</w:t>
                  </w:r>
                </w:p>
              </w:tc>
              <w:tc>
                <w:tcPr>
                  <w:tcW w:w="2649" w:type="dxa"/>
                  <w:vMerge w:val="continue"/>
                  <w:tcBorders>
                    <w:tl2br w:val="nil"/>
                    <w:tr2bl w:val="nil"/>
                  </w:tcBorders>
                  <w:vAlign w:val="top"/>
                </w:tcPr>
                <w:p>
                  <w:pPr>
                    <w:jc w:val="center"/>
                    <w:rPr>
                      <w:rFonts w:hint="default" w:ascii="Times New Roman" w:hAnsi="Times New Roman"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366" w:type="dxa"/>
                  <w:vMerge w:val="continue"/>
                  <w:tcBorders>
                    <w:tl2br w:val="nil"/>
                    <w:tr2bl w:val="nil"/>
                  </w:tcBorders>
                  <w:vAlign w:val="center"/>
                </w:tcPr>
                <w:p>
                  <w:pPr>
                    <w:jc w:val="center"/>
                    <w:rPr>
                      <w:rFonts w:hint="default" w:ascii="Times New Roman" w:hAnsi="Times New Roman" w:cs="Times New Roman"/>
                      <w:sz w:val="21"/>
                      <w:szCs w:val="21"/>
                      <w:highlight w:val="none"/>
                      <w:lang w:val="en-US" w:eastAsia="zh-CN"/>
                    </w:rPr>
                  </w:pPr>
                </w:p>
              </w:tc>
              <w:tc>
                <w:tcPr>
                  <w:tcW w:w="1843" w:type="dxa"/>
                  <w:tcBorders>
                    <w:tl2br w:val="nil"/>
                    <w:tr2bl w:val="nil"/>
                  </w:tcBorders>
                  <w:shd w:val="clear" w:color="auto" w:fill="auto"/>
                  <w:vAlign w:val="top"/>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总磷</w:t>
                  </w:r>
                </w:p>
              </w:tc>
              <w:tc>
                <w:tcPr>
                  <w:tcW w:w="2151" w:type="dxa"/>
                  <w:tcBorders>
                    <w:tl2br w:val="nil"/>
                    <w:tr2bl w:val="nil"/>
                  </w:tcBorders>
                  <w:shd w:val="clear" w:color="auto" w:fill="auto"/>
                  <w:vAlign w:val="top"/>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8mg/L</w:t>
                  </w:r>
                </w:p>
              </w:tc>
              <w:tc>
                <w:tcPr>
                  <w:tcW w:w="2649" w:type="dxa"/>
                  <w:vMerge w:val="continue"/>
                  <w:tcBorders>
                    <w:tl2br w:val="nil"/>
                    <w:tr2bl w:val="nil"/>
                  </w:tcBorders>
                  <w:vAlign w:val="top"/>
                </w:tcPr>
                <w:p>
                  <w:pPr>
                    <w:jc w:val="center"/>
                    <w:rPr>
                      <w:rFonts w:hint="default" w:ascii="Times New Roman" w:hAnsi="Times New Roman" w:cs="Times New Roman"/>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366" w:type="dxa"/>
                  <w:vMerge w:val="continue"/>
                  <w:tcBorders>
                    <w:tl2br w:val="nil"/>
                    <w:tr2bl w:val="nil"/>
                  </w:tcBorders>
                  <w:vAlign w:val="center"/>
                </w:tcPr>
                <w:p>
                  <w:pPr>
                    <w:jc w:val="center"/>
                    <w:rPr>
                      <w:rFonts w:hint="default" w:ascii="Times New Roman" w:hAnsi="Times New Roman" w:cs="Times New Roman"/>
                      <w:sz w:val="21"/>
                      <w:szCs w:val="21"/>
                      <w:highlight w:val="none"/>
                      <w:lang w:val="en-US" w:eastAsia="zh-CN"/>
                    </w:rPr>
                  </w:pPr>
                </w:p>
              </w:tc>
              <w:tc>
                <w:tcPr>
                  <w:tcW w:w="1843" w:type="dxa"/>
                  <w:tcBorders>
                    <w:tl2br w:val="nil"/>
                    <w:tr2bl w:val="nil"/>
                  </w:tcBorders>
                  <w:shd w:val="clear" w:color="auto" w:fill="auto"/>
                  <w:vAlign w:val="top"/>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总氮</w:t>
                  </w:r>
                </w:p>
              </w:tc>
              <w:tc>
                <w:tcPr>
                  <w:tcW w:w="2151" w:type="dxa"/>
                  <w:tcBorders>
                    <w:tl2br w:val="nil"/>
                    <w:tr2bl w:val="nil"/>
                  </w:tcBorders>
                  <w:shd w:val="clear" w:color="auto" w:fill="auto"/>
                  <w:vAlign w:val="top"/>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70mg/L</w:t>
                  </w:r>
                </w:p>
              </w:tc>
              <w:tc>
                <w:tcPr>
                  <w:tcW w:w="2649" w:type="dxa"/>
                  <w:vMerge w:val="continue"/>
                  <w:tcBorders>
                    <w:tl2br w:val="nil"/>
                    <w:tr2bl w:val="nil"/>
                  </w:tcBorders>
                  <w:vAlign w:val="top"/>
                </w:tcPr>
                <w:p>
                  <w:pPr>
                    <w:jc w:val="center"/>
                    <w:rPr>
                      <w:rFonts w:hint="default" w:ascii="Times New Roman" w:hAnsi="Times New Roman" w:cs="Times New Roman"/>
                      <w:sz w:val="21"/>
                      <w:szCs w:val="21"/>
                      <w:highlight w:val="none"/>
                      <w:lang w:val="en-US" w:eastAsia="zh-CN"/>
                    </w:rPr>
                  </w:pPr>
                </w:p>
              </w:tc>
            </w:tr>
          </w:tbl>
          <w:p>
            <w:pPr>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、噪声</w:t>
            </w:r>
          </w:p>
          <w:p>
            <w:pPr>
              <w:keepNext w:val="0"/>
              <w:keepLines w:val="0"/>
              <w:pageBreakBefore w:val="0"/>
              <w:widowControl w:val="0"/>
              <w:kinsoku/>
              <w:overflowPunct/>
              <w:topLinePunct w:val="0"/>
              <w:autoSpaceDE/>
              <w:autoSpaceDN/>
              <w:bidi w:val="0"/>
              <w:adjustRightInd/>
              <w:snapToGrid w:val="0"/>
              <w:spacing w:line="440" w:lineRule="exact"/>
              <w:ind w:firstLine="480" w:firstLineChars="200"/>
              <w:textAlignment w:val="auto"/>
              <w:rPr>
                <w:rFonts w:hint="default" w:ascii="Times New Roman" w:hAnsi="Times New Roman" w:cs="Times New Roman"/>
                <w:color w:val="auto"/>
                <w:kern w:val="1"/>
                <w:sz w:val="24"/>
              </w:rPr>
            </w:pPr>
            <w:r>
              <w:rPr>
                <w:rFonts w:hint="default" w:ascii="Times New Roman" w:hAnsi="Times New Roman" w:cs="Times New Roman"/>
                <w:color w:val="auto"/>
                <w:kern w:val="1"/>
                <w:sz w:val="24"/>
              </w:rPr>
              <w:t>施工场界执行《建筑施工场界环境噪声排放标准》（GB12523－2011）中标准要求，详见</w:t>
            </w:r>
            <w:r>
              <w:rPr>
                <w:rFonts w:hint="default" w:ascii="Times New Roman" w:hAnsi="Times New Roman" w:cs="Times New Roman"/>
                <w:color w:val="auto"/>
                <w:kern w:val="1"/>
                <w:sz w:val="24"/>
                <w:lang w:val="en-US" w:eastAsia="zh-CN"/>
              </w:rPr>
              <w:t>下</w:t>
            </w:r>
            <w:r>
              <w:rPr>
                <w:rFonts w:hint="default" w:ascii="Times New Roman" w:hAnsi="Times New Roman" w:cs="Times New Roman"/>
                <w:color w:val="auto"/>
                <w:kern w:val="1"/>
                <w:sz w:val="24"/>
              </w:rPr>
              <w:t>表。</w:t>
            </w:r>
          </w:p>
          <w:p>
            <w:pPr>
              <w:keepNext w:val="0"/>
              <w:keepLines w:val="0"/>
              <w:pageBreakBefore w:val="0"/>
              <w:widowControl w:val="0"/>
              <w:kinsoku/>
              <w:overflowPunct/>
              <w:topLinePunct w:val="0"/>
              <w:autoSpaceDE/>
              <w:autoSpaceDN/>
              <w:bidi w:val="0"/>
              <w:adjustRightInd/>
              <w:spacing w:line="440" w:lineRule="exact"/>
              <w:jc w:val="center"/>
              <w:textAlignment w:val="auto"/>
              <w:rPr>
                <w:rFonts w:hint="default" w:ascii="Times New Roman" w:hAnsi="Times New Roman" w:eastAsia="黑体" w:cs="Times New Roman"/>
                <w:b w:val="0"/>
                <w:bCs w:val="0"/>
                <w:color w:val="auto"/>
                <w:kern w:val="2"/>
                <w:sz w:val="21"/>
                <w:szCs w:val="21"/>
                <w:highlight w:val="none"/>
                <w:lang w:val="en-US" w:eastAsia="zh-CN" w:bidi="ar-SA"/>
              </w:rPr>
            </w:pPr>
            <w:r>
              <w:rPr>
                <w:rFonts w:hint="default" w:ascii="Times New Roman" w:hAnsi="Times New Roman" w:cs="Times New Roman"/>
                <w:b/>
                <w:bCs/>
                <w:color w:val="auto"/>
                <w:sz w:val="21"/>
                <w:szCs w:val="21"/>
                <w:lang w:val="en-US" w:eastAsia="zh-CN"/>
              </w:rPr>
              <w:t>表3-</w:t>
            </w:r>
            <w:r>
              <w:rPr>
                <w:rFonts w:hint="eastAsia" w:ascii="Times New Roman" w:cs="Times New Roman"/>
                <w:b/>
                <w:bCs/>
                <w:color w:val="auto"/>
                <w:sz w:val="21"/>
                <w:szCs w:val="21"/>
                <w:lang w:val="en-US" w:eastAsia="zh-CN"/>
              </w:rPr>
              <w:t xml:space="preserve">8 </w:t>
            </w:r>
            <w:r>
              <w:rPr>
                <w:rFonts w:hint="default" w:ascii="Times New Roman" w:hAnsi="Times New Roman" w:cs="Times New Roman"/>
                <w:b/>
                <w:bCs/>
                <w:color w:val="auto"/>
                <w:sz w:val="21"/>
                <w:szCs w:val="21"/>
                <w:lang w:val="en-US" w:eastAsia="zh-CN"/>
              </w:rPr>
              <w:t>《建筑施工场界环境噪声排放标准》（GB12523－2011）</w:t>
            </w:r>
          </w:p>
          <w:tbl>
            <w:tblPr>
              <w:tblStyle w:val="38"/>
              <w:tblW w:w="794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675"/>
              <w:gridCol w:w="2169"/>
              <w:gridCol w:w="21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98" w:hRule="atLeast"/>
                <w:jc w:val="center"/>
              </w:trPr>
              <w:tc>
                <w:tcPr>
                  <w:tcW w:w="3675" w:type="dxa"/>
                  <w:vMerge w:val="restart"/>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《建筑施工场界环境噪声排放标准》</w:t>
                  </w:r>
                </w:p>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（GB12523－2011）</w:t>
                  </w:r>
                </w:p>
              </w:tc>
              <w:tc>
                <w:tcPr>
                  <w:tcW w:w="4269" w:type="dxa"/>
                  <w:gridSpan w:val="2"/>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噪声限值dB（A）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675" w:type="dxa"/>
                  <w:vMerge w:val="continue"/>
                  <w:vAlign w:val="center"/>
                </w:tcPr>
                <w:p>
                  <w:pPr>
                    <w:jc w:val="center"/>
                    <w:rPr>
                      <w:rFonts w:hint="default" w:ascii="Times New Roman" w:hAnsi="Times New Roman" w:cs="Times New Roman"/>
                      <w:sz w:val="21"/>
                      <w:szCs w:val="21"/>
                      <w:highlight w:val="none"/>
                      <w:lang w:val="en-US" w:eastAsia="zh-CN"/>
                    </w:rPr>
                  </w:pPr>
                </w:p>
              </w:tc>
              <w:tc>
                <w:tcPr>
                  <w:tcW w:w="2169" w:type="dxa"/>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昼间</w:t>
                  </w:r>
                </w:p>
              </w:tc>
              <w:tc>
                <w:tcPr>
                  <w:tcW w:w="2100" w:type="dxa"/>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92" w:hRule="atLeast"/>
                <w:jc w:val="center"/>
              </w:trPr>
              <w:tc>
                <w:tcPr>
                  <w:tcW w:w="3675" w:type="dxa"/>
                  <w:vMerge w:val="continue"/>
                  <w:vAlign w:val="center"/>
                </w:tcPr>
                <w:p>
                  <w:pPr>
                    <w:jc w:val="center"/>
                    <w:rPr>
                      <w:rFonts w:hint="default" w:ascii="Times New Roman" w:hAnsi="Times New Roman" w:cs="Times New Roman"/>
                      <w:sz w:val="21"/>
                      <w:szCs w:val="21"/>
                      <w:highlight w:val="none"/>
                      <w:lang w:val="en-US" w:eastAsia="zh-CN"/>
                    </w:rPr>
                  </w:pPr>
                </w:p>
              </w:tc>
              <w:tc>
                <w:tcPr>
                  <w:tcW w:w="2169" w:type="dxa"/>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70</w:t>
                  </w:r>
                </w:p>
              </w:tc>
              <w:tc>
                <w:tcPr>
                  <w:tcW w:w="2100" w:type="dxa"/>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55</w:t>
                  </w:r>
                </w:p>
              </w:tc>
            </w:tr>
          </w:tbl>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default" w:ascii="Times New Roman" w:hAnsi="Times New Roman" w:cs="Times New Roman"/>
                <w:color w:val="auto"/>
                <w:kern w:val="1"/>
                <w:sz w:val="24"/>
                <w:highlight w:val="none"/>
              </w:rPr>
            </w:pPr>
            <w:r>
              <w:rPr>
                <w:rFonts w:hint="default" w:ascii="Times New Roman" w:hAnsi="Times New Roman" w:cs="Times New Roman"/>
                <w:color w:val="auto"/>
                <w:kern w:val="1"/>
                <w:sz w:val="24"/>
              </w:rPr>
              <w:t>本项目运营期厂界噪声执行《</w:t>
            </w:r>
            <w:r>
              <w:rPr>
                <w:rFonts w:hint="default" w:ascii="Times New Roman" w:hAnsi="Times New Roman" w:cs="Times New Roman"/>
                <w:color w:val="auto"/>
                <w:kern w:val="1"/>
                <w:sz w:val="24"/>
                <w:highlight w:val="none"/>
              </w:rPr>
              <w:t>工业企业厂界环境噪声排放标准》（GB12348-2008）中</w:t>
            </w:r>
            <w:r>
              <w:rPr>
                <w:rFonts w:hint="eastAsia" w:ascii="Times New Roman" w:cs="Times New Roman"/>
                <w:color w:val="auto"/>
                <w:kern w:val="1"/>
                <w:sz w:val="24"/>
                <w:highlight w:val="none"/>
                <w:lang w:val="en-US" w:eastAsia="zh-CN"/>
              </w:rPr>
              <w:t>2</w:t>
            </w:r>
            <w:r>
              <w:rPr>
                <w:rFonts w:hint="default" w:ascii="Times New Roman" w:hAnsi="Times New Roman" w:cs="Times New Roman"/>
                <w:color w:val="auto"/>
                <w:kern w:val="1"/>
                <w:sz w:val="24"/>
                <w:highlight w:val="none"/>
              </w:rPr>
              <w:t>类标准，详见</w:t>
            </w:r>
            <w:r>
              <w:rPr>
                <w:rFonts w:hint="default" w:ascii="Times New Roman" w:hAnsi="Times New Roman" w:cs="Times New Roman"/>
                <w:color w:val="auto"/>
                <w:kern w:val="1"/>
                <w:sz w:val="24"/>
                <w:highlight w:val="none"/>
                <w:lang w:val="en-US" w:eastAsia="zh-CN"/>
              </w:rPr>
              <w:t>下</w:t>
            </w:r>
            <w:r>
              <w:rPr>
                <w:rFonts w:hint="default" w:ascii="Times New Roman" w:hAnsi="Times New Roman" w:cs="Times New Roman"/>
                <w:color w:val="auto"/>
                <w:kern w:val="1"/>
                <w:sz w:val="24"/>
                <w:highlight w:val="none"/>
              </w:rPr>
              <w:t>表。</w:t>
            </w:r>
          </w:p>
          <w:p>
            <w:pPr>
              <w:keepNext w:val="0"/>
              <w:keepLines w:val="0"/>
              <w:pageBreakBefore w:val="0"/>
              <w:widowControl w:val="0"/>
              <w:kinsoku/>
              <w:wordWrap/>
              <w:overflowPunct/>
              <w:topLinePunct w:val="0"/>
              <w:autoSpaceDE/>
              <w:autoSpaceDN/>
              <w:bidi w:val="0"/>
              <w:adjustRightInd/>
              <w:spacing w:line="440" w:lineRule="exact"/>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表3-</w:t>
            </w:r>
            <w:r>
              <w:rPr>
                <w:rFonts w:hint="eastAsia" w:ascii="Times New Roman" w:cs="Times New Roman"/>
                <w:b/>
                <w:bCs/>
                <w:color w:val="auto"/>
                <w:sz w:val="21"/>
                <w:szCs w:val="21"/>
                <w:highlight w:val="none"/>
                <w:lang w:val="en-US" w:eastAsia="zh-CN"/>
              </w:rPr>
              <w:t>9</w:t>
            </w:r>
            <w:r>
              <w:rPr>
                <w:rFonts w:hint="default" w:ascii="Times New Roman" w:hAnsi="Times New Roman" w:cs="Times New Roman"/>
                <w:b/>
                <w:bCs/>
                <w:color w:val="auto"/>
                <w:sz w:val="21"/>
                <w:szCs w:val="21"/>
                <w:highlight w:val="none"/>
                <w:lang w:val="en-US" w:eastAsia="zh-CN"/>
              </w:rPr>
              <w:t xml:space="preserve">  《工业企业厂界环境噪声排放标准》（GB12348-2008）</w:t>
            </w:r>
          </w:p>
          <w:tbl>
            <w:tblPr>
              <w:tblStyle w:val="38"/>
              <w:tblW w:w="798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03"/>
              <w:gridCol w:w="2604"/>
              <w:gridCol w:w="27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603" w:type="dxa"/>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类别</w:t>
                  </w:r>
                </w:p>
              </w:tc>
              <w:tc>
                <w:tcPr>
                  <w:tcW w:w="2604" w:type="dxa"/>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昼间dB（A）</w:t>
                  </w:r>
                </w:p>
              </w:tc>
              <w:tc>
                <w:tcPr>
                  <w:tcW w:w="2775" w:type="dxa"/>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夜间dB（A）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603" w:type="dxa"/>
                  <w:vAlign w:val="center"/>
                </w:tcPr>
                <w:p>
                  <w:pPr>
                    <w:jc w:val="center"/>
                    <w:rPr>
                      <w:rFonts w:hint="default" w:ascii="Times New Roman" w:hAnsi="Times New Roman" w:cs="Times New Roman"/>
                      <w:sz w:val="21"/>
                      <w:szCs w:val="21"/>
                      <w:highlight w:val="none"/>
                      <w:lang w:val="en-US" w:eastAsia="zh-CN"/>
                    </w:rPr>
                  </w:pPr>
                  <w:r>
                    <w:rPr>
                      <w:rFonts w:hint="eastAsia" w:ascii="Times New Roman" w:cs="Times New Roman"/>
                      <w:sz w:val="21"/>
                      <w:szCs w:val="21"/>
                      <w:highlight w:val="none"/>
                      <w:lang w:val="en-US" w:eastAsia="zh-CN"/>
                    </w:rPr>
                    <w:t>2</w:t>
                  </w:r>
                  <w:r>
                    <w:rPr>
                      <w:rFonts w:hint="default" w:ascii="Times New Roman" w:hAnsi="Times New Roman" w:cs="Times New Roman"/>
                      <w:sz w:val="21"/>
                      <w:szCs w:val="21"/>
                      <w:highlight w:val="none"/>
                      <w:lang w:val="en-US" w:eastAsia="zh-CN"/>
                    </w:rPr>
                    <w:t>类</w:t>
                  </w:r>
                </w:p>
              </w:tc>
              <w:tc>
                <w:tcPr>
                  <w:tcW w:w="2604" w:type="dxa"/>
                  <w:vAlign w:val="center"/>
                </w:tcPr>
                <w:p>
                  <w:pPr>
                    <w:jc w:val="center"/>
                    <w:rPr>
                      <w:rFonts w:hint="default" w:ascii="Times New Roman" w:hAnsi="Times New Roman" w:cs="Times New Roman"/>
                      <w:sz w:val="21"/>
                      <w:szCs w:val="21"/>
                      <w:highlight w:val="none"/>
                      <w:lang w:val="en-US" w:eastAsia="zh-CN"/>
                    </w:rPr>
                  </w:pPr>
                  <w:r>
                    <w:rPr>
                      <w:rFonts w:hint="eastAsia" w:ascii="Times New Roman" w:cs="Times New Roman"/>
                      <w:sz w:val="21"/>
                      <w:szCs w:val="21"/>
                      <w:highlight w:val="none"/>
                      <w:lang w:val="en-US" w:eastAsia="zh-CN"/>
                    </w:rPr>
                    <w:t>60</w:t>
                  </w:r>
                </w:p>
              </w:tc>
              <w:tc>
                <w:tcPr>
                  <w:tcW w:w="2775" w:type="dxa"/>
                  <w:vAlign w:val="center"/>
                </w:tcPr>
                <w:p>
                  <w:pPr>
                    <w:jc w:val="center"/>
                    <w:rPr>
                      <w:rFonts w:hint="default" w:ascii="Times New Roman" w:hAnsi="Times New Roman" w:cs="Times New Roman"/>
                      <w:sz w:val="21"/>
                      <w:szCs w:val="21"/>
                      <w:highlight w:val="none"/>
                      <w:lang w:val="en-US" w:eastAsia="zh-CN"/>
                    </w:rPr>
                  </w:pPr>
                  <w:r>
                    <w:rPr>
                      <w:rFonts w:hint="eastAsia" w:ascii="Times New Roman" w:cs="Times New Roman"/>
                      <w:sz w:val="21"/>
                      <w:szCs w:val="21"/>
                      <w:highlight w:val="none"/>
                      <w:lang w:val="en-US" w:eastAsia="zh-CN"/>
                    </w:rPr>
                    <w:t>50</w:t>
                  </w:r>
                </w:p>
              </w:tc>
            </w:tr>
          </w:tbl>
          <w:p>
            <w:pPr>
              <w:keepNext w:val="0"/>
              <w:keepLines w:val="0"/>
              <w:pageBreakBefore w:val="0"/>
              <w:widowControl w:val="0"/>
              <w:numPr>
                <w:ilvl w:val="0"/>
                <w:numId w:val="0"/>
              </w:numPr>
              <w:kinsoku/>
              <w:wordWrap w:val="0"/>
              <w:overflowPunct/>
              <w:topLinePunct w:val="0"/>
              <w:autoSpaceDE/>
              <w:autoSpaceDN/>
              <w:bidi w:val="0"/>
              <w:adjustRightInd/>
              <w:snapToGrid/>
              <w:spacing w:line="44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、固废</w:t>
            </w:r>
          </w:p>
          <w:p>
            <w:pPr>
              <w:keepNext w:val="0"/>
              <w:keepLines w:val="0"/>
              <w:pageBreakBefore w:val="0"/>
              <w:widowControl w:val="0"/>
              <w:kinsoku/>
              <w:overflowPunct/>
              <w:topLinePunct w:val="0"/>
              <w:autoSpaceDE/>
              <w:autoSpaceDN/>
              <w:bidi w:val="0"/>
              <w:adjustRightInd w:val="0"/>
              <w:snapToGrid w:val="0"/>
              <w:spacing w:line="440" w:lineRule="exact"/>
              <w:ind w:firstLine="480" w:firstLineChars="200"/>
              <w:textAlignment w:val="auto"/>
              <w:rPr>
                <w:rFonts w:hint="default" w:ascii="Times New Roman" w:hAnsi="Times New Roman" w:cs="Times New Roman"/>
                <w:color w:val="auto"/>
                <w:kern w:val="0"/>
                <w:szCs w:val="21"/>
                <w:highlight w:val="none"/>
              </w:rPr>
            </w:pPr>
            <w:r>
              <w:rPr>
                <w:rFonts w:hint="default" w:ascii="Times New Roman" w:hAnsi="Times New Roman" w:cs="Times New Roman"/>
                <w:bCs/>
                <w:color w:val="auto"/>
                <w:sz w:val="24"/>
              </w:rPr>
              <w:t>本项目产生的一般固体废弃物</w:t>
            </w:r>
            <w:r>
              <w:rPr>
                <w:rFonts w:hint="default" w:ascii="Times New Roman" w:hAnsi="Times New Roman" w:cs="Times New Roman"/>
                <w:bCs/>
                <w:color w:val="auto"/>
                <w:sz w:val="24"/>
                <w:lang w:eastAsia="zh-CN"/>
              </w:rPr>
              <w:t>贮存过程应满足相应防渗漏、防雨淋、防扬尘等环境保护要求</w:t>
            </w:r>
            <w:r>
              <w:rPr>
                <w:rFonts w:hint="default" w:ascii="Times New Roman" w:hAnsi="Times New Roman" w:cs="Times New Roman"/>
                <w:bCs/>
                <w:color w:val="auto"/>
                <w:sz w:val="24"/>
              </w:rPr>
              <w:t>；产生的危险废物贮存执行《危险废物贮存污染控制标准》（GB18597-2023）中相关要求</w:t>
            </w:r>
            <w:r>
              <w:rPr>
                <w:rFonts w:hint="default" w:ascii="Times New Roman" w:hAnsi="Times New Roman" w:cs="Times New Roman"/>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9" w:hRule="atLeast"/>
          <w:jc w:val="center"/>
        </w:trPr>
        <w:tc>
          <w:tcPr>
            <w:tcW w:w="806" w:type="dxa"/>
            <w:tcMar>
              <w:left w:w="28" w:type="dxa"/>
              <w:right w:w="28" w:type="dxa"/>
            </w:tcMar>
            <w:vAlign w:val="center"/>
          </w:tcPr>
          <w:p>
            <w:pPr>
              <w:keepNext w:val="0"/>
              <w:keepLines w:val="0"/>
              <w:pageBreakBefore w:val="0"/>
              <w:widowControl w:val="0"/>
              <w:kinsoku/>
              <w:wordWrap w:val="0"/>
              <w:overflowPunct/>
              <w:topLinePunct w:val="0"/>
              <w:bidi w:val="0"/>
              <w:adjustRightInd w:val="0"/>
              <w:snapToGrid w:val="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总量</w:t>
            </w:r>
          </w:p>
          <w:p>
            <w:pPr>
              <w:keepNext w:val="0"/>
              <w:keepLines w:val="0"/>
              <w:pageBreakBefore w:val="0"/>
              <w:widowControl w:val="0"/>
              <w:kinsoku/>
              <w:wordWrap w:val="0"/>
              <w:overflowPunct/>
              <w:topLinePunct w:val="0"/>
              <w:bidi w:val="0"/>
              <w:adjustRightInd w:val="0"/>
              <w:snapToGrid w:val="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控制</w:t>
            </w:r>
          </w:p>
          <w:p>
            <w:pPr>
              <w:keepNext w:val="0"/>
              <w:keepLines w:val="0"/>
              <w:pageBreakBefore w:val="0"/>
              <w:widowControl w:val="0"/>
              <w:kinsoku/>
              <w:wordWrap w:val="0"/>
              <w:overflowPunct/>
              <w:topLinePunct w:val="0"/>
              <w:bidi w:val="0"/>
              <w:adjustRightInd w:val="0"/>
              <w:snapToGrid w:val="0"/>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指标</w:t>
            </w:r>
          </w:p>
        </w:tc>
        <w:tc>
          <w:tcPr>
            <w:tcW w:w="8255" w:type="dxa"/>
            <w:vAlign w:val="center"/>
          </w:tcPr>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本项目属于纳入固定污染源排污许可分类管理名录行业范围的建设项目，根据山西省环境保护厅关于印发《建设项目主要污染物排放总量指标核定办法》的通知（晋环规[2023]1号），其新增主要污染物需取得污染物排放总量指标。</w:t>
            </w:r>
          </w:p>
          <w:p>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default" w:ascii="Times New Roman" w:hAnsi="Times New Roman" w:cs="Times New Roman"/>
                <w:color w:val="auto"/>
                <w:sz w:val="24"/>
                <w:highlight w:val="green"/>
                <w:lang w:val="en-US" w:eastAsia="zh-CN"/>
              </w:rPr>
            </w:pPr>
            <w:r>
              <w:rPr>
                <w:rFonts w:hint="default" w:ascii="Times New Roman" w:hAnsi="Times New Roman" w:cs="Times New Roman"/>
                <w:color w:val="auto"/>
                <w:sz w:val="24"/>
                <w:highlight w:val="none"/>
                <w:lang w:val="en-US" w:eastAsia="zh-CN"/>
              </w:rPr>
              <w:t>本项目大气污染物总量控制指标为颗粒物：0.144t/a，SO</w:t>
            </w:r>
            <w:r>
              <w:rPr>
                <w:rFonts w:hint="default" w:ascii="Times New Roman" w:hAnsi="Times New Roman" w:cs="Times New Roman"/>
                <w:color w:val="auto"/>
                <w:sz w:val="24"/>
                <w:highlight w:val="none"/>
                <w:vertAlign w:val="subscript"/>
                <w:lang w:val="en-US" w:eastAsia="zh-CN"/>
              </w:rPr>
              <w:t>2</w:t>
            </w:r>
            <w:r>
              <w:rPr>
                <w:rFonts w:hint="default" w:ascii="Times New Roman" w:hAnsi="Times New Roman" w:cs="Times New Roman"/>
                <w:color w:val="auto"/>
                <w:sz w:val="24"/>
                <w:highlight w:val="none"/>
                <w:lang w:val="en-US" w:eastAsia="zh-CN"/>
              </w:rPr>
              <w:t>：0.</w:t>
            </w:r>
            <w:r>
              <w:rPr>
                <w:rFonts w:hint="eastAsia" w:ascii="Times New Roman" w:cs="Times New Roman"/>
                <w:color w:val="auto"/>
                <w:sz w:val="24"/>
                <w:highlight w:val="none"/>
                <w:lang w:val="en-US" w:eastAsia="zh-CN"/>
              </w:rPr>
              <w:t>23</w:t>
            </w:r>
            <w:r>
              <w:rPr>
                <w:rFonts w:hint="default" w:ascii="Times New Roman" w:hAnsi="Times New Roman" w:cs="Times New Roman"/>
                <w:color w:val="auto"/>
                <w:sz w:val="24"/>
                <w:highlight w:val="none"/>
                <w:lang w:val="en-US" w:eastAsia="zh-CN"/>
              </w:rPr>
              <w:t>t/a，NOx：0.</w:t>
            </w:r>
            <w:r>
              <w:rPr>
                <w:rFonts w:hint="eastAsia" w:ascii="Times New Roman" w:cs="Times New Roman"/>
                <w:color w:val="auto"/>
                <w:sz w:val="24"/>
                <w:highlight w:val="none"/>
                <w:lang w:val="en-US" w:eastAsia="zh-CN"/>
              </w:rPr>
              <w:t>49</w:t>
            </w:r>
            <w:r>
              <w:rPr>
                <w:rFonts w:hint="default" w:ascii="Times New Roman" w:hAnsi="Times New Roman" w:cs="Times New Roman"/>
                <w:color w:val="auto"/>
                <w:sz w:val="24"/>
                <w:highlight w:val="none"/>
                <w:lang w:val="en-US" w:eastAsia="zh-CN"/>
              </w:rPr>
              <w:t>t/a。</w:t>
            </w:r>
          </w:p>
          <w:p>
            <w:pPr>
              <w:wordWrap w:val="0"/>
              <w:spacing w:line="360" w:lineRule="auto"/>
              <w:rPr>
                <w:rFonts w:hint="default" w:ascii="Times New Roman" w:hAnsi="Times New Roman" w:eastAsia="宋体" w:cs="Times New Roman"/>
                <w:color w:val="auto"/>
                <w:kern w:val="0"/>
                <w:sz w:val="24"/>
                <w:szCs w:val="24"/>
                <w:highlight w:val="none"/>
                <w:lang w:val="en-US" w:eastAsia="zh-CN"/>
              </w:rPr>
            </w:pPr>
          </w:p>
        </w:tc>
      </w:tr>
    </w:tbl>
    <w:p>
      <w:pPr>
        <w:pStyle w:val="33"/>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highlight w:val="none"/>
        </w:rPr>
        <w:br w:type="page"/>
      </w:r>
      <w:r>
        <w:rPr>
          <w:rFonts w:hint="default" w:ascii="Times New Roman" w:hAnsi="Times New Roman" w:eastAsia="黑体" w:cs="Times New Roman"/>
          <w:snapToGrid w:val="0"/>
          <w:color w:val="auto"/>
          <w:sz w:val="30"/>
          <w:szCs w:val="30"/>
        </w:rPr>
        <w:t>四、主要环境影响和保护措施</w:t>
      </w:r>
    </w:p>
    <w:tbl>
      <w:tblPr>
        <w:tblStyle w:val="38"/>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6"/>
        <w:gridCol w:w="81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69" w:hRule="atLeast"/>
          <w:jc w:val="center"/>
        </w:trPr>
        <w:tc>
          <w:tcPr>
            <w:tcW w:w="816" w:type="dxa"/>
            <w:tcMar>
              <w:left w:w="28" w:type="dxa"/>
              <w:right w:w="28" w:type="dxa"/>
            </w:tcMar>
            <w:vAlign w:val="center"/>
          </w:tcPr>
          <w:p>
            <w:pPr>
              <w:pStyle w:val="33"/>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施工</w:t>
            </w:r>
          </w:p>
          <w:p>
            <w:pPr>
              <w:pStyle w:val="33"/>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期环</w:t>
            </w:r>
          </w:p>
          <w:p>
            <w:pPr>
              <w:pStyle w:val="33"/>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境保</w:t>
            </w:r>
          </w:p>
          <w:p>
            <w:pPr>
              <w:pStyle w:val="33"/>
              <w:adjustRightInd w:val="0"/>
              <w:snapToGrid w:val="0"/>
              <w:spacing w:before="0" w:beforeAutospacing="0" w:after="0" w:afterAutospacing="0"/>
              <w:jc w:val="center"/>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护措</w:t>
            </w:r>
          </w:p>
          <w:p>
            <w:pPr>
              <w:pStyle w:val="33"/>
              <w:adjustRightInd w:val="0"/>
              <w:snapToGrid w:val="0"/>
              <w:spacing w:before="0" w:beforeAutospacing="0" w:after="0" w:afterAutospacing="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Cs w:val="24"/>
              </w:rPr>
              <w:t>施</w:t>
            </w:r>
          </w:p>
        </w:tc>
        <w:tc>
          <w:tcPr>
            <w:tcW w:w="8165" w:type="dxa"/>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bCs/>
                <w:color w:val="auto"/>
                <w:sz w:val="24"/>
                <w:szCs w:val="24"/>
              </w:rPr>
              <w:t>本项</w:t>
            </w:r>
            <w:r>
              <w:rPr>
                <w:rFonts w:hint="default" w:ascii="Times New Roman" w:hAnsi="Times New Roman" w:eastAsia="宋体" w:cs="Times New Roman"/>
                <w:bCs/>
                <w:color w:val="auto"/>
                <w:sz w:val="24"/>
                <w:szCs w:val="24"/>
                <w:highlight w:val="none"/>
              </w:rPr>
              <w:t>目</w:t>
            </w:r>
            <w:r>
              <w:rPr>
                <w:rFonts w:hint="default" w:ascii="Times New Roman" w:hAnsi="Times New Roman" w:cs="Times New Roman"/>
                <w:color w:val="auto"/>
                <w:kern w:val="0"/>
                <w:sz w:val="24"/>
                <w:highlight w:val="none"/>
                <w:lang w:val="en-US" w:eastAsia="zh-CN"/>
              </w:rPr>
              <w:t>租用</w:t>
            </w:r>
            <w:r>
              <w:rPr>
                <w:rFonts w:hint="eastAsia" w:ascii="Times New Roman" w:cs="Times New Roman"/>
                <w:color w:val="auto"/>
                <w:kern w:val="0"/>
                <w:sz w:val="24"/>
                <w:highlight w:val="none"/>
                <w:lang w:eastAsia="zh-CN"/>
              </w:rPr>
              <w:t>石胜强塑料制品厂</w:t>
            </w:r>
            <w:r>
              <w:rPr>
                <w:rFonts w:hint="eastAsia" w:ascii="Times New Roman" w:cs="Times New Roman"/>
                <w:color w:val="auto"/>
                <w:kern w:val="0"/>
                <w:sz w:val="24"/>
                <w:highlight w:val="none"/>
                <w:lang w:val="en-US" w:eastAsia="zh-CN"/>
              </w:rPr>
              <w:t>用地</w:t>
            </w:r>
            <w:r>
              <w:rPr>
                <w:rFonts w:hint="default" w:ascii="Times New Roman" w:hAnsi="Times New Roman" w:cs="Times New Roman"/>
                <w:color w:val="auto"/>
                <w:kern w:val="0"/>
                <w:sz w:val="24"/>
                <w:highlight w:val="none"/>
                <w:lang w:val="en-US" w:eastAsia="zh-CN"/>
              </w:rPr>
              <w:t>，租用</w:t>
            </w:r>
            <w:r>
              <w:rPr>
                <w:rFonts w:hint="eastAsia" w:ascii="Times New Roman" w:cs="Times New Roman"/>
                <w:color w:val="auto"/>
                <w:kern w:val="0"/>
                <w:sz w:val="24"/>
                <w:highlight w:val="none"/>
                <w:lang w:eastAsia="zh-CN"/>
              </w:rPr>
              <w:t>石胜强塑料制品厂</w:t>
            </w:r>
            <w:r>
              <w:rPr>
                <w:rFonts w:hint="eastAsia" w:ascii="Times New Roman" w:cs="Times New Roman"/>
                <w:color w:val="auto"/>
                <w:kern w:val="0"/>
                <w:sz w:val="24"/>
                <w:highlight w:val="none"/>
                <w:lang w:val="en-US" w:eastAsia="zh-CN"/>
              </w:rPr>
              <w:t>用地</w:t>
            </w:r>
            <w:r>
              <w:rPr>
                <w:rFonts w:hint="default" w:ascii="Times New Roman" w:hAnsi="Times New Roman" w:cs="Times New Roman"/>
                <w:color w:val="auto"/>
                <w:kern w:val="0"/>
                <w:sz w:val="24"/>
                <w:highlight w:val="none"/>
                <w:lang w:val="en-US" w:eastAsia="zh-CN"/>
              </w:rPr>
              <w:t>，</w:t>
            </w:r>
            <w:r>
              <w:rPr>
                <w:rFonts w:hint="eastAsia" w:ascii="Times New Roman" w:hAnsi="Times New Roman" w:cs="Times New Roman"/>
                <w:color w:val="auto"/>
                <w:sz w:val="24"/>
                <w:szCs w:val="24"/>
                <w:highlight w:val="none"/>
                <w:lang w:val="en-US" w:eastAsia="zh-CN"/>
              </w:rPr>
              <w:t>经调查，</w:t>
            </w:r>
            <w:r>
              <w:rPr>
                <w:rFonts w:hint="eastAsia" w:ascii="Times New Roman" w:hAnsi="Times New Roman" w:cs="Times New Roman"/>
                <w:color w:val="auto"/>
                <w:kern w:val="0"/>
                <w:sz w:val="24"/>
                <w:highlight w:val="none"/>
                <w:lang w:val="en-US" w:eastAsia="zh-CN"/>
              </w:rPr>
              <w:t>本项目2018年5月已建设完成</w:t>
            </w:r>
            <w:r>
              <w:rPr>
                <w:rFonts w:hint="eastAsia" w:ascii="Times New Roman" w:cs="Times New Roman"/>
                <w:color w:val="auto"/>
                <w:kern w:val="0"/>
                <w:sz w:val="24"/>
                <w:highlight w:val="none"/>
                <w:lang w:val="en-US" w:eastAsia="zh-CN"/>
              </w:rPr>
              <w:t>。本次环评主要对其环保措施等进行改建，</w:t>
            </w:r>
            <w:r>
              <w:rPr>
                <w:rFonts w:hint="default" w:ascii="Times New Roman" w:hAnsi="Times New Roman" w:cs="Times New Roman"/>
                <w:bCs/>
                <w:color w:val="auto"/>
                <w:sz w:val="24"/>
                <w:szCs w:val="24"/>
                <w:lang w:val="en-US" w:eastAsia="zh-CN"/>
              </w:rPr>
              <w:t>因此在</w:t>
            </w:r>
            <w:r>
              <w:rPr>
                <w:rFonts w:hint="default" w:ascii="Times New Roman" w:hAnsi="Times New Roman" w:eastAsia="宋体" w:cs="Times New Roman"/>
                <w:color w:val="auto"/>
                <w:sz w:val="24"/>
                <w:szCs w:val="24"/>
              </w:rPr>
              <w:t>施工期间的主要环境问题产生于工程建设施工过程中建筑材料运输、堆存、设备安装</w:t>
            </w:r>
            <w:r>
              <w:rPr>
                <w:rFonts w:hint="default" w:ascii="Times New Roman" w:hAnsi="Times New Roman" w:cs="Times New Roman"/>
                <w:color w:val="auto"/>
                <w:sz w:val="24"/>
                <w:szCs w:val="24"/>
                <w:lang w:val="en-US" w:eastAsia="zh-CN"/>
              </w:rPr>
              <w:t>等</w:t>
            </w:r>
            <w:r>
              <w:rPr>
                <w:rFonts w:hint="default" w:ascii="Times New Roman" w:hAnsi="Times New Roman" w:eastAsia="宋体" w:cs="Times New Roman"/>
                <w:color w:val="auto"/>
                <w:sz w:val="24"/>
                <w:szCs w:val="24"/>
              </w:rPr>
              <w:t>，产生的污染物主要有扬尘、噪声、废水、固体废物等，工程施工影响范围主要为工程施工区域，限制在厂区占地范围内。</w:t>
            </w:r>
            <w:r>
              <w:rPr>
                <w:rFonts w:hint="default" w:ascii="Times New Roman" w:hAnsi="Times New Roman" w:cs="Times New Roman"/>
                <w:color w:val="auto"/>
                <w:kern w:val="2"/>
                <w:sz w:val="24"/>
                <w:szCs w:val="24"/>
                <w:highlight w:val="none"/>
                <w:lang w:val="en-US" w:eastAsia="zh-CN" w:bidi="ar-SA"/>
              </w:rPr>
              <w:t>针对</w:t>
            </w:r>
            <w:r>
              <w:rPr>
                <w:rFonts w:hint="default" w:ascii="Times New Roman" w:hAnsi="Times New Roman" w:eastAsia="宋体" w:cs="Times New Roman"/>
                <w:color w:val="auto"/>
                <w:kern w:val="2"/>
                <w:sz w:val="24"/>
                <w:szCs w:val="24"/>
                <w:highlight w:val="none"/>
                <w:lang w:val="en-US" w:eastAsia="zh-CN" w:bidi="ar-SA"/>
              </w:rPr>
              <w:t>施工过程对环境的影响</w:t>
            </w:r>
            <w:r>
              <w:rPr>
                <w:rFonts w:hint="default"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拟采取的污染防治措施</w:t>
            </w:r>
            <w:r>
              <w:rPr>
                <w:rFonts w:hint="default" w:ascii="Times New Roman" w:hAnsi="Times New Roman" w:cs="Times New Roman"/>
                <w:color w:val="auto"/>
                <w:kern w:val="2"/>
                <w:sz w:val="24"/>
                <w:szCs w:val="24"/>
                <w:highlight w:val="none"/>
                <w:lang w:val="en-US" w:eastAsia="zh-CN" w:bidi="ar-SA"/>
              </w:rPr>
              <w:t>如下：</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1、施工期环境空气防治措施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根据《临汾市人民政府关于印发临汾市空气质量持续改善行动计划的通知》（临政办发〔2024〕4号）、《临汾市大气污染防治条例》等条例的通知要求，严格落实建筑施工工地“</w:t>
            </w:r>
            <w:r>
              <w:rPr>
                <w:rFonts w:hint="default" w:ascii="Times New Roman" w:hAnsi="Times New Roman" w:cs="Times New Roman"/>
                <w:color w:val="auto"/>
                <w:kern w:val="0"/>
                <w:sz w:val="24"/>
                <w:szCs w:val="24"/>
                <w:lang w:val="en-US" w:eastAsia="zh-CN" w:bidi="ar"/>
              </w:rPr>
              <w:t>六</w:t>
            </w:r>
            <w:r>
              <w:rPr>
                <w:rFonts w:hint="default" w:ascii="Times New Roman" w:hAnsi="Times New Roman" w:eastAsia="宋体" w:cs="Times New Roman"/>
                <w:color w:val="auto"/>
                <w:kern w:val="0"/>
                <w:sz w:val="24"/>
                <w:szCs w:val="24"/>
                <w:lang w:val="en-US" w:eastAsia="zh-CN" w:bidi="ar"/>
              </w:rPr>
              <w:t xml:space="preserve">个百分百”（施工工地周边100%围挡、物料堆放100%覆盖、出入车辆100%冲洗、施工现场地面100%硬化、土方开挖100%湿法作业、渣土车辆100%密闭运输”。施工期扬尘污染防治措施具体如下： </w:t>
            </w:r>
          </w:p>
          <w:p>
            <w:pPr>
              <w:keepNext w:val="0"/>
              <w:keepLines w:val="0"/>
              <w:pageBreakBefore w:val="0"/>
              <w:widowControl w:val="0"/>
              <w:suppressLineNumbers w:val="0"/>
              <w:kinsoku/>
              <w:wordWrap/>
              <w:overflowPunct/>
              <w:topLinePunct w:val="0"/>
              <w:autoSpaceDE/>
              <w:autoSpaceDN/>
              <w:bidi w:val="0"/>
              <w:adjustRightInd/>
              <w:snapToGrid/>
              <w:spacing w:line="360" w:lineRule="auto"/>
              <w:ind w:right="0" w:rightChars="0" w:firstLine="240" w:firstLineChars="100"/>
              <w:jc w:val="left"/>
              <w:textAlignment w:val="auto"/>
              <w:outlineLvl w:val="9"/>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val="en-US" w:eastAsia="zh-CN" w:bidi="ar"/>
              </w:rPr>
              <w:t xml:space="preserve">施工场地要进行合理规划，文明施工，施工控制在占地范围内。施工时实行围挡封闭施工，围挡高度最少不能低于2m，且围挡要坚固、稳定、整洁、规范、美观；建筑工地必须用密目式安全网全封闭，封闭高度应高出作业面1.5m以上。 </w:t>
            </w:r>
          </w:p>
          <w:p>
            <w:pPr>
              <w:keepNext w:val="0"/>
              <w:keepLines w:val="0"/>
              <w:pageBreakBefore w:val="0"/>
              <w:widowControl w:val="0"/>
              <w:suppressLineNumbers w:val="0"/>
              <w:kinsoku/>
              <w:wordWrap/>
              <w:overflowPunct/>
              <w:topLinePunct w:val="0"/>
              <w:autoSpaceDE/>
              <w:autoSpaceDN/>
              <w:bidi w:val="0"/>
              <w:adjustRightInd/>
              <w:snapToGrid/>
              <w:spacing w:line="360" w:lineRule="auto"/>
              <w:ind w:right="0" w:rightChars="0" w:firstLine="240" w:firstLineChars="100"/>
              <w:jc w:val="left"/>
              <w:textAlignment w:val="auto"/>
              <w:outlineLvl w:val="9"/>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 xml:space="preserve">施工单位应当合理安排工期，在风速达四级及以上的天气情况下，应当停止易产生扬尘污染的施工作业，并采取相应的防尘措施，施工场所要定期喷洒水，保持地面湿润，不起尘等。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240" w:firstLineChars="1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易产尘的建筑材料不得随意堆放，尽量避开在项目区的上风向，要有专门的堆棚，并在堆棚周围设置</w:t>
            </w:r>
            <w:r>
              <w:rPr>
                <w:rFonts w:hint="eastAsia" w:ascii="Times New Roman" w:cs="Times New Roman"/>
                <w:color w:val="auto"/>
                <w:kern w:val="0"/>
                <w:sz w:val="24"/>
                <w:szCs w:val="24"/>
                <w:lang w:val="en-US" w:eastAsia="zh-CN" w:bidi="ar"/>
              </w:rPr>
              <w:t>围挡</w:t>
            </w:r>
            <w:r>
              <w:rPr>
                <w:rFonts w:hint="default" w:ascii="Times New Roman" w:hAnsi="Times New Roman" w:eastAsia="宋体" w:cs="Times New Roman"/>
                <w:color w:val="auto"/>
                <w:kern w:val="0"/>
                <w:sz w:val="24"/>
                <w:szCs w:val="24"/>
                <w:lang w:val="en-US" w:eastAsia="zh-CN" w:bidi="ar"/>
              </w:rPr>
              <w:t xml:space="preserve">，减少扬尘的产生。 </w:t>
            </w:r>
          </w:p>
          <w:p>
            <w:pPr>
              <w:spacing w:line="360" w:lineRule="auto"/>
              <w:ind w:firstLine="240" w:firstLineChars="1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4）</w:t>
            </w:r>
            <w:r>
              <w:rPr>
                <w:rFonts w:hint="default" w:ascii="Times New Roman" w:hAnsi="Times New Roman" w:eastAsia="宋体" w:cs="Times New Roman"/>
                <w:color w:val="auto"/>
                <w:sz w:val="24"/>
                <w:szCs w:val="24"/>
              </w:rPr>
              <w:t>施工工地出口处必须建设车辆出口喷淋、冲洗设施，车辆驶离工地前，应在洗车平台清洗轮胎及车身，不得带泥上路，出入车辆100%冲洗，并设置统一格式的环境保护监督牌，标明扬尘防治措施、责任人及环保监督电话等。</w:t>
            </w:r>
          </w:p>
          <w:p>
            <w:pPr>
              <w:spacing w:line="360" w:lineRule="auto"/>
              <w:ind w:firstLine="240" w:firstLineChars="1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rPr>
              <w:t>施工场地建筑垃圾和渣土分区堆放，及时清运施工场地废渣。运输车辆不得超载，物料运输采用箱式运输车进行散装物料的运输，渣土车辆要100%密闭。合理控制车速，并尽可能避免交通高峰期运输，避免因大风天气和路面颠簸的撒漏。</w:t>
            </w:r>
          </w:p>
          <w:p>
            <w:pPr>
              <w:spacing w:line="360" w:lineRule="auto"/>
              <w:ind w:firstLine="240" w:firstLineChars="1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rPr>
              <w:t>建筑垃圾应及时清运至环卫部门指定场所，不能及时清运的要定点密闭堆存，并采取防尘措施。</w:t>
            </w:r>
          </w:p>
          <w:p>
            <w:pPr>
              <w:spacing w:line="360" w:lineRule="auto"/>
              <w:ind w:firstLine="240" w:firstLineChars="1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7）</w:t>
            </w:r>
            <w:r>
              <w:rPr>
                <w:rFonts w:hint="default" w:ascii="Times New Roman" w:hAnsi="Times New Roman" w:eastAsia="宋体" w:cs="Times New Roman"/>
                <w:color w:val="auto"/>
                <w:sz w:val="24"/>
                <w:szCs w:val="24"/>
              </w:rPr>
              <w:t>对于运输过程产生的撒漏，本项目建设单位、运输单位均有责任对其进行清理，建设单位也可委托环卫部门，对运输整个线路分段并派专人负责，保证撒漏得到及时有效的清理。</w:t>
            </w:r>
          </w:p>
          <w:p>
            <w:pPr>
              <w:pStyle w:val="85"/>
              <w:keepNext w:val="0"/>
              <w:keepLines w:val="0"/>
              <w:pageBreakBefore w:val="0"/>
              <w:widowControl w:val="0"/>
              <w:kinsoku/>
              <w:wordWrap/>
              <w:overflowPunct/>
              <w:topLinePunct w:val="0"/>
              <w:autoSpaceDE/>
              <w:autoSpaceDN/>
              <w:bidi w:val="0"/>
              <w:adjustRightInd/>
              <w:snapToGrid/>
              <w:spacing w:line="360" w:lineRule="auto"/>
              <w:ind w:left="0" w:leftChars="0" w:firstLine="240" w:firstLineChars="100"/>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8）</w:t>
            </w:r>
            <w:r>
              <w:rPr>
                <w:rFonts w:hint="default" w:ascii="Times New Roman" w:hAnsi="Times New Roman" w:eastAsia="宋体" w:cs="Times New Roman"/>
                <w:color w:val="auto"/>
                <w:sz w:val="24"/>
                <w:szCs w:val="24"/>
              </w:rPr>
              <w:t>要求施工现场的机械及运输车辆使用国家规定的标准燃油，尤其是大型运输车辆尾气应达标排放。要求施工单位对施工车辆加强检修和维护，严禁使用超期服役和尾气超标的车辆，对于发动机耗油多、效率低、排放尾气超标的老、旧车辆，及时更新。</w:t>
            </w:r>
            <w:r>
              <w:rPr>
                <w:rFonts w:hint="default" w:ascii="Times New Roman" w:hAnsi="Times New Roman" w:cs="Times New Roman"/>
                <w:b w:val="0"/>
                <w:bCs w:val="0"/>
                <w:color w:val="auto"/>
                <w:sz w:val="24"/>
                <w:szCs w:val="24"/>
                <w:highlight w:val="none"/>
                <w:lang w:eastAsia="zh-CN"/>
              </w:rPr>
              <w:t>加强非道路移动机械</w:t>
            </w:r>
            <w:r>
              <w:rPr>
                <w:rFonts w:hint="default" w:ascii="Times New Roman" w:hAnsi="Times New Roman" w:cs="Times New Roman"/>
                <w:b w:val="0"/>
                <w:bCs w:val="0"/>
                <w:color w:val="auto"/>
                <w:sz w:val="24"/>
                <w:szCs w:val="24"/>
                <w:highlight w:val="none"/>
                <w:lang w:val="en-US" w:eastAsia="zh-CN"/>
              </w:rPr>
              <w:t>及运输车辆</w:t>
            </w:r>
            <w:r>
              <w:rPr>
                <w:rFonts w:hint="default" w:ascii="Times New Roman" w:hAnsi="Times New Roman" w:cs="Times New Roman"/>
                <w:b w:val="0"/>
                <w:bCs w:val="0"/>
                <w:color w:val="auto"/>
                <w:sz w:val="24"/>
                <w:szCs w:val="24"/>
                <w:highlight w:val="none"/>
                <w:lang w:eastAsia="zh-CN"/>
              </w:rPr>
              <w:t>的维修、保养，使其保持良好的技术状态。禁止任何单位或个人擅自拆除弃用非道路移动机械的消声、隔声和吸声装置，加强对噪声控制装置的维护保养。厂区内非移动机械使用国</w:t>
            </w:r>
            <w:r>
              <w:rPr>
                <w:rFonts w:hint="default" w:ascii="Times New Roman" w:hAnsi="Times New Roman" w:cs="Times New Roman"/>
                <w:b w:val="0"/>
                <w:bCs w:val="0"/>
                <w:color w:val="auto"/>
                <w:sz w:val="24"/>
                <w:szCs w:val="24"/>
                <w:highlight w:val="none"/>
                <w:lang w:val="en-US" w:eastAsia="zh-CN"/>
              </w:rPr>
              <w:t>四</w:t>
            </w:r>
            <w:r>
              <w:rPr>
                <w:rFonts w:hint="default" w:ascii="Times New Roman" w:hAnsi="Times New Roman" w:cs="Times New Roman"/>
                <w:b w:val="0"/>
                <w:bCs w:val="0"/>
                <w:color w:val="auto"/>
                <w:sz w:val="24"/>
                <w:szCs w:val="24"/>
                <w:highlight w:val="none"/>
                <w:lang w:eastAsia="zh-CN"/>
              </w:rPr>
              <w:t>排放标准或新能源机械。</w:t>
            </w:r>
            <w:r>
              <w:rPr>
                <w:rFonts w:hint="default" w:ascii="Times New Roman" w:hAnsi="Times New Roman" w:cs="Times New Roman"/>
                <w:b w:val="0"/>
                <w:bCs w:val="0"/>
                <w:color w:val="auto"/>
                <w:sz w:val="24"/>
                <w:szCs w:val="24"/>
                <w:highlight w:val="none"/>
                <w:lang w:val="en-US" w:eastAsia="zh-CN"/>
              </w:rPr>
              <w:t>运输车辆</w:t>
            </w:r>
            <w:r>
              <w:rPr>
                <w:rFonts w:hint="default" w:ascii="Times New Roman" w:hAnsi="Times New Roman" w:cs="Times New Roman"/>
                <w:color w:val="auto"/>
                <w:sz w:val="24"/>
                <w:szCs w:val="24"/>
                <w:lang w:val="en-US" w:eastAsia="zh-CN"/>
              </w:rPr>
              <w:t>使用国六标准以上的运输车辆或新能源清洁燃料车辆。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240" w:firstLineChars="1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9）</w:t>
            </w:r>
            <w:r>
              <w:rPr>
                <w:rFonts w:hint="default" w:ascii="Times New Roman" w:hAnsi="Times New Roman" w:eastAsia="宋体" w:cs="Times New Roman"/>
                <w:color w:val="auto"/>
                <w:kern w:val="0"/>
                <w:sz w:val="24"/>
                <w:szCs w:val="24"/>
                <w:lang w:val="en-US" w:eastAsia="zh-CN" w:bidi="ar"/>
              </w:rPr>
              <w:t xml:space="preserve">施工单位应当在施工工地公示扬尘污染治理措施、负责人、扬尘监督管理主管部门等信息，避免因产生纠纷或事件而导致不必要的影响。 </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采取以上措施后，施工期废气对周围环境影响很小。</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2</w:t>
            </w:r>
            <w:r>
              <w:rPr>
                <w:rFonts w:hint="default" w:ascii="Times New Roman" w:hAnsi="Times New Roman" w:eastAsia="宋体" w:cs="Times New Roman"/>
                <w:b/>
                <w:bCs/>
                <w:color w:val="auto"/>
                <w:kern w:val="2"/>
                <w:sz w:val="24"/>
                <w:szCs w:val="24"/>
                <w:highlight w:val="none"/>
                <w:lang w:val="en-US" w:eastAsia="zh-CN" w:bidi="ar-SA"/>
              </w:rPr>
              <w:t>、施工期水环境防治措施</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本次项目施工期废水主要为施工废水和施工人员产生的生活污水。主要污染物为COD、BOD、SS、氨氮，其水量较小，形不成规模排放，</w:t>
            </w:r>
            <w:r>
              <w:rPr>
                <w:rFonts w:hint="eastAsia" w:ascii="Times New Roman" w:cs="Times New Roman"/>
                <w:color w:val="auto"/>
                <w:kern w:val="0"/>
                <w:sz w:val="24"/>
                <w:szCs w:val="24"/>
                <w:lang w:val="en-US" w:eastAsia="zh-CN" w:bidi="ar"/>
              </w:rPr>
              <w:t>施工废水</w:t>
            </w:r>
            <w:r>
              <w:rPr>
                <w:rFonts w:hint="default" w:ascii="Times New Roman" w:hAnsi="Times New Roman" w:eastAsia="宋体" w:cs="Times New Roman"/>
                <w:color w:val="auto"/>
                <w:kern w:val="0"/>
                <w:sz w:val="24"/>
                <w:szCs w:val="24"/>
                <w:lang w:val="en-US" w:eastAsia="zh-CN" w:bidi="ar"/>
              </w:rPr>
              <w:t>收集沉淀后用于场地洒水抑尘，</w:t>
            </w:r>
            <w:r>
              <w:rPr>
                <w:rFonts w:hint="eastAsia" w:ascii="Times New Roman" w:cs="Times New Roman"/>
                <w:color w:val="auto"/>
                <w:kern w:val="0"/>
                <w:sz w:val="24"/>
                <w:szCs w:val="24"/>
                <w:lang w:val="en-US" w:eastAsia="zh-CN" w:bidi="ar"/>
              </w:rPr>
              <w:t>生活污水排入现有旱厕，定期清掏</w:t>
            </w:r>
            <w:r>
              <w:rPr>
                <w:rFonts w:hint="default" w:ascii="Times New Roman" w:hAnsi="Times New Roman" w:eastAsia="宋体" w:cs="Times New Roman"/>
                <w:color w:val="auto"/>
                <w:kern w:val="0"/>
                <w:sz w:val="24"/>
                <w:szCs w:val="24"/>
                <w:lang w:val="en-US" w:eastAsia="zh-CN" w:bidi="ar"/>
              </w:rPr>
              <w:t>，不会对当地水环境产生影响。</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3</w:t>
            </w:r>
            <w:r>
              <w:rPr>
                <w:rFonts w:hint="default" w:ascii="Times New Roman" w:hAnsi="Times New Roman" w:eastAsia="宋体" w:cs="Times New Roman"/>
                <w:b/>
                <w:bCs/>
                <w:color w:val="auto"/>
                <w:kern w:val="2"/>
                <w:sz w:val="24"/>
                <w:szCs w:val="24"/>
                <w:highlight w:val="none"/>
                <w:lang w:val="en-US" w:eastAsia="zh-CN" w:bidi="ar-SA"/>
              </w:rPr>
              <w:t>、施工期声环境防治措施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本项目施工期的噪声主要为施工机械噪声、施工作业噪声、物料运输交通噪声。施工机械噪声主要由施工机械所造成，多为点声源；施工作业噪声主要指一些零星的敲打声、装卸车辆的撞击声、吆喝声、拆装模板的撞击声等，多为瞬间噪声；施工车辆的噪声：大型载重车</w:t>
            </w:r>
            <w:r>
              <w:rPr>
                <w:rFonts w:hint="default" w:ascii="Times New Roman" w:hAnsi="Times New Roman" w:cs="Times New Roman"/>
                <w:color w:val="auto"/>
                <w:kern w:val="2"/>
                <w:sz w:val="24"/>
                <w:szCs w:val="24"/>
                <w:highlight w:val="none"/>
                <w:lang w:val="en-US" w:eastAsia="zh-CN"/>
              </w:rPr>
              <w:t>等</w:t>
            </w:r>
            <w:r>
              <w:rPr>
                <w:rFonts w:hint="default" w:ascii="Times New Roman" w:hAnsi="Times New Roman" w:eastAsia="宋体" w:cs="Times New Roman"/>
                <w:color w:val="auto"/>
                <w:kern w:val="2"/>
                <w:sz w:val="24"/>
                <w:szCs w:val="24"/>
                <w:highlight w:val="none"/>
              </w:rPr>
              <w:t>属于交通噪声。单体设备声级一般均高于85dB（A），部分设备声源高达110dB（A）。此外，运输车辆途经村庄时产生的交通噪声可能引起扰民现象。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为了尽可能减小对项目厂址周围村庄的噪声影响，环评要求施工单位采取以下噪声防治措施，以最大限度地减少对环境的影响：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38" w:firstLineChars="141"/>
              <w:jc w:val="both"/>
              <w:textAlignment w:val="auto"/>
              <w:outlineLvl w:val="9"/>
              <w:rPr>
                <w:rFonts w:hint="default" w:ascii="Times New Roman" w:hAnsi="Times New Roman" w:eastAsia="宋体" w:cs="Times New Roman"/>
                <w:color w:val="auto"/>
                <w:kern w:val="2"/>
                <w:sz w:val="24"/>
                <w:szCs w:val="24"/>
                <w:highlight w:val="none"/>
              </w:rPr>
            </w:pPr>
            <w:r>
              <w:rPr>
                <w:rFonts w:hint="default" w:ascii="Times New Roman" w:hAnsi="Times New Roman" w:cs="Times New Roman"/>
                <w:color w:val="auto"/>
                <w:kern w:val="2"/>
                <w:sz w:val="24"/>
                <w:szCs w:val="24"/>
                <w:highlight w:val="none"/>
                <w:lang w:val="en-US" w:eastAsia="zh-CN"/>
              </w:rPr>
              <w:t>（1）</w:t>
            </w:r>
            <w:r>
              <w:rPr>
                <w:rFonts w:hint="default" w:ascii="Times New Roman" w:hAnsi="Times New Roman" w:eastAsia="宋体" w:cs="Times New Roman"/>
                <w:color w:val="auto"/>
                <w:kern w:val="2"/>
                <w:sz w:val="24"/>
                <w:szCs w:val="24"/>
                <w:highlight w:val="none"/>
              </w:rPr>
              <w:t>合理安排施工时间与布局：首先，</w:t>
            </w:r>
            <w:r>
              <w:rPr>
                <w:rFonts w:hint="eastAsia" w:ascii="Times New Roman" w:cs="Times New Roman"/>
                <w:color w:val="auto"/>
                <w:kern w:val="2"/>
                <w:sz w:val="24"/>
                <w:szCs w:val="24"/>
                <w:highlight w:val="none"/>
                <w:lang w:eastAsia="zh-CN"/>
              </w:rPr>
              <w:t>制定</w:t>
            </w:r>
            <w:r>
              <w:rPr>
                <w:rFonts w:hint="default" w:ascii="Times New Roman" w:hAnsi="Times New Roman" w:eastAsia="宋体" w:cs="Times New Roman"/>
                <w:color w:val="auto"/>
                <w:kern w:val="2"/>
                <w:sz w:val="24"/>
                <w:szCs w:val="24"/>
                <w:highlight w:val="none"/>
              </w:rPr>
              <w:t>施工计划时，应尽可能避免大量高噪声设备同时施工。除此之外，高噪声施工时间尽量安排在日间，减少夜间施工量，打桩机等禁止在夜间施工。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38" w:firstLineChars="141"/>
              <w:jc w:val="both"/>
              <w:textAlignment w:val="auto"/>
              <w:outlineLvl w:val="9"/>
              <w:rPr>
                <w:rFonts w:hint="default" w:ascii="Times New Roman" w:hAnsi="Times New Roman" w:eastAsia="宋体" w:cs="Times New Roman"/>
                <w:color w:val="auto"/>
                <w:kern w:val="2"/>
                <w:sz w:val="24"/>
                <w:szCs w:val="24"/>
                <w:highlight w:val="none"/>
              </w:rPr>
            </w:pPr>
            <w:r>
              <w:rPr>
                <w:rFonts w:hint="default" w:ascii="Times New Roman" w:hAnsi="Times New Roman" w:cs="Times New Roman"/>
                <w:color w:val="auto"/>
                <w:kern w:val="2"/>
                <w:sz w:val="24"/>
                <w:szCs w:val="24"/>
                <w:highlight w:val="none"/>
                <w:lang w:val="en-US" w:eastAsia="zh-CN"/>
              </w:rPr>
              <w:t>（2）</w:t>
            </w:r>
            <w:r>
              <w:rPr>
                <w:rFonts w:hint="default" w:ascii="Times New Roman" w:hAnsi="Times New Roman" w:eastAsia="宋体" w:cs="Times New Roman"/>
                <w:color w:val="auto"/>
                <w:kern w:val="2"/>
                <w:sz w:val="24"/>
                <w:szCs w:val="24"/>
                <w:highlight w:val="none"/>
              </w:rPr>
              <w:t>降低设备声级：设备选型上尽量采用低噪声设备，对动力机械设备进行定期的维修、养护、维修不良的设备常因构动部件的振动或消声器的损坏而增加其工作时声级；闲置不用的设备应立即关闭，运输车辆进入现场应减速，并禁止鸣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38" w:firstLineChars="141"/>
              <w:jc w:val="both"/>
              <w:textAlignment w:val="auto"/>
              <w:outlineLvl w:val="9"/>
              <w:rPr>
                <w:rFonts w:hint="default" w:ascii="Times New Roman" w:hAnsi="Times New Roman" w:eastAsia="宋体" w:cs="Times New Roman"/>
                <w:color w:val="auto"/>
                <w:kern w:val="2"/>
                <w:sz w:val="24"/>
                <w:szCs w:val="24"/>
                <w:highlight w:val="none"/>
              </w:rPr>
            </w:pPr>
            <w:r>
              <w:rPr>
                <w:rFonts w:hint="default" w:ascii="Times New Roman" w:hAnsi="Times New Roman" w:cs="Times New Roman"/>
                <w:color w:val="auto"/>
                <w:kern w:val="2"/>
                <w:sz w:val="24"/>
                <w:szCs w:val="24"/>
                <w:highlight w:val="none"/>
                <w:lang w:val="en-US" w:eastAsia="zh-CN"/>
              </w:rPr>
              <w:t>（3）</w:t>
            </w:r>
            <w:r>
              <w:rPr>
                <w:rFonts w:hint="default" w:ascii="Times New Roman" w:hAnsi="Times New Roman" w:eastAsia="宋体" w:cs="Times New Roman"/>
                <w:color w:val="auto"/>
                <w:kern w:val="2"/>
                <w:sz w:val="24"/>
                <w:szCs w:val="24"/>
                <w:highlight w:val="none"/>
              </w:rPr>
              <w:t>降低人为噪音：按规定操作机械设备，遵守作业规定，减少碰撞噪声；尽量少用哨子、钟、笛等指挥作业。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38" w:firstLineChars="141"/>
              <w:jc w:val="both"/>
              <w:textAlignment w:val="auto"/>
              <w:outlineLvl w:val="9"/>
              <w:rPr>
                <w:rFonts w:hint="default" w:ascii="Times New Roman" w:hAnsi="Times New Roman" w:eastAsia="宋体" w:cs="Times New Roman"/>
                <w:color w:val="auto"/>
                <w:kern w:val="2"/>
                <w:sz w:val="24"/>
                <w:szCs w:val="24"/>
                <w:highlight w:val="none"/>
              </w:rPr>
            </w:pPr>
            <w:r>
              <w:rPr>
                <w:rFonts w:hint="default" w:ascii="Times New Roman" w:hAnsi="Times New Roman" w:cs="Times New Roman"/>
                <w:color w:val="auto"/>
                <w:kern w:val="2"/>
                <w:sz w:val="24"/>
                <w:szCs w:val="24"/>
                <w:highlight w:val="none"/>
                <w:lang w:val="en-US" w:eastAsia="zh-CN"/>
              </w:rPr>
              <w:t>（4）</w:t>
            </w:r>
            <w:r>
              <w:rPr>
                <w:rFonts w:hint="default" w:ascii="Times New Roman" w:hAnsi="Times New Roman" w:eastAsia="宋体" w:cs="Times New Roman"/>
                <w:color w:val="auto"/>
                <w:kern w:val="2"/>
                <w:sz w:val="24"/>
                <w:szCs w:val="24"/>
                <w:highlight w:val="none"/>
              </w:rPr>
              <w:t>加强监督管理：加强管理是以上减噪措施有效实施的保证，同时，还应与周围单位、居民建立联系，对受施工干扰的单位和居民应在作业前予以通知，求得大家的共同理解。此外，施工期间应设热线投诉电话，接受噪音扰民投诉，并对投诉情况进行积极治理或严格地限制作业时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在采取如上措施后，经距离衰减和合理配置施工机械等，可以使施工期噪声得到有效控制，施工时段噪声对周围环境的影响较小。</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4、施工期固体废物防治措施</w:t>
            </w:r>
          </w:p>
          <w:p>
            <w:pPr>
              <w:pStyle w:val="2"/>
              <w:keepNext w:val="0"/>
              <w:keepLines w:val="0"/>
              <w:pageBreakBefore w:val="0"/>
              <w:widowControl w:val="0"/>
              <w:kinsoku/>
              <w:wordWrap/>
              <w:overflowPunct/>
              <w:topLinePunct w:val="0"/>
              <w:bidi w:val="0"/>
              <w:spacing w:line="360" w:lineRule="auto"/>
              <w:ind w:left="0" w:leftChars="0" w:right="0" w:rightChars="0" w:firstLine="480" w:firstLineChars="200"/>
              <w:textAlignment w:val="auto"/>
              <w:outlineLvl w:val="9"/>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bCs/>
                <w:color w:val="auto"/>
                <w:kern w:val="2"/>
                <w:sz w:val="24"/>
                <w:szCs w:val="24"/>
              </w:rPr>
              <w:t>本项目</w:t>
            </w:r>
            <w:r>
              <w:rPr>
                <w:rFonts w:hint="default" w:ascii="Times New Roman" w:hAnsi="Times New Roman" w:cs="Times New Roman"/>
                <w:bCs/>
                <w:color w:val="auto"/>
                <w:kern w:val="2"/>
                <w:sz w:val="24"/>
                <w:szCs w:val="24"/>
                <w:lang w:val="en-US" w:eastAsia="zh-CN"/>
              </w:rPr>
              <w:t>不进行</w:t>
            </w:r>
            <w:r>
              <w:rPr>
                <w:rFonts w:hint="default" w:ascii="Times New Roman" w:hAnsi="Times New Roman" w:eastAsia="宋体" w:cs="Times New Roman"/>
                <w:bCs/>
                <w:color w:val="auto"/>
                <w:kern w:val="2"/>
                <w:sz w:val="24"/>
                <w:szCs w:val="24"/>
              </w:rPr>
              <w:t>地基开挖</w:t>
            </w:r>
            <w:r>
              <w:rPr>
                <w:rFonts w:hint="default" w:ascii="Times New Roman" w:hAnsi="Times New Roman" w:cs="Times New Roman"/>
                <w:bCs/>
                <w:color w:val="auto"/>
                <w:kern w:val="2"/>
                <w:sz w:val="24"/>
                <w:szCs w:val="24"/>
                <w:lang w:val="en-US" w:eastAsia="zh-CN"/>
              </w:rPr>
              <w:t>等，</w:t>
            </w:r>
            <w:r>
              <w:rPr>
                <w:rFonts w:hint="default" w:ascii="Times New Roman" w:hAnsi="Times New Roman" w:eastAsia="宋体" w:cs="Times New Roman"/>
                <w:color w:val="auto"/>
                <w:kern w:val="2"/>
                <w:sz w:val="24"/>
                <w:szCs w:val="24"/>
                <w:highlight w:val="none"/>
                <w:lang w:val="en-US" w:eastAsia="zh-CN"/>
              </w:rPr>
              <w:t>施工期产生的固废主要为建筑垃圾和施工人员生活垃圾等。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对于建筑垃圾首先考虑废料的回收利用，对钢筋、钢板、木材等下角料可分类回收利用；不能回收利用的由建设单位外运至环卫部门指定地点，在外运过程中应适当洒水，并采用篷布遮盖，检验合格后方可上路。</w:t>
            </w:r>
            <w:r>
              <w:rPr>
                <w:rFonts w:hint="default" w:ascii="Times New Roman" w:hAnsi="Times New Roman" w:cs="Times New Roman"/>
                <w:color w:val="auto"/>
                <w:kern w:val="2"/>
                <w:sz w:val="24"/>
                <w:szCs w:val="24"/>
                <w:highlight w:val="none"/>
                <w:lang w:val="en-US" w:eastAsia="zh-CN"/>
              </w:rPr>
              <w:t>装修产生的废漆等危险废物，集中收集交由危废处置单位处置。</w:t>
            </w:r>
            <w:r>
              <w:rPr>
                <w:rFonts w:hint="default" w:ascii="Times New Roman" w:hAnsi="Times New Roman" w:eastAsia="宋体" w:cs="Times New Roman"/>
                <w:color w:val="auto"/>
                <w:kern w:val="2"/>
                <w:sz w:val="24"/>
                <w:szCs w:val="24"/>
                <w:highlight w:val="none"/>
                <w:lang w:val="en-US" w:eastAsia="zh-CN"/>
              </w:rPr>
              <w:t>生活垃圾集中收集，由企业运送到环卫部门指定地点。</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5</w:t>
            </w:r>
            <w:r>
              <w:rPr>
                <w:rFonts w:hint="default" w:ascii="Times New Roman" w:hAnsi="Times New Roman" w:eastAsia="宋体" w:cs="Times New Roman"/>
                <w:b/>
                <w:bCs/>
                <w:color w:val="auto"/>
                <w:kern w:val="2"/>
                <w:sz w:val="24"/>
                <w:szCs w:val="24"/>
                <w:highlight w:val="none"/>
                <w:lang w:val="en-US" w:eastAsia="zh-CN" w:bidi="ar-SA"/>
              </w:rPr>
              <w:t>、小结</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eastAsia="宋体" w:cs="Times New Roman"/>
                <w:color w:val="auto"/>
                <w:kern w:val="2"/>
                <w:sz w:val="24"/>
                <w:szCs w:val="24"/>
                <w:highlight w:val="none"/>
                <w:lang w:val="en-US" w:eastAsia="zh-CN" w:bidi="ar-SA"/>
              </w:rPr>
              <w:t>总之，尽管施工过程中采取多种措施，由于施工过程的诸多不确定性和短期性，施工过程仍将对周围环境产生一定的影响。但</w:t>
            </w:r>
            <w:r>
              <w:rPr>
                <w:rFonts w:hint="default" w:ascii="Times New Roman" w:hAnsi="Times New Roman" w:cs="Times New Roman"/>
                <w:color w:val="auto"/>
                <w:kern w:val="2"/>
                <w:sz w:val="24"/>
                <w:szCs w:val="24"/>
                <w:highlight w:val="none"/>
                <w:lang w:val="en-US" w:eastAsia="zh-CN" w:bidi="ar-SA"/>
              </w:rPr>
              <w:t>本项目</w:t>
            </w:r>
            <w:r>
              <w:rPr>
                <w:rFonts w:hint="default" w:ascii="Times New Roman" w:hAnsi="Times New Roman" w:eastAsia="宋体" w:cs="Times New Roman"/>
                <w:color w:val="auto"/>
                <w:kern w:val="2"/>
                <w:sz w:val="24"/>
                <w:szCs w:val="24"/>
                <w:highlight w:val="none"/>
                <w:lang w:val="en-US" w:eastAsia="zh-CN" w:bidi="ar-SA"/>
              </w:rPr>
              <w:t>施工期影响是短期的、可逆和局部的，影响范围和程度有限，待工程完成后，所有影响将逐渐消失，影响较小</w:t>
            </w:r>
            <w:r>
              <w:rPr>
                <w:rFonts w:hint="default" w:ascii="Times New Roman" w:hAnsi="Times New Roman" w:cs="Times New Roman"/>
                <w:color w:val="auto"/>
                <w:kern w:val="2"/>
                <w:sz w:val="24"/>
                <w:szCs w:val="24"/>
                <w:highlight w:val="none"/>
                <w:lang w:val="en-US" w:eastAsia="zh-CN" w:bidi="ar-SA"/>
              </w:rPr>
              <w:t>。</w:t>
            </w:r>
          </w:p>
          <w:p>
            <w:pPr>
              <w:rPr>
                <w:rFonts w:hint="default" w:ascii="Times New Roman" w:hAnsi="Times New Roman" w:cs="Times New Roman"/>
                <w:color w:val="auto"/>
                <w:lang w:eastAsia="zh-CN"/>
              </w:rPr>
            </w:pPr>
          </w:p>
          <w:p>
            <w:pPr>
              <w:rPr>
                <w:rFonts w:hint="default" w:ascii="Times New Roman" w:hAnsi="Times New Roman" w:cs="Times New Roman"/>
                <w:color w:val="auto"/>
                <w:lang w:eastAsia="zh-CN"/>
              </w:rPr>
            </w:pPr>
          </w:p>
          <w:p>
            <w:pPr>
              <w:rPr>
                <w:rFonts w:hint="default" w:ascii="Times New Roman" w:hAnsi="Times New Roman" w:cs="Times New Roman"/>
                <w:color w:val="auto"/>
                <w:lang w:eastAsia="zh-CN"/>
              </w:rPr>
            </w:pPr>
          </w:p>
          <w:p>
            <w:pPr>
              <w:rPr>
                <w:rFonts w:hint="default" w:ascii="Times New Roman" w:hAnsi="Times New Roman" w:cs="Times New Roman"/>
                <w:color w:val="auto"/>
                <w:lang w:eastAsia="zh-CN"/>
              </w:rPr>
            </w:pPr>
          </w:p>
          <w:p>
            <w:pPr>
              <w:rPr>
                <w:rFonts w:hint="default" w:ascii="Times New Roman" w:hAnsi="Times New Roman" w:cs="Times New Roman"/>
                <w:color w:val="auto"/>
                <w:lang w:eastAsia="zh-CN"/>
              </w:rPr>
            </w:pPr>
          </w:p>
          <w:p>
            <w:pPr>
              <w:rPr>
                <w:rFonts w:hint="default" w:ascii="Times New Roman" w:hAnsi="Times New Roman" w:cs="Times New Roman"/>
                <w:color w:val="auto"/>
                <w:lang w:eastAsia="zh-CN"/>
              </w:rPr>
            </w:pPr>
          </w:p>
          <w:p>
            <w:pPr>
              <w:rPr>
                <w:rFonts w:hint="default" w:ascii="Times New Roman" w:hAnsi="Times New Roman" w:cs="Times New Roman"/>
                <w:color w:val="auto"/>
                <w:lang w:eastAsia="zh-CN"/>
              </w:rPr>
            </w:pPr>
          </w:p>
          <w:p>
            <w:pPr>
              <w:rPr>
                <w:rFonts w:hint="default" w:ascii="Times New Roman" w:hAnsi="Times New Roman" w:cs="Times New Roman"/>
                <w:color w:val="auto"/>
                <w:lang w:eastAsia="zh-CN"/>
              </w:rPr>
            </w:pPr>
          </w:p>
          <w:p>
            <w:pPr>
              <w:rPr>
                <w:rFonts w:hint="default" w:ascii="Times New Roman" w:hAnsi="Times New Roman" w:cs="Times New Roman"/>
                <w:color w:val="auto"/>
                <w:lang w:eastAsia="zh-CN"/>
              </w:rPr>
            </w:pPr>
          </w:p>
          <w:p>
            <w:pPr>
              <w:rPr>
                <w:rFonts w:hint="default" w:ascii="Times New Roman" w:hAnsi="Times New Roman" w:cs="Times New Roman"/>
                <w:color w:val="auto"/>
                <w:lang w:eastAsia="zh-CN"/>
              </w:rPr>
            </w:pPr>
          </w:p>
          <w:p>
            <w:pPr>
              <w:rPr>
                <w:rFonts w:hint="default" w:ascii="Times New Roman" w:hAnsi="Times New Roman" w:cs="Times New Roman"/>
                <w:color w:val="auto"/>
                <w:lang w:eastAsia="zh-CN"/>
              </w:rPr>
            </w:pPr>
          </w:p>
          <w:p>
            <w:pPr>
              <w:rPr>
                <w:rFonts w:hint="default" w:ascii="Times New Roman" w:hAnsi="Times New Roman" w:cs="Times New Roman"/>
                <w:color w:val="auto"/>
                <w:lang w:eastAsia="zh-CN"/>
              </w:rPr>
            </w:pPr>
          </w:p>
          <w:p>
            <w:pPr>
              <w:rPr>
                <w:rFonts w:hint="default" w:ascii="Times New Roman" w:hAnsi="Times New Roman" w:cs="Times New Roman"/>
                <w:color w:val="auto"/>
                <w:lang w:eastAsia="zh-CN"/>
              </w:rPr>
            </w:pPr>
          </w:p>
          <w:p>
            <w:pPr>
              <w:rPr>
                <w:rFonts w:hint="default" w:ascii="Times New Roman" w:hAnsi="Times New Roman" w:cs="Times New Roman"/>
                <w:color w:val="auto"/>
                <w:lang w:eastAsia="zh-CN"/>
              </w:rPr>
            </w:pPr>
          </w:p>
          <w:p>
            <w:pPr>
              <w:rPr>
                <w:rFonts w:hint="default" w:ascii="Times New Roman" w:hAnsi="Times New Roman" w:cs="Times New Roman"/>
                <w:color w:val="auto"/>
                <w:lang w:eastAsia="zh-CN"/>
              </w:rPr>
            </w:pPr>
          </w:p>
          <w:p>
            <w:pPr>
              <w:rPr>
                <w:rFonts w:hint="default" w:ascii="Times New Roman" w:hAnsi="Times New Roman" w:cs="Times New Roman"/>
                <w:color w:val="auto"/>
                <w:lang w:eastAsia="zh-CN"/>
              </w:rPr>
            </w:pPr>
          </w:p>
          <w:p>
            <w:pPr>
              <w:rPr>
                <w:rFonts w:hint="default" w:ascii="Times New Roman" w:hAnsi="Times New Roman" w:cs="Times New Roman"/>
                <w:color w:val="auto"/>
                <w:lang w:eastAsia="zh-CN"/>
              </w:rPr>
            </w:pPr>
          </w:p>
          <w:p>
            <w:pPr>
              <w:rPr>
                <w:rFonts w:hint="default" w:ascii="Times New Roman" w:hAnsi="Times New Roman" w:cs="Times New Roman"/>
                <w:color w:val="auto"/>
                <w:lang w:eastAsia="zh-CN"/>
              </w:rPr>
            </w:pPr>
          </w:p>
          <w:p>
            <w:pPr>
              <w:rPr>
                <w:rFonts w:hint="default" w:ascii="Times New Roman" w:hAnsi="Times New Roman" w:cs="Times New Roman"/>
                <w:color w:val="auto"/>
                <w:lang w:eastAsia="zh-CN"/>
              </w:rPr>
            </w:pPr>
          </w:p>
          <w:p>
            <w:pPr>
              <w:rPr>
                <w:rFonts w:hint="default" w:ascii="Times New Roman" w:hAnsi="Times New Roman" w:cs="Times New Roman"/>
                <w:color w:val="auto"/>
                <w:lang w:eastAsia="zh-CN"/>
              </w:rPr>
            </w:pPr>
          </w:p>
          <w:p>
            <w:pPr>
              <w:rPr>
                <w:rFonts w:hint="default" w:ascii="Times New Roman" w:hAnsi="Times New Roman" w:cs="Times New Roman"/>
                <w:color w:val="auto"/>
                <w:lang w:eastAsia="zh-CN"/>
              </w:rPr>
            </w:pPr>
          </w:p>
          <w:p>
            <w:pPr>
              <w:rPr>
                <w:rFonts w:hint="default" w:ascii="Times New Roman" w:hAnsi="Times New Roman" w:cs="Times New Roman"/>
                <w:color w:val="auto"/>
                <w:lang w:eastAsia="zh-CN"/>
              </w:rPr>
            </w:pPr>
          </w:p>
          <w:p>
            <w:pPr>
              <w:rPr>
                <w:rFonts w:hint="default" w:ascii="Times New Roman" w:hAnsi="Times New Roman" w:eastAsia="宋体" w:cs="Times New Roman"/>
                <w:color w:val="auto"/>
                <w:lang w:eastAsia="zh-CN"/>
              </w:rPr>
            </w:pPr>
          </w:p>
        </w:tc>
      </w:tr>
    </w:tbl>
    <w:p>
      <w:pPr>
        <w:pStyle w:val="33"/>
        <w:jc w:val="center"/>
        <w:outlineLvl w:val="0"/>
        <w:rPr>
          <w:rFonts w:hint="default" w:ascii="Times New Roman" w:hAnsi="Times New Roman" w:eastAsia="黑体" w:cs="Times New Roman"/>
          <w:snapToGrid w:val="0"/>
          <w:color w:val="auto"/>
          <w:sz w:val="30"/>
          <w:szCs w:val="30"/>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8"/>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89"/>
        <w:gridCol w:w="83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30" w:hRule="atLeast"/>
          <w:jc w:val="center"/>
        </w:trPr>
        <w:tc>
          <w:tcPr>
            <w:tcW w:w="706" w:type="dxa"/>
            <w:tcMar>
              <w:left w:w="28" w:type="dxa"/>
              <w:right w:w="28" w:type="dxa"/>
            </w:tcMar>
            <w:vAlign w:val="center"/>
          </w:tcPr>
          <w:p>
            <w:pPr>
              <w:adjustRightInd w:val="0"/>
              <w:snapToGrid w:val="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运营</w:t>
            </w:r>
          </w:p>
          <w:p>
            <w:pPr>
              <w:adjustRightInd w:val="0"/>
              <w:snapToGrid w:val="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期环</w:t>
            </w:r>
          </w:p>
          <w:p>
            <w:pPr>
              <w:adjustRightInd w:val="0"/>
              <w:snapToGrid w:val="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境影</w:t>
            </w:r>
          </w:p>
          <w:p>
            <w:pPr>
              <w:adjustRightInd w:val="0"/>
              <w:snapToGrid w:val="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响和</w:t>
            </w:r>
          </w:p>
          <w:p>
            <w:pPr>
              <w:adjustRightInd w:val="0"/>
              <w:snapToGrid w:val="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保护</w:t>
            </w:r>
          </w:p>
          <w:p>
            <w:pPr>
              <w:pStyle w:val="33"/>
              <w:adjustRightInd w:val="0"/>
              <w:snapToGrid w:val="0"/>
              <w:spacing w:before="0" w:beforeAutospacing="0" w:after="0" w:afterAutospacing="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bCs/>
                <w:color w:val="auto"/>
                <w:sz w:val="21"/>
                <w:szCs w:val="21"/>
                <w:highlight w:val="none"/>
              </w:rPr>
              <w:t>措施</w:t>
            </w:r>
          </w:p>
        </w:tc>
        <w:tc>
          <w:tcPr>
            <w:tcW w:w="8275" w:type="dxa"/>
            <w:vAlign w:val="center"/>
          </w:tcPr>
          <w:p>
            <w:pPr>
              <w:adjustRightInd w:val="0"/>
              <w:snapToGrid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一、</w:t>
            </w:r>
            <w:r>
              <w:rPr>
                <w:rFonts w:hint="default" w:ascii="Times New Roman" w:hAnsi="Times New Roman" w:cs="Times New Roman"/>
                <w:b/>
                <w:color w:val="auto"/>
                <w:sz w:val="24"/>
              </w:rPr>
              <w:t>大气环境影响和保护措施</w:t>
            </w:r>
          </w:p>
          <w:p>
            <w:pPr>
              <w:keepNext w:val="0"/>
              <w:keepLines w:val="0"/>
              <w:pageBreakBefore w:val="0"/>
              <w:kinsoku/>
              <w:wordWrap/>
              <w:overflowPunct/>
              <w:topLinePunct w:val="0"/>
              <w:bidi w:val="0"/>
              <w:spacing w:line="360" w:lineRule="auto"/>
              <w:ind w:right="0" w:rightChars="0"/>
              <w:textAlignment w:val="auto"/>
              <w:outlineLvl w:val="9"/>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highlight w:val="none"/>
                <w:lang w:val="en-US" w:eastAsia="zh-CN"/>
              </w:rPr>
              <w:t>1.1污染源强</w:t>
            </w:r>
            <w:r>
              <w:rPr>
                <w:rFonts w:hint="default" w:ascii="Times New Roman" w:hAnsi="Times New Roman" w:cs="Times New Roman"/>
                <w:b/>
                <w:bCs/>
                <w:color w:val="auto"/>
                <w:sz w:val="24"/>
                <w:lang w:val="en-US" w:eastAsia="zh-CN"/>
              </w:rPr>
              <w:t>核算</w:t>
            </w:r>
          </w:p>
          <w:p>
            <w:pPr>
              <w:widowControl/>
              <w:numPr>
                <w:ilvl w:val="0"/>
                <w:numId w:val="0"/>
              </w:numPr>
              <w:snapToGrid w:val="0"/>
              <w:spacing w:line="360" w:lineRule="auto"/>
              <w:rPr>
                <w:rFonts w:hint="default" w:ascii="Times New Roman" w:hAnsi="Times New Roman" w:eastAsia="宋体" w:cs="Times New Roman"/>
                <w:b/>
                <w:bCs/>
                <w:kern w:val="0"/>
                <w:sz w:val="24"/>
                <w:szCs w:val="24"/>
                <w:highlight w:val="none"/>
                <w:lang w:val="en-US" w:eastAsia="zh-CN"/>
              </w:rPr>
            </w:pPr>
            <w:r>
              <w:rPr>
                <w:rFonts w:hint="default" w:ascii="Times New Roman" w:hAnsi="Times New Roman" w:eastAsia="宋体" w:cs="Times New Roman"/>
                <w:b/>
                <w:bCs/>
                <w:kern w:val="0"/>
                <w:sz w:val="24"/>
                <w:szCs w:val="24"/>
                <w:lang w:val="en-US" w:eastAsia="zh-CN" w:bidi="ar-SA"/>
              </w:rPr>
              <w:t>（1）</w:t>
            </w:r>
            <w:r>
              <w:rPr>
                <w:rFonts w:hint="default" w:ascii="Times New Roman" w:hAnsi="Times New Roman" w:eastAsia="宋体" w:cs="Times New Roman"/>
                <w:b/>
                <w:bCs/>
                <w:kern w:val="0"/>
                <w:sz w:val="24"/>
                <w:szCs w:val="24"/>
                <w:highlight w:val="none"/>
                <w:lang w:val="en-US" w:eastAsia="zh-CN"/>
              </w:rPr>
              <w:t>生物质蒸汽锅炉</w:t>
            </w:r>
            <w:r>
              <w:rPr>
                <w:rFonts w:hint="default" w:ascii="Times New Roman" w:hAnsi="Times New Roman" w:cs="Times New Roman"/>
                <w:b/>
                <w:bCs/>
                <w:kern w:val="0"/>
                <w:sz w:val="24"/>
                <w:szCs w:val="24"/>
                <w:highlight w:val="none"/>
                <w:lang w:val="en-US" w:eastAsia="zh-CN"/>
              </w:rPr>
              <w:t>源强计算</w:t>
            </w:r>
          </w:p>
          <w:p>
            <w:pPr>
              <w:keepNext w:val="0"/>
              <w:keepLines w:val="0"/>
              <w:pageBreakBefore w:val="0"/>
              <w:widowControl w:val="0"/>
              <w:kinsoku/>
              <w:wordWrap/>
              <w:overflowPunct/>
              <w:topLinePunct w:val="0"/>
              <w:autoSpaceDE w:val="0"/>
              <w:autoSpaceDN w:val="0"/>
              <w:bidi w:val="0"/>
              <w:adjustRightIn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本项目设1台2.5t/h生物质锅炉，生物质颗粒燃料的发热量按</w:t>
            </w:r>
            <w:r>
              <w:rPr>
                <w:rFonts w:hint="eastAsia" w:ascii="Times New Roman" w:cs="Times New Roman"/>
                <w:color w:val="000000" w:themeColor="text1"/>
                <w:kern w:val="2"/>
                <w:sz w:val="24"/>
                <w:szCs w:val="24"/>
                <w:highlight w:val="none"/>
                <w:lang w:val="en-US" w:eastAsia="zh-CN" w:bidi="ar-SA"/>
                <w14:textFill>
                  <w14:solidFill>
                    <w14:schemeClr w14:val="tx1"/>
                  </w14:solidFill>
                </w14:textFill>
              </w:rPr>
              <w:t>16.74</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MJ/kg计算，锅炉热效率80%，则生物质锅炉燃料消耗量=2.5×0.7×3600×1000/（</w:t>
            </w:r>
            <w:r>
              <w:rPr>
                <w:rFonts w:hint="eastAsia" w:ascii="Times New Roman" w:cs="Times New Roman"/>
                <w:color w:val="000000" w:themeColor="text1"/>
                <w:kern w:val="2"/>
                <w:sz w:val="24"/>
                <w:szCs w:val="24"/>
                <w:highlight w:val="none"/>
                <w:lang w:val="en-US" w:eastAsia="zh-CN" w:bidi="ar-SA"/>
                <w14:textFill>
                  <w14:solidFill>
                    <w14:schemeClr w14:val="tx1"/>
                  </w14:solidFill>
                </w14:textFill>
              </w:rPr>
              <w:t>16.74</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×1000×80%）=</w:t>
            </w:r>
            <w:r>
              <w:rPr>
                <w:rFonts w:hint="eastAsia" w:ascii="Times New Roman" w:cs="Times New Roman"/>
                <w:color w:val="000000" w:themeColor="text1"/>
                <w:kern w:val="2"/>
                <w:sz w:val="24"/>
                <w:szCs w:val="24"/>
                <w:highlight w:val="none"/>
                <w:lang w:val="en-US" w:eastAsia="zh-CN" w:bidi="ar-SA"/>
                <w14:textFill>
                  <w14:solidFill>
                    <w14:schemeClr w14:val="tx1"/>
                  </w14:solidFill>
                </w14:textFill>
              </w:rPr>
              <w:t>470.4</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kg/h。锅炉年运行360天，每天8小时，则本项目生物质燃料的年消耗量为1354.8 t/a。</w:t>
            </w:r>
          </w:p>
          <w:p>
            <w:pPr>
              <w:widowControl/>
              <w:numPr>
                <w:ilvl w:val="0"/>
                <w:numId w:val="0"/>
              </w:numPr>
              <w:snapToGrid w:val="0"/>
              <w:spacing w:line="360" w:lineRule="auto"/>
              <w:rPr>
                <w:rFonts w:hint="default" w:ascii="Times New Roman" w:hAnsi="Times New Roman" w:eastAsia="宋体" w:cs="Times New Roman"/>
                <w:b/>
                <w:bCs/>
                <w:kern w:val="0"/>
                <w:sz w:val="24"/>
                <w:szCs w:val="24"/>
                <w:highlight w:val="none"/>
                <w:lang w:val="en-US" w:eastAsia="zh-CN"/>
              </w:rPr>
            </w:pPr>
            <w:r>
              <w:rPr>
                <w:rFonts w:hint="default" w:ascii="Times New Roman" w:hAnsi="Times New Roman" w:cs="Times New Roman"/>
                <w:b/>
                <w:bCs/>
                <w:kern w:val="0"/>
                <w:sz w:val="24"/>
                <w:szCs w:val="24"/>
                <w:lang w:val="en-US" w:eastAsia="zh-CN" w:bidi="ar-SA"/>
              </w:rPr>
              <w:t xml:space="preserve">    ①</w:t>
            </w:r>
            <w:r>
              <w:rPr>
                <w:rFonts w:hint="default" w:ascii="Times New Roman" w:hAnsi="Times New Roman" w:eastAsia="宋体" w:cs="Times New Roman"/>
                <w:b/>
                <w:bCs/>
                <w:kern w:val="0"/>
                <w:sz w:val="24"/>
                <w:szCs w:val="24"/>
                <w:highlight w:val="none"/>
                <w:lang w:val="en-US" w:eastAsia="zh-CN"/>
              </w:rPr>
              <w:t>生物质蒸汽锅炉</w:t>
            </w:r>
            <w:r>
              <w:rPr>
                <w:rFonts w:hint="default" w:ascii="Times New Roman" w:hAnsi="Times New Roman" w:cs="Times New Roman"/>
                <w:b/>
                <w:bCs/>
                <w:kern w:val="0"/>
                <w:sz w:val="24"/>
                <w:szCs w:val="24"/>
                <w:highlight w:val="none"/>
                <w:lang w:val="en-US" w:eastAsia="zh-CN"/>
              </w:rPr>
              <w:t>烟气量计算</w:t>
            </w:r>
          </w:p>
          <w:p>
            <w:pPr>
              <w:keepNext w:val="0"/>
              <w:keepLines w:val="0"/>
              <w:pageBreakBefore w:val="0"/>
              <w:widowControl w:val="0"/>
              <w:kinsoku/>
              <w:wordWrap/>
              <w:overflowPunct/>
              <w:topLinePunct w:val="0"/>
              <w:autoSpaceDE w:val="0"/>
              <w:autoSpaceDN w:val="0"/>
              <w:bidi w:val="0"/>
              <w:adjustRightIn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根据《排污许可证申请与核发技术规范</w:t>
            </w:r>
            <w:r>
              <w:rPr>
                <w:rFonts w:hint="default" w:ascii="Times New Roman" w:hAnsi="Times New Roman" w:cs="Times New Roman"/>
                <w:color w:val="auto"/>
                <w:kern w:val="2"/>
                <w:sz w:val="24"/>
                <w:szCs w:val="24"/>
                <w:highlight w:val="none"/>
                <w:lang w:val="en-US" w:eastAsia="zh-CN" w:bidi="ar-SA"/>
              </w:rPr>
              <w:t xml:space="preserve">  </w:t>
            </w:r>
            <w:r>
              <w:rPr>
                <w:rFonts w:hint="default" w:ascii="Times New Roman" w:hAnsi="Times New Roman" w:eastAsia="宋体" w:cs="Times New Roman"/>
                <w:color w:val="auto"/>
                <w:kern w:val="2"/>
                <w:sz w:val="24"/>
                <w:szCs w:val="24"/>
                <w:highlight w:val="none"/>
                <w:lang w:val="en-US" w:eastAsia="zh-CN" w:bidi="ar-SA"/>
              </w:rPr>
              <w:t>锅炉》（HJ953-2018）表5，本项目生物质成型燃料收到基低位发热量为</w:t>
            </w:r>
            <w:r>
              <w:rPr>
                <w:rFonts w:hint="eastAsia" w:ascii="Times New Roman" w:cs="Times New Roman"/>
                <w:color w:val="000000" w:themeColor="text1"/>
                <w:kern w:val="2"/>
                <w:sz w:val="24"/>
                <w:szCs w:val="24"/>
                <w:highlight w:val="none"/>
                <w:lang w:val="en-US" w:eastAsia="zh-CN" w:bidi="ar-SA"/>
                <w14:textFill>
                  <w14:solidFill>
                    <w14:schemeClr w14:val="tx1"/>
                  </w14:solidFill>
                </w14:textFill>
              </w:rPr>
              <w:t>16.74</w:t>
            </w:r>
            <w:r>
              <w:rPr>
                <w:rFonts w:hint="default" w:ascii="Times New Roman" w:hAnsi="Times New Roman" w:eastAsia="宋体" w:cs="Times New Roman"/>
                <w:color w:val="auto"/>
                <w:kern w:val="2"/>
                <w:sz w:val="24"/>
                <w:szCs w:val="24"/>
                <w:highlight w:val="none"/>
                <w:lang w:val="en-US" w:eastAsia="zh-CN" w:bidi="ar-SA"/>
              </w:rPr>
              <w:t>MJ/kg，干燥无灰基挥发分</w:t>
            </w:r>
            <w:r>
              <w:rPr>
                <w:rFonts w:hint="default" w:ascii="Times New Roman" w:hAnsi="Times New Roman" w:cs="Times New Roman"/>
                <w:color w:val="auto"/>
                <w:kern w:val="2"/>
                <w:sz w:val="24"/>
                <w:szCs w:val="24"/>
                <w:highlight w:val="none"/>
                <w:lang w:val="en-US" w:eastAsia="zh-CN" w:bidi="ar-SA"/>
              </w:rPr>
              <w:t>≥</w:t>
            </w:r>
            <w:r>
              <w:rPr>
                <w:rFonts w:hint="eastAsia" w:ascii="Times New Roman" w:cs="Times New Roman"/>
                <w:color w:val="auto"/>
                <w:kern w:val="2"/>
                <w:sz w:val="24"/>
                <w:szCs w:val="24"/>
                <w:highlight w:val="none"/>
                <w:lang w:val="en-US" w:eastAsia="zh-CN" w:bidi="ar-SA"/>
              </w:rPr>
              <w:t>15</w:t>
            </w:r>
            <w:r>
              <w:rPr>
                <w:rFonts w:hint="default" w:ascii="Times New Roman" w:hAnsi="Times New Roman" w:eastAsia="宋体" w:cs="Times New Roman"/>
                <w:color w:val="auto"/>
                <w:kern w:val="2"/>
                <w:sz w:val="24"/>
                <w:szCs w:val="24"/>
                <w:highlight w:val="none"/>
                <w:lang w:val="en-US" w:eastAsia="zh-CN" w:bidi="ar-SA"/>
              </w:rPr>
              <w:t>%，则基准烟气量计算公式为：Vgy=0.393Qnet,ar+0.876</w:t>
            </w:r>
          </w:p>
          <w:p>
            <w:pPr>
              <w:keepNext w:val="0"/>
              <w:keepLines w:val="0"/>
              <w:pageBreakBefore w:val="0"/>
              <w:widowControl w:val="0"/>
              <w:kinsoku/>
              <w:wordWrap/>
              <w:overflowPunct/>
              <w:topLinePunct w:val="0"/>
              <w:autoSpaceDE w:val="0"/>
              <w:autoSpaceDN w:val="0"/>
              <w:bidi w:val="0"/>
              <w:adjustRightInd w:val="0"/>
              <w:spacing w:line="360" w:lineRule="auto"/>
              <w:ind w:left="0" w:leftChars="0" w:right="0" w:rightChars="0" w:firstLine="1440" w:firstLineChars="6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Vgy=0.393×</w:t>
            </w:r>
            <w:r>
              <w:rPr>
                <w:rFonts w:hint="eastAsia" w:ascii="Times New Roman" w:cs="Times New Roman"/>
                <w:color w:val="auto"/>
                <w:kern w:val="2"/>
                <w:sz w:val="24"/>
                <w:szCs w:val="24"/>
                <w:highlight w:val="none"/>
                <w:lang w:val="en-US" w:eastAsia="zh-CN" w:bidi="ar-SA"/>
              </w:rPr>
              <w:t>16.74</w:t>
            </w:r>
            <w:r>
              <w:rPr>
                <w:rFonts w:hint="default" w:ascii="Times New Roman" w:hAnsi="Times New Roman" w:eastAsia="宋体" w:cs="Times New Roman"/>
                <w:color w:val="auto"/>
                <w:kern w:val="2"/>
                <w:sz w:val="24"/>
                <w:szCs w:val="24"/>
                <w:highlight w:val="none"/>
                <w:lang w:val="en-US" w:eastAsia="zh-CN" w:bidi="ar-SA"/>
              </w:rPr>
              <w:t>+0.876=</w:t>
            </w:r>
            <w:r>
              <w:rPr>
                <w:rFonts w:hint="eastAsia" w:ascii="Times New Roman" w:cs="Times New Roman"/>
                <w:color w:val="auto"/>
                <w:kern w:val="2"/>
                <w:sz w:val="24"/>
                <w:szCs w:val="24"/>
                <w:highlight w:val="none"/>
                <w:lang w:val="en-US" w:eastAsia="zh-CN" w:bidi="ar-SA"/>
              </w:rPr>
              <w:t>7.45</w:t>
            </w:r>
            <w:r>
              <w:rPr>
                <w:rFonts w:hint="default" w:ascii="Times New Roman" w:hAnsi="Times New Roman" w:eastAsia="宋体" w:cs="Times New Roman"/>
                <w:color w:val="auto"/>
                <w:kern w:val="2"/>
                <w:sz w:val="24"/>
                <w:szCs w:val="24"/>
                <w:highlight w:val="none"/>
                <w:lang w:val="en-US" w:eastAsia="zh-CN" w:bidi="ar-SA"/>
              </w:rPr>
              <w:t>Nm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/kg燃料。</w:t>
            </w:r>
          </w:p>
          <w:p>
            <w:pPr>
              <w:keepNext w:val="0"/>
              <w:keepLines w:val="0"/>
              <w:pageBreakBefore w:val="0"/>
              <w:widowControl w:val="0"/>
              <w:kinsoku/>
              <w:wordWrap/>
              <w:overflowPunct/>
              <w:topLinePunct w:val="0"/>
              <w:autoSpaceDE w:val="0"/>
              <w:autoSpaceDN w:val="0"/>
              <w:bidi w:val="0"/>
              <w:adjustRightIn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计算得到生物质锅炉烟气量为</w:t>
            </w:r>
            <w:r>
              <w:rPr>
                <w:rFonts w:hint="default" w:ascii="Times New Roman" w:hAnsi="Times New Roman" w:cs="Times New Roman"/>
                <w:color w:val="auto"/>
                <w:kern w:val="2"/>
                <w:sz w:val="24"/>
                <w:szCs w:val="24"/>
                <w:highlight w:val="none"/>
                <w:lang w:val="en-US" w:eastAsia="zh-CN" w:bidi="ar-SA"/>
              </w:rPr>
              <w:t xml:space="preserve">3506.97 </w:t>
            </w:r>
            <w:r>
              <w:rPr>
                <w:rFonts w:hint="default" w:ascii="Times New Roman" w:hAnsi="Times New Roman" w:eastAsia="宋体" w:cs="Times New Roman"/>
                <w:color w:val="auto"/>
                <w:kern w:val="2"/>
                <w:sz w:val="24"/>
                <w:szCs w:val="24"/>
                <w:highlight w:val="none"/>
                <w:lang w:val="en-US" w:eastAsia="zh-CN" w:bidi="ar-SA"/>
              </w:rPr>
              <w:t>Nm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/h。</w:t>
            </w:r>
          </w:p>
          <w:p>
            <w:pPr>
              <w:keepNext w:val="0"/>
              <w:keepLines w:val="0"/>
              <w:pageBreakBefore w:val="0"/>
              <w:widowControl w:val="0"/>
              <w:kinsoku/>
              <w:wordWrap/>
              <w:overflowPunct/>
              <w:topLinePunct w:val="0"/>
              <w:autoSpaceDE w:val="0"/>
              <w:autoSpaceDN w:val="0"/>
              <w:bidi w:val="0"/>
              <w:adjustRightInd w:val="0"/>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②</w:t>
            </w:r>
            <w:r>
              <w:rPr>
                <w:rFonts w:hint="default" w:ascii="Times New Roman" w:hAnsi="Times New Roman" w:eastAsia="宋体" w:cs="Times New Roman"/>
                <w:b/>
                <w:bCs/>
                <w:color w:val="auto"/>
                <w:kern w:val="2"/>
                <w:sz w:val="24"/>
                <w:szCs w:val="24"/>
                <w:highlight w:val="none"/>
                <w:lang w:val="en-US" w:eastAsia="zh-CN" w:bidi="ar-SA"/>
              </w:rPr>
              <w:t>颗粒物的产排量计算</w:t>
            </w:r>
          </w:p>
          <w:p>
            <w:pPr>
              <w:keepNext w:val="0"/>
              <w:keepLines w:val="0"/>
              <w:pageBreakBefore w:val="0"/>
              <w:widowControl w:val="0"/>
              <w:kinsoku/>
              <w:wordWrap/>
              <w:overflowPunct/>
              <w:topLinePunct w:val="0"/>
              <w:autoSpaceDE w:val="0"/>
              <w:autoSpaceDN w:val="0"/>
              <w:bidi w:val="0"/>
              <w:adjustRightIn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根据《排污许可证申请与核发技术规范  锅炉》（HJ953-2018），燃生物质成型燃料工业锅炉颗粒物的产污系数为0.5千克/吨-燃料，计算得到颗粒物产生量为0.677 t/a，产生浓度为</w:t>
            </w:r>
            <w:r>
              <w:rPr>
                <w:rFonts w:hint="default" w:ascii="Times New Roman" w:hAnsi="Times New Roman" w:cs="Times New Roman"/>
                <w:color w:val="auto"/>
                <w:kern w:val="2"/>
                <w:sz w:val="24"/>
                <w:szCs w:val="24"/>
                <w:highlight w:val="none"/>
                <w:lang w:val="en-US" w:eastAsia="zh-CN" w:bidi="ar-SA"/>
              </w:rPr>
              <w:t xml:space="preserve">67.07 </w:t>
            </w:r>
            <w:r>
              <w:rPr>
                <w:rFonts w:hint="default" w:ascii="Times New Roman" w:hAnsi="Times New Roman" w:eastAsia="宋体" w:cs="Times New Roman"/>
                <w:color w:val="auto"/>
                <w:kern w:val="2"/>
                <w:sz w:val="24"/>
                <w:szCs w:val="24"/>
                <w:highlight w:val="none"/>
                <w:lang w:val="en-US" w:eastAsia="zh-CN" w:bidi="ar-SA"/>
              </w:rPr>
              <w:t>mg/m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val="0"/>
              <w:autoSpaceDN w:val="0"/>
              <w:bidi w:val="0"/>
              <w:adjustRightIn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本项目生物质锅炉配套</w:t>
            </w:r>
            <w:r>
              <w:rPr>
                <w:rFonts w:hint="default" w:ascii="Times New Roman" w:hAnsi="Times New Roman" w:cs="Times New Roman"/>
                <w:color w:val="auto"/>
                <w:kern w:val="2"/>
                <w:sz w:val="24"/>
                <w:szCs w:val="24"/>
                <w:highlight w:val="none"/>
                <w:lang w:val="en-US" w:eastAsia="zh-CN" w:bidi="ar-SA"/>
              </w:rPr>
              <w:t>旋风</w:t>
            </w:r>
            <w:r>
              <w:rPr>
                <w:rFonts w:hint="default" w:ascii="Times New Roman" w:hAnsi="Times New Roman" w:eastAsia="宋体" w:cs="Times New Roman"/>
                <w:color w:val="auto"/>
                <w:kern w:val="2"/>
                <w:sz w:val="24"/>
                <w:szCs w:val="24"/>
                <w:highlight w:val="none"/>
                <w:lang w:val="en-US" w:eastAsia="zh-CN" w:bidi="ar-SA"/>
              </w:rPr>
              <w:t>除尘+布袋除尘器，其中配套布袋除尘器设计工况除尘风量</w:t>
            </w:r>
            <w:r>
              <w:rPr>
                <w:rFonts w:hint="default" w:ascii="Times New Roman" w:hAnsi="Times New Roman" w:eastAsia="TimesNewRomanPSMT" w:cs="Times New Roman"/>
                <w:color w:val="auto"/>
                <w:kern w:val="2"/>
                <w:sz w:val="24"/>
                <w:szCs w:val="24"/>
                <w:highlight w:val="none"/>
                <w:lang w:val="en-US" w:eastAsia="zh-CN" w:bidi="ar-SA"/>
              </w:rPr>
              <w:t>5000m</w:t>
            </w:r>
            <w:r>
              <w:rPr>
                <w:rFonts w:hint="default" w:ascii="Times New Roman" w:hAnsi="Times New Roman" w:eastAsia="TimesNewRomanPSMT" w:cs="Times New Roman"/>
                <w:color w:val="auto"/>
                <w:kern w:val="2"/>
                <w:sz w:val="24"/>
                <w:szCs w:val="24"/>
                <w:highlight w:val="none"/>
                <w:vertAlign w:val="superscript"/>
                <w:lang w:val="en-US" w:eastAsia="zh-CN" w:bidi="ar-SA"/>
              </w:rPr>
              <w:t>3</w:t>
            </w:r>
            <w:r>
              <w:rPr>
                <w:rFonts w:hint="default" w:ascii="Times New Roman" w:hAnsi="Times New Roman" w:eastAsia="TimesNewRomanPSMT" w:cs="Times New Roman"/>
                <w:color w:val="auto"/>
                <w:kern w:val="2"/>
                <w:sz w:val="24"/>
                <w:szCs w:val="24"/>
                <w:highlight w:val="none"/>
                <w:lang w:val="en-US" w:eastAsia="zh-CN" w:bidi="ar-SA"/>
              </w:rPr>
              <w:t>/h</w:t>
            </w:r>
            <w:r>
              <w:rPr>
                <w:rFonts w:hint="default" w:ascii="Times New Roman" w:hAnsi="Times New Roman" w:eastAsia="宋体" w:cs="Times New Roman"/>
                <w:color w:val="auto"/>
                <w:kern w:val="2"/>
                <w:sz w:val="24"/>
                <w:szCs w:val="24"/>
                <w:highlight w:val="none"/>
                <w:lang w:val="en-US" w:eastAsia="zh-CN" w:bidi="ar-SA"/>
              </w:rPr>
              <w:t>，过滤面积</w:t>
            </w:r>
            <w:r>
              <w:rPr>
                <w:rFonts w:hint="default" w:ascii="Times New Roman" w:hAnsi="Times New Roman" w:eastAsia="TimesNewRomanPSMT" w:cs="Times New Roman"/>
                <w:color w:val="auto"/>
                <w:kern w:val="2"/>
                <w:sz w:val="24"/>
                <w:szCs w:val="24"/>
                <w:highlight w:val="none"/>
                <w:lang w:val="en-US" w:eastAsia="zh-CN" w:bidi="ar-SA"/>
              </w:rPr>
              <w:t>138m</w:t>
            </w:r>
            <w:r>
              <w:rPr>
                <w:rFonts w:hint="default" w:ascii="Times New Roman" w:hAnsi="Times New Roman" w:eastAsia="TimesNewRomanPSMT"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，过滤风速</w:t>
            </w:r>
            <w:r>
              <w:rPr>
                <w:rFonts w:hint="default" w:ascii="Times New Roman" w:hAnsi="Times New Roman" w:eastAsia="TimesNewRomanPSMT" w:cs="Times New Roman"/>
                <w:color w:val="auto"/>
                <w:kern w:val="2"/>
                <w:sz w:val="24"/>
                <w:szCs w:val="24"/>
                <w:highlight w:val="none"/>
                <w:lang w:val="en-US" w:eastAsia="zh-CN" w:bidi="ar-SA"/>
              </w:rPr>
              <w:t>0.6m/min</w:t>
            </w:r>
            <w:r>
              <w:rPr>
                <w:rFonts w:hint="default" w:ascii="Times New Roman" w:hAnsi="Times New Roman" w:eastAsia="宋体" w:cs="Times New Roman"/>
                <w:color w:val="auto"/>
                <w:kern w:val="2"/>
                <w:sz w:val="24"/>
                <w:szCs w:val="24"/>
                <w:highlight w:val="none"/>
                <w:lang w:val="en-US" w:eastAsia="zh-CN" w:bidi="ar-SA"/>
              </w:rPr>
              <w:t>，覆膜滤料，除尘效率可达</w:t>
            </w:r>
            <w:r>
              <w:rPr>
                <w:rFonts w:hint="default" w:ascii="Times New Roman" w:hAnsi="Times New Roman" w:eastAsia="TimesNewRomanPSMT" w:cs="Times New Roman"/>
                <w:color w:val="auto"/>
                <w:kern w:val="2"/>
                <w:sz w:val="24"/>
                <w:szCs w:val="24"/>
                <w:highlight w:val="none"/>
                <w:lang w:val="en-US" w:eastAsia="zh-CN" w:bidi="ar-SA"/>
              </w:rPr>
              <w:t>99%</w:t>
            </w:r>
            <w:r>
              <w:rPr>
                <w:rFonts w:hint="default" w:ascii="Times New Roman" w:hAnsi="Times New Roman" w:eastAsia="宋体" w:cs="Times New Roman"/>
                <w:color w:val="auto"/>
                <w:kern w:val="2"/>
                <w:sz w:val="24"/>
                <w:szCs w:val="24"/>
                <w:highlight w:val="none"/>
                <w:lang w:val="en-US" w:eastAsia="zh-CN" w:bidi="ar-SA"/>
              </w:rPr>
              <w:t>以上，颗粒物排放浓度≤10mg/Nm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。经计算颗粒物排放量为0.1</w:t>
            </w:r>
            <w:r>
              <w:rPr>
                <w:rFonts w:hint="default" w:ascii="Times New Roman" w:hAnsi="Times New Roman" w:cs="Times New Roman"/>
                <w:color w:val="auto"/>
                <w:kern w:val="2"/>
                <w:sz w:val="24"/>
                <w:szCs w:val="24"/>
                <w:highlight w:val="none"/>
                <w:lang w:val="en-US" w:eastAsia="zh-CN" w:bidi="ar-SA"/>
              </w:rPr>
              <w:t>44</w:t>
            </w:r>
            <w:r>
              <w:rPr>
                <w:rFonts w:hint="default" w:ascii="Times New Roman" w:hAnsi="Times New Roman" w:eastAsia="宋体" w:cs="Times New Roman"/>
                <w:color w:val="auto"/>
                <w:kern w:val="2"/>
                <w:sz w:val="24"/>
                <w:szCs w:val="24"/>
                <w:highlight w:val="none"/>
                <w:lang w:val="en-US" w:eastAsia="zh-CN" w:bidi="ar-SA"/>
              </w:rPr>
              <w:t>t/a。</w:t>
            </w:r>
          </w:p>
          <w:p>
            <w:pPr>
              <w:keepNext w:val="0"/>
              <w:keepLines w:val="0"/>
              <w:pageBreakBefore w:val="0"/>
              <w:widowControl w:val="0"/>
              <w:kinsoku/>
              <w:wordWrap/>
              <w:overflowPunct/>
              <w:topLinePunct w:val="0"/>
              <w:autoSpaceDE w:val="0"/>
              <w:autoSpaceDN w:val="0"/>
              <w:bidi w:val="0"/>
              <w:adjustRightInd w:val="0"/>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cs="Times New Roman"/>
                <w:b/>
                <w:bCs/>
                <w:color w:val="000000" w:themeColor="text1"/>
                <w:kern w:val="2"/>
                <w:sz w:val="24"/>
                <w:szCs w:val="24"/>
                <w:highlight w:val="none"/>
                <w:lang w:val="en-US" w:eastAsia="zh-CN" w:bidi="ar-SA"/>
                <w14:textFill>
                  <w14:solidFill>
                    <w14:schemeClr w14:val="tx1"/>
                  </w14:solidFill>
                </w14:textFill>
              </w:rPr>
              <w:t>③</w:t>
            </w:r>
            <w:r>
              <w:rPr>
                <w:rFonts w:hint="default" w:ascii="Times New Roman" w:hAnsi="Times New Roman" w:eastAsia="宋体" w:cs="Times New Roman"/>
                <w:b/>
                <w:bCs/>
                <w:color w:val="auto"/>
                <w:kern w:val="2"/>
                <w:sz w:val="24"/>
                <w:szCs w:val="24"/>
                <w:highlight w:val="none"/>
                <w:lang w:val="en-US" w:eastAsia="zh-CN" w:bidi="ar-SA"/>
              </w:rPr>
              <w:t>二氧化硫的产排量计算</w:t>
            </w:r>
          </w:p>
          <w:p>
            <w:pPr>
              <w:keepNext w:val="0"/>
              <w:keepLines w:val="0"/>
              <w:pageBreakBefore w:val="0"/>
              <w:widowControl w:val="0"/>
              <w:kinsoku/>
              <w:wordWrap/>
              <w:overflowPunct/>
              <w:topLinePunct w:val="0"/>
              <w:autoSpaceDE w:val="0"/>
              <w:autoSpaceDN w:val="0"/>
              <w:bidi w:val="0"/>
              <w:adjustRightIn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rPr>
              <w:t>根据《排污许可证申请与核发技术规范  锅炉》（HJ953-2018），</w:t>
            </w:r>
            <w:r>
              <w:rPr>
                <w:rFonts w:hint="default" w:ascii="Times New Roman" w:hAnsi="Times New Roman" w:eastAsia="宋体" w:cs="Times New Roman"/>
                <w:color w:val="auto"/>
                <w:kern w:val="2"/>
                <w:sz w:val="24"/>
                <w:szCs w:val="24"/>
                <w:highlight w:val="none"/>
                <w:lang w:val="en-US" w:eastAsia="zh-CN" w:bidi="ar-SA"/>
              </w:rPr>
              <w:t>燃生物质成型燃料工业锅炉二氧化硫产污系数为17S千克/吨-燃料，则项目SO</w:t>
            </w:r>
            <w:r>
              <w:rPr>
                <w:rFonts w:hint="default" w:ascii="Times New Roman" w:hAnsi="Times New Roman" w:eastAsia="宋体"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的排放量为：（1354.8×17×0.0</w:t>
            </w:r>
            <w:r>
              <w:rPr>
                <w:rFonts w:hint="default" w:ascii="Times New Roman" w:hAnsi="Times New Roman" w:cs="Times New Roman"/>
                <w:color w:val="auto"/>
                <w:kern w:val="2"/>
                <w:sz w:val="24"/>
                <w:szCs w:val="24"/>
                <w:highlight w:val="none"/>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）/1000=0.</w:t>
            </w:r>
            <w:r>
              <w:rPr>
                <w:rFonts w:hint="eastAsia" w:ascii="Times New Roman" w:cs="Times New Roman"/>
                <w:color w:val="auto"/>
                <w:kern w:val="2"/>
                <w:sz w:val="24"/>
                <w:szCs w:val="24"/>
                <w:highlight w:val="none"/>
                <w:lang w:val="en-US" w:eastAsia="zh-CN" w:bidi="ar-SA"/>
              </w:rPr>
              <w:t>23</w:t>
            </w:r>
            <w:r>
              <w:rPr>
                <w:rFonts w:hint="default" w:ascii="Times New Roman" w:hAnsi="Times New Roman" w:eastAsia="宋体" w:cs="Times New Roman"/>
                <w:color w:val="auto"/>
                <w:kern w:val="2"/>
                <w:sz w:val="24"/>
                <w:szCs w:val="24"/>
                <w:highlight w:val="none"/>
                <w:lang w:val="en-US" w:eastAsia="zh-CN" w:bidi="ar-SA"/>
              </w:rPr>
              <w:t>t/a，排放浓度为</w:t>
            </w:r>
            <w:r>
              <w:rPr>
                <w:rFonts w:hint="eastAsia" w:ascii="Times New Roman" w:cs="Times New Roman"/>
                <w:color w:val="auto"/>
                <w:kern w:val="2"/>
                <w:sz w:val="24"/>
                <w:szCs w:val="24"/>
                <w:highlight w:val="none"/>
                <w:lang w:val="en-US" w:eastAsia="zh-CN" w:bidi="ar-SA"/>
              </w:rPr>
              <w:t>22.8</w:t>
            </w:r>
            <w:r>
              <w:rPr>
                <w:rFonts w:hint="default" w:ascii="Times New Roman" w:hAnsi="Times New Roman" w:eastAsia="宋体" w:cs="Times New Roman"/>
                <w:color w:val="auto"/>
                <w:kern w:val="2"/>
                <w:sz w:val="24"/>
                <w:szCs w:val="24"/>
                <w:highlight w:val="none"/>
                <w:lang w:val="en-US" w:eastAsia="zh-CN" w:bidi="ar-SA"/>
              </w:rPr>
              <w:t>mg/m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kinsoku/>
              <w:wordWrap/>
              <w:overflowPunct/>
              <w:topLinePunct w:val="0"/>
              <w:bidi w:val="0"/>
              <w:adjustRightInd w:val="0"/>
              <w:snapToGrid w:val="0"/>
              <w:spacing w:before="0" w:after="0"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b/>
                <w:bCs/>
                <w:color w:val="000000" w:themeColor="text1"/>
                <w:kern w:val="0"/>
                <w:sz w:val="24"/>
                <w:szCs w:val="24"/>
                <w:highlight w:val="none"/>
                <w:lang w:val="en-US" w:eastAsia="zh-CN" w:bidi="ar-SA"/>
                <w14:textFill>
                  <w14:solidFill>
                    <w14:schemeClr w14:val="tx1"/>
                  </w14:solidFill>
                </w14:textFill>
              </w:rPr>
              <w:t>④</w:t>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氮氧化物的产排量计算</w:t>
            </w:r>
          </w:p>
          <w:p>
            <w:pPr>
              <w:keepNext w:val="0"/>
              <w:keepLines w:val="0"/>
              <w:pageBreakBefore w:val="0"/>
              <w:widowControl w:val="0"/>
              <w:kinsoku/>
              <w:wordWrap/>
              <w:overflowPunct/>
              <w:topLinePunct w:val="0"/>
              <w:autoSpaceDE w:val="0"/>
              <w:autoSpaceDN w:val="0"/>
              <w:bidi w:val="0"/>
              <w:adjustRightIn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根据《排污许可证申请与核发技术规范  锅炉》（HJ953-2018），燃生物质成型燃料工业锅炉氮氧化物的产污系数为0.71千克/吨-燃料（低氮燃烧）。计算得到氮氧化物产生量为</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0.</w:t>
            </w:r>
            <w:r>
              <w:rPr>
                <w:rFonts w:hint="eastAsia" w:ascii="Times New Roman" w:cs="Times New Roman"/>
                <w:color w:val="000000" w:themeColor="text1"/>
                <w:kern w:val="2"/>
                <w:sz w:val="24"/>
                <w:szCs w:val="24"/>
                <w:highlight w:val="none"/>
                <w:lang w:val="en-US" w:eastAsia="zh-CN" w:bidi="ar-SA"/>
                <w14:textFill>
                  <w14:solidFill>
                    <w14:schemeClr w14:val="tx1"/>
                  </w14:solidFill>
                </w14:textFill>
              </w:rPr>
              <w:t>96</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t/a，产生浓度为</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95.24</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mg/m</w:t>
            </w:r>
            <w:r>
              <w:rPr>
                <w:rFonts w:hint="default" w:ascii="Times New Roman" w:hAnsi="Times New Roman" w:eastAsia="宋体" w:cs="Times New Roman"/>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pPr>
              <w:keepNext w:val="0"/>
              <w:keepLines w:val="0"/>
              <w:pageBreakBefore w:val="0"/>
              <w:widowControl/>
              <w:kinsoku/>
              <w:wordWrap/>
              <w:overflowPunct/>
              <w:topLinePunct w:val="0"/>
              <w:bidi w:val="0"/>
              <w:adjustRightInd w:val="0"/>
              <w:snapToGrid w:val="0"/>
              <w:spacing w:before="0" w:after="0" w:line="360" w:lineRule="auto"/>
              <w:ind w:left="0" w:leftChars="0" w:right="0" w:rightChars="0" w:firstLine="480" w:firstLineChars="200"/>
              <w:jc w:val="both"/>
              <w:textAlignment w:val="auto"/>
              <w:outlineLvl w:val="9"/>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本项目采用低氮燃烧+SNCR脱硝工艺，氮氧化物的排污系数为0.36</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千克/吨-燃料（低氮燃烧）</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，计算得到氮氧化物的排放量为0.</w:t>
            </w:r>
            <w:r>
              <w:rPr>
                <w:rFonts w:hint="eastAsia" w:ascii="Times New Roman" w:cs="Times New Roman"/>
                <w:b w:val="0"/>
                <w:bCs w:val="0"/>
                <w:color w:val="000000" w:themeColor="text1"/>
                <w:kern w:val="0"/>
                <w:sz w:val="24"/>
                <w:szCs w:val="24"/>
                <w:highlight w:val="none"/>
                <w:lang w:val="en-US" w:eastAsia="zh-CN" w:bidi="ar-SA"/>
                <w14:textFill>
                  <w14:solidFill>
                    <w14:schemeClr w14:val="tx1"/>
                  </w14:solidFill>
                </w14:textFill>
              </w:rPr>
              <w:t>49</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t/a</w:t>
            </w:r>
            <w:r>
              <w:rPr>
                <w:rFonts w:hint="default" w:ascii="Times New Roman" w:hAnsi="Times New Roman" w:cs="Times New Roman"/>
                <w:b w:val="0"/>
                <w:bCs w:val="0"/>
                <w:color w:val="000000" w:themeColor="text1"/>
                <w:kern w:val="0"/>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排放浓度为</w:t>
            </w:r>
            <w:r>
              <w:rPr>
                <w:rFonts w:hint="eastAsia" w:ascii="Times New Roman" w:cs="Times New Roman"/>
                <w:b w:val="0"/>
                <w:bCs w:val="0"/>
                <w:color w:val="000000" w:themeColor="text1"/>
                <w:kern w:val="0"/>
                <w:sz w:val="24"/>
                <w:szCs w:val="24"/>
                <w:highlight w:val="none"/>
                <w:lang w:val="en-US" w:eastAsia="zh-CN" w:bidi="ar-SA"/>
                <w14:textFill>
                  <w14:solidFill>
                    <w14:schemeClr w14:val="tx1"/>
                  </w14:solidFill>
                </w14:textFill>
              </w:rPr>
              <w:t>48.29</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＜50mg/Nm</w:t>
            </w:r>
            <w:r>
              <w:rPr>
                <w:rFonts w:hint="default" w:ascii="Times New Roman" w:hAnsi="Times New Roman" w:eastAsia="宋体" w:cs="Times New Roman"/>
                <w:b w:val="0"/>
                <w:bCs w:val="0"/>
                <w:color w:val="000000" w:themeColor="text1"/>
                <w:kern w:val="0"/>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低氮燃烧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4"/>
                <w:sz w:val="24"/>
                <w:szCs w:val="24"/>
                <w14:textFill>
                  <w14:solidFill>
                    <w14:schemeClr w14:val="tx1"/>
                  </w14:solidFill>
                </w14:textFill>
              </w:rPr>
              <w:t>为保证锅炉燃烧废气中的NOx能达标排放，本项目蒸汽锅炉配备低氮燃烧器。低氮燃烧技术是通过改变燃烧设备的燃烧条件来降低NO</w:t>
            </w:r>
            <w:r>
              <w:rPr>
                <w:rFonts w:hint="default" w:ascii="Times New Roman" w:hAnsi="Times New Roman" w:eastAsia="宋体" w:cs="Times New Roman"/>
                <w:bCs/>
                <w:color w:val="000000" w:themeColor="text1"/>
                <w:kern w:val="24"/>
                <w:sz w:val="24"/>
                <w:szCs w:val="24"/>
                <w:vertAlign w:val="subscript"/>
                <w14:textFill>
                  <w14:solidFill>
                    <w14:schemeClr w14:val="tx1"/>
                  </w14:solidFill>
                </w14:textFill>
              </w:rPr>
              <w:t>x</w:t>
            </w:r>
            <w:r>
              <w:rPr>
                <w:rFonts w:hint="default" w:ascii="Times New Roman" w:hAnsi="Times New Roman" w:eastAsia="宋体" w:cs="Times New Roman"/>
                <w:bCs/>
                <w:color w:val="000000" w:themeColor="text1"/>
                <w:kern w:val="24"/>
                <w:sz w:val="24"/>
                <w:szCs w:val="24"/>
                <w14:textFill>
                  <w14:solidFill>
                    <w14:schemeClr w14:val="tx1"/>
                  </w14:solidFill>
                </w14:textFill>
              </w:rPr>
              <w:t>的形成，具体来说是通过调节燃烧温度、烟气中的氧的浓度、烟气在高温区的停留时间等方法来抑制NO</w:t>
            </w:r>
            <w:r>
              <w:rPr>
                <w:rFonts w:hint="default" w:ascii="Times New Roman" w:hAnsi="Times New Roman" w:eastAsia="宋体" w:cs="Times New Roman"/>
                <w:bCs/>
                <w:color w:val="000000" w:themeColor="text1"/>
                <w:kern w:val="24"/>
                <w:sz w:val="24"/>
                <w:szCs w:val="24"/>
                <w:vertAlign w:val="subscript"/>
                <w14:textFill>
                  <w14:solidFill>
                    <w14:schemeClr w14:val="tx1"/>
                  </w14:solidFill>
                </w14:textFill>
              </w:rPr>
              <w:t>x</w:t>
            </w:r>
            <w:r>
              <w:rPr>
                <w:rFonts w:hint="default" w:ascii="Times New Roman" w:hAnsi="Times New Roman" w:eastAsia="宋体" w:cs="Times New Roman"/>
                <w:bCs/>
                <w:color w:val="000000" w:themeColor="text1"/>
                <w:kern w:val="24"/>
                <w:sz w:val="24"/>
                <w:szCs w:val="24"/>
                <w14:textFill>
                  <w14:solidFill>
                    <w14:schemeClr w14:val="tx1"/>
                  </w14:solidFill>
                </w14:textFill>
              </w:rPr>
              <w:t>的生成或破坏已生产的NO</w:t>
            </w:r>
            <w:r>
              <w:rPr>
                <w:rFonts w:hint="default" w:ascii="Times New Roman" w:hAnsi="Times New Roman" w:eastAsia="宋体" w:cs="Times New Roman"/>
                <w:bCs/>
                <w:color w:val="000000" w:themeColor="text1"/>
                <w:kern w:val="24"/>
                <w:sz w:val="24"/>
                <w:szCs w:val="24"/>
                <w:vertAlign w:val="subscript"/>
                <w14:textFill>
                  <w14:solidFill>
                    <w14:schemeClr w14:val="tx1"/>
                  </w14:solidFill>
                </w14:textFill>
              </w:rPr>
              <w:t>x</w:t>
            </w:r>
            <w:r>
              <w:rPr>
                <w:rFonts w:hint="default" w:ascii="Times New Roman" w:hAnsi="Times New Roman" w:eastAsia="宋体" w:cs="Times New Roman"/>
                <w:bCs/>
                <w:color w:val="000000" w:themeColor="text1"/>
                <w:kern w:val="24"/>
                <w:sz w:val="24"/>
                <w:szCs w:val="24"/>
                <w14:textFill>
                  <w14:solidFill>
                    <w14:schemeClr w14:val="tx1"/>
                  </w14:solidFill>
                </w14:textFill>
              </w:rPr>
              <w:t>。本项目选用的低氮燃烧器采用分段燃烧技术，是将燃料的燃烧过程分阶段来完成。第一阶段燃烧中，将总燃烧空气里的70~75%供入炉膛，使燃料在缺氧的富燃料条件下燃烧，能抑制NO</w:t>
            </w:r>
            <w:r>
              <w:rPr>
                <w:rFonts w:hint="default" w:ascii="Times New Roman" w:hAnsi="Times New Roman" w:eastAsia="宋体" w:cs="Times New Roman"/>
                <w:bCs/>
                <w:color w:val="000000" w:themeColor="text1"/>
                <w:kern w:val="24"/>
                <w:sz w:val="24"/>
                <w:szCs w:val="24"/>
                <w:vertAlign w:val="subscript"/>
                <w14:textFill>
                  <w14:solidFill>
                    <w14:schemeClr w14:val="tx1"/>
                  </w14:solidFill>
                </w14:textFill>
              </w:rPr>
              <w:t>x</w:t>
            </w:r>
            <w:r>
              <w:rPr>
                <w:rFonts w:hint="default" w:ascii="Times New Roman" w:hAnsi="Times New Roman" w:eastAsia="宋体" w:cs="Times New Roman"/>
                <w:bCs/>
                <w:color w:val="000000" w:themeColor="text1"/>
                <w:kern w:val="24"/>
                <w:sz w:val="24"/>
                <w:szCs w:val="24"/>
                <w14:textFill>
                  <w14:solidFill>
                    <w14:schemeClr w14:val="tx1"/>
                  </w14:solidFill>
                </w14:textFill>
              </w:rPr>
              <w:t>的生成；第二阶段通入足量的空气，使剩余燃料燃尽，此段中氧气过量，但温度较低，生成的NO</w:t>
            </w:r>
            <w:r>
              <w:rPr>
                <w:rFonts w:hint="default" w:ascii="Times New Roman" w:hAnsi="Times New Roman" w:eastAsia="宋体" w:cs="Times New Roman"/>
                <w:bCs/>
                <w:color w:val="000000" w:themeColor="text1"/>
                <w:kern w:val="24"/>
                <w:sz w:val="24"/>
                <w:szCs w:val="24"/>
                <w:vertAlign w:val="subscript"/>
                <w14:textFill>
                  <w14:solidFill>
                    <w14:schemeClr w14:val="tx1"/>
                  </w14:solidFill>
                </w14:textFill>
              </w:rPr>
              <w:t>x</w:t>
            </w:r>
            <w:r>
              <w:rPr>
                <w:rFonts w:hint="default" w:ascii="Times New Roman" w:hAnsi="Times New Roman" w:eastAsia="宋体" w:cs="Times New Roman"/>
                <w:bCs/>
                <w:color w:val="000000" w:themeColor="text1"/>
                <w:kern w:val="24"/>
                <w:sz w:val="24"/>
                <w:szCs w:val="24"/>
                <w14:textFill>
                  <w14:solidFill>
                    <w14:schemeClr w14:val="tx1"/>
                  </w14:solidFill>
                </w14:textFill>
              </w:rPr>
              <w:t>也较少。根据分段燃烧原理设计的阶段燃烧器，使燃料与空气分段混合燃烧，由于燃烧偏离理论当量比，故可降低NOx的生成。对照《工业锅炉污染防治可行技术指南》（HJ1178-2021）中“6.1.1.4 氮氧化物排放控制宜优先采用低氮燃烧技术，若不能实现达标排放，应结合选择性催化还原法（SCR）、选择性非催化还原法（SNCR）和SNCR-SCR联合法脱硝技术实现达标排放。”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highlight w:val="none"/>
                <w:lang w:val="en-US" w:eastAsia="zh-CN" w:bidi="ar-SA"/>
                <w14:textFill>
                  <w14:solidFill>
                    <w14:schemeClr w14:val="tx1"/>
                  </w14:solidFill>
                </w14:textFill>
              </w:rPr>
              <w:t>SNCR脱硝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SNCR选择性非催化还原是指无催化剂的作用下，在适合脱硝反应的“温度窗口”内喷入还原剂将烟气中的氮氧化物还原为无害的氮气和水。本项目SNCR脱硝系统采用尿素作为还原剂，还原剂只和烟气中的NOx反应，一般不与氧反应，该技术不采用催化剂，所以这种方法被称为选择性非催化还原法（SNCR）。SNCR脱硝系统主要由上料机、尿素溶解罐、输送泵、尿素溶液储罐、泵站模块组成、计量分配模块、喷枪等设备组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本项目采用低氮燃烧+SNCR脱硝系统进行脱硝，为《排污许可证申请与核发技术规范  锅炉》（HJ953-2018）中的可行技术，参考《排污许可证申请与核发技术规范  锅炉》（HJ953-2018）氮氧化物排污系数取0.36，经计算得到本项目氮氧化物的排放浓度为</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3</w:t>
            </w:r>
            <w:r>
              <w:rPr>
                <w:rFonts w:hint="default" w:ascii="Times New Roman" w:hAnsi="Times New Roman" w:cs="Times New Roman"/>
                <w:b w:val="0"/>
                <w:bCs w:val="0"/>
                <w:color w:val="000000" w:themeColor="text1"/>
                <w:kern w:val="0"/>
                <w:sz w:val="24"/>
                <w:szCs w:val="24"/>
                <w:highlight w:val="none"/>
                <w:lang w:val="en-US" w:eastAsia="zh-CN" w:bidi="ar-SA"/>
                <w14:textFill>
                  <w14:solidFill>
                    <w14:schemeClr w14:val="tx1"/>
                  </w14:solidFill>
                </w14:textFill>
              </w:rPr>
              <w:t>2.76</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mg/m</w:t>
            </w:r>
            <w:r>
              <w:rPr>
                <w:rFonts w:hint="default" w:ascii="Times New Roman" w:hAnsi="Times New Roman" w:cs="Times New Roman" w:eastAsiaTheme="minorEastAsia"/>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，满足《山西省锅炉大气污染物排放标准》（DB14/1929-2019）表2中燃生物质锅炉大气污染物排放浓度限值要求（NOx：50mg/m</w:t>
            </w:r>
            <w:r>
              <w:rPr>
                <w:rFonts w:hint="default" w:ascii="Times New Roman" w:hAnsi="Times New Roman" w:cs="Times New Roman" w:eastAsiaTheme="minorEastAsia"/>
                <w:color w:val="000000" w:themeColor="text1"/>
                <w:kern w:val="2"/>
                <w:sz w:val="24"/>
                <w:szCs w:val="24"/>
                <w:highlight w:val="none"/>
                <w:vertAlign w:val="superscript"/>
                <w:lang w:val="en-US" w:eastAsia="zh-CN" w:bidi="ar-SA"/>
                <w14:textFill>
                  <w14:solidFill>
                    <w14:schemeClr w14:val="tx1"/>
                  </w14:solidFill>
                </w14:textFill>
              </w:rPr>
              <w:t>3</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）。因此本项目生物质锅炉烟气脱硝系统从技术可行、经济合理方面分析是可行的。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val="0"/>
                <w:color w:val="000000" w:themeColor="text1"/>
                <w:kern w:val="2"/>
                <w:sz w:val="24"/>
                <w:szCs w:val="24"/>
                <w:lang w:val="en-US" w:eastAsia="zh-CN"/>
                <w14:textFill>
                  <w14:solidFill>
                    <w14:schemeClr w14:val="tx1"/>
                  </w14:solidFill>
                </w14:textFill>
              </w:rPr>
            </w:pPr>
            <w:r>
              <w:rPr>
                <w:rFonts w:hint="default" w:ascii="Times New Roman" w:hAnsi="Times New Roman" w:cs="Times New Roman"/>
                <w:b/>
                <w:bCs w:val="0"/>
                <w:color w:val="000000" w:themeColor="text1"/>
                <w:kern w:val="2"/>
                <w:sz w:val="24"/>
                <w:szCs w:val="24"/>
                <w:lang w:val="en-US" w:eastAsia="zh-CN"/>
                <w14:textFill>
                  <w14:solidFill>
                    <w14:schemeClr w14:val="tx1"/>
                  </w14:solidFill>
                </w14:textFill>
              </w:rPr>
              <w:t>⑤</w:t>
            </w:r>
            <w:r>
              <w:rPr>
                <w:rFonts w:hint="default" w:ascii="Times New Roman" w:hAnsi="Times New Roman" w:eastAsia="宋体" w:cs="Times New Roman"/>
                <w:b/>
                <w:bCs w:val="0"/>
                <w:color w:val="000000" w:themeColor="text1"/>
                <w:kern w:val="2"/>
                <w:sz w:val="24"/>
                <w:szCs w:val="24"/>
                <w:lang w:val="en-US" w:eastAsia="zh-CN"/>
                <w14:textFill>
                  <w14:solidFill>
                    <w14:schemeClr w14:val="tx1"/>
                  </w14:solidFill>
                </w14:textFill>
              </w:rPr>
              <w:t>汞及其化合物产排量计算</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t>本项目锅炉烟气中汞及其化合物产生排放量参照采用《污染源源强核算技术指南  锅炉》（HJ 991-2018）给出的公式计算：</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jc w:val="center"/>
              <w:textAlignment w:val="auto"/>
              <w:outlineLvl w:val="9"/>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4"/>
                <w14:textFill>
                  <w14:solidFill>
                    <w14:schemeClr w14:val="tx1"/>
                  </w14:solidFill>
                </w14:textFill>
              </w:rPr>
              <w:drawing>
                <wp:inline distT="0" distB="0" distL="114300" distR="114300">
                  <wp:extent cx="2293620" cy="518160"/>
                  <wp:effectExtent l="0" t="0" r="11430" b="1524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7"/>
                          <a:stretch>
                            <a:fillRect/>
                          </a:stretch>
                        </pic:blipFill>
                        <pic:spPr>
                          <a:xfrm>
                            <a:off x="0" y="0"/>
                            <a:ext cx="2293620" cy="5181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t>式中：E</w:t>
            </w:r>
            <w:r>
              <w:rPr>
                <w:rFonts w:hint="default" w:ascii="Times New Roman" w:hAnsi="Times New Roman" w:eastAsia="宋体" w:cs="Times New Roman"/>
                <w:bCs/>
                <w:color w:val="000000" w:themeColor="text1"/>
                <w:kern w:val="2"/>
                <w:sz w:val="24"/>
                <w:szCs w:val="24"/>
                <w:vertAlign w:val="subscript"/>
                <w:lang w:val="en-US" w:eastAsia="zh-CN"/>
                <w14:textFill>
                  <w14:solidFill>
                    <w14:schemeClr w14:val="tx1"/>
                  </w14:solidFill>
                </w14:textFill>
              </w:rPr>
              <w:t>Hg</w:t>
            </w:r>
            <w:r>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t>——核算时段内汞及其化合物（以汞计）排放量，t；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00" w:firstLineChars="500"/>
              <w:jc w:val="both"/>
              <w:textAlignment w:val="auto"/>
              <w:outlineLvl w:val="9"/>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t>R——核算时段内燃料耗量，t；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00" w:firstLineChars="500"/>
              <w:jc w:val="both"/>
              <w:textAlignment w:val="auto"/>
              <w:outlineLvl w:val="9"/>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t>m</w:t>
            </w:r>
            <w:r>
              <w:rPr>
                <w:rFonts w:hint="default" w:ascii="Times New Roman" w:hAnsi="Times New Roman" w:eastAsia="宋体" w:cs="Times New Roman"/>
                <w:bCs/>
                <w:color w:val="000000" w:themeColor="text1"/>
                <w:kern w:val="2"/>
                <w:sz w:val="24"/>
                <w:szCs w:val="24"/>
                <w:vertAlign w:val="subscript"/>
                <w:lang w:val="en-US" w:eastAsia="zh-CN"/>
                <w14:textFill>
                  <w14:solidFill>
                    <w14:schemeClr w14:val="tx1"/>
                  </w14:solidFill>
                </w14:textFill>
              </w:rPr>
              <w:t>Hgar</w:t>
            </w:r>
            <w:r>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t>——收到的基汞含量，μg/g；</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00" w:firstLineChars="500"/>
              <w:jc w:val="both"/>
              <w:textAlignment w:val="auto"/>
              <w:outlineLvl w:val="9"/>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t>η</w:t>
            </w:r>
            <w:r>
              <w:rPr>
                <w:rFonts w:hint="default" w:ascii="Times New Roman" w:hAnsi="Times New Roman" w:eastAsia="宋体" w:cs="Times New Roman"/>
                <w:bCs/>
                <w:color w:val="000000" w:themeColor="text1"/>
                <w:kern w:val="2"/>
                <w:sz w:val="24"/>
                <w:szCs w:val="24"/>
                <w:vertAlign w:val="subscript"/>
                <w:lang w:val="en-US" w:eastAsia="zh-CN"/>
                <w14:textFill>
                  <w14:solidFill>
                    <w14:schemeClr w14:val="tx1"/>
                  </w14:solidFill>
                </w14:textFill>
              </w:rPr>
              <w:t>Hg</w:t>
            </w:r>
            <w:r>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t>——汞的协同脱除效率，%；</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14:textFill>
                  <w14:solidFill>
                    <w14:schemeClr w14:val="tx1"/>
                  </w14:solidFill>
                </w14:textFill>
              </w:rPr>
              <w:t>根据北京大学硕士研究生学位论文《中国农村地区生物质燃料燃烧的汞排放研究》表明，生物质颗粒燃料燃烧排放的汞含量以15.68ng/g计。</w:t>
            </w:r>
          </w:p>
          <w:p>
            <w:pPr>
              <w:keepNext w:val="0"/>
              <w:keepLines w:val="0"/>
              <w:pageBreakBefore w:val="0"/>
              <w:widowControl w:val="0"/>
              <w:kinsoku/>
              <w:wordWrap/>
              <w:overflowPunct/>
              <w:topLinePunct w:val="0"/>
              <w:autoSpaceDE w:val="0"/>
              <w:autoSpaceDN w:val="0"/>
              <w:bidi w:val="0"/>
              <w:adjustRightInd w:val="0"/>
              <w:spacing w:line="360" w:lineRule="auto"/>
              <w:ind w:left="0" w:leftChars="0" w:right="0" w:rightChars="0" w:firstLine="480" w:firstLineChars="200"/>
              <w:jc w:val="both"/>
              <w:textAlignment w:val="auto"/>
              <w:outlineLvl w:val="9"/>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项目年用生物质燃料约</w:t>
            </w:r>
            <w:r>
              <w:rPr>
                <w:rFonts w:hint="default" w:ascii="Times New Roman" w:hAnsi="Times New Roman" w:cs="Times New Roman"/>
                <w:color w:val="000000" w:themeColor="text1"/>
                <w:kern w:val="2"/>
                <w:sz w:val="24"/>
                <w:szCs w:val="24"/>
                <w:highlight w:val="none"/>
                <w:lang w:val="en-US" w:eastAsia="zh-CN" w:bidi="ar-SA"/>
                <w14:textFill>
                  <w14:solidFill>
                    <w14:schemeClr w14:val="tx1"/>
                  </w14:solidFill>
                </w14:textFill>
              </w:rPr>
              <w:t xml:space="preserve">1354.8 </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t</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/a，则汞及其化合物产生量约</w:t>
            </w:r>
            <w:r>
              <w:rPr>
                <w:rFonts w:hint="eastAsia" w:ascii="Times New Roman" w:cs="Times New Roman"/>
                <w:bCs/>
                <w:color w:val="000000" w:themeColor="text1"/>
                <w:kern w:val="2"/>
                <w:sz w:val="24"/>
                <w:szCs w:val="24"/>
                <w:lang w:val="en-US" w:eastAsia="zh-CN" w:bidi="ar-SA"/>
                <w14:textFill>
                  <w14:solidFill>
                    <w14:schemeClr w14:val="tx1"/>
                  </w14:solidFill>
                </w14:textFill>
              </w:rPr>
              <w:t>2.12</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×10</w:t>
            </w:r>
            <w:r>
              <w:rPr>
                <w:rFonts w:hint="default" w:ascii="Times New Roman" w:hAnsi="Times New Roman" w:eastAsia="宋体" w:cs="Times New Roman"/>
                <w:bCs/>
                <w:color w:val="000000" w:themeColor="text1"/>
                <w:kern w:val="2"/>
                <w:sz w:val="24"/>
                <w:szCs w:val="24"/>
                <w:vertAlign w:val="superscript"/>
                <w:lang w:val="en-US" w:eastAsia="zh-CN" w:bidi="ar-SA"/>
                <w14:textFill>
                  <w14:solidFill>
                    <w14:schemeClr w14:val="tx1"/>
                  </w14:solidFill>
                </w14:textFill>
              </w:rPr>
              <w:t>-5</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t/a，产生浓度为</w:t>
            </w:r>
            <w:r>
              <w:rPr>
                <w:rFonts w:hint="eastAsia" w:ascii="Times New Roman" w:cs="Times New Roman"/>
                <w:bCs/>
                <w:color w:val="000000" w:themeColor="text1"/>
                <w:kern w:val="2"/>
                <w:sz w:val="24"/>
                <w:szCs w:val="24"/>
                <w:lang w:val="en-US" w:eastAsia="zh-CN" w:bidi="ar-SA"/>
                <w14:textFill>
                  <w14:solidFill>
                    <w14:schemeClr w14:val="tx1"/>
                  </w14:solidFill>
                </w14:textFill>
              </w:rPr>
              <w:t>2.1</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×10</w:t>
            </w:r>
            <w:r>
              <w:rPr>
                <w:rFonts w:hint="default" w:ascii="Times New Roman" w:hAnsi="Times New Roman" w:eastAsia="宋体" w:cs="Times New Roman"/>
                <w:bCs/>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mg/m³，</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袋式除尘器协同处置汞及其化合物，去除效率约70%，则汞及其化合物排放量约</w:t>
            </w:r>
            <w:r>
              <w:rPr>
                <w:rFonts w:hint="eastAsia" w:ascii="Times New Roman" w:cs="Times New Roman"/>
                <w:bCs/>
                <w:color w:val="000000" w:themeColor="text1"/>
                <w:kern w:val="2"/>
                <w:sz w:val="24"/>
                <w:szCs w:val="24"/>
                <w:highlight w:val="none"/>
                <w:lang w:val="en-US" w:eastAsia="zh-CN" w:bidi="ar-SA"/>
                <w14:textFill>
                  <w14:solidFill>
                    <w14:schemeClr w14:val="tx1"/>
                  </w14:solidFill>
                </w14:textFill>
              </w:rPr>
              <w:t>6.37</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×10</w:t>
            </w:r>
            <w:r>
              <w:rPr>
                <w:rFonts w:hint="default" w:ascii="Times New Roman" w:hAnsi="Times New Roman" w:eastAsia="宋体" w:cs="Times New Roman"/>
                <w:bCs/>
                <w:color w:val="000000" w:themeColor="text1"/>
                <w:kern w:val="2"/>
                <w:sz w:val="24"/>
                <w:szCs w:val="24"/>
                <w:highlight w:val="none"/>
                <w:vertAlign w:val="superscript"/>
                <w:lang w:val="en-US" w:eastAsia="zh-CN" w:bidi="ar-SA"/>
                <w14:textFill>
                  <w14:solidFill>
                    <w14:schemeClr w14:val="tx1"/>
                  </w14:solidFill>
                </w14:textFill>
              </w:rPr>
              <w:t>-6</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t/a，排放浓度为</w:t>
            </w:r>
            <w:r>
              <w:rPr>
                <w:rFonts w:hint="eastAsia" w:ascii="Times New Roman" w:cs="Times New Roman"/>
                <w:bCs/>
                <w:color w:val="000000" w:themeColor="text1"/>
                <w:kern w:val="2"/>
                <w:sz w:val="24"/>
                <w:szCs w:val="24"/>
                <w:highlight w:val="none"/>
                <w:lang w:val="en-US" w:eastAsia="zh-CN" w:bidi="ar-SA"/>
                <w14:textFill>
                  <w14:solidFill>
                    <w14:schemeClr w14:val="tx1"/>
                  </w14:solidFill>
                </w14:textFill>
              </w:rPr>
              <w:t>6</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.3</w:t>
            </w:r>
            <w:r>
              <w:rPr>
                <w:rFonts w:hint="eastAsia" w:ascii="Times New Roman" w:cs="Times New Roman"/>
                <w:bCs/>
                <w:color w:val="000000" w:themeColor="text1"/>
                <w:kern w:val="2"/>
                <w:sz w:val="24"/>
                <w:szCs w:val="24"/>
                <w:highlight w:val="none"/>
                <w:lang w:val="en-US" w:eastAsia="zh-CN" w:bidi="ar-SA"/>
                <w14:textFill>
                  <w14:solidFill>
                    <w14:schemeClr w14:val="tx1"/>
                  </w14:solidFill>
                </w14:textFill>
              </w:rPr>
              <w:t>1</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×10</w:t>
            </w:r>
            <w:r>
              <w:rPr>
                <w:rFonts w:hint="default" w:ascii="Times New Roman" w:hAnsi="Times New Roman" w:eastAsia="宋体" w:cs="Times New Roman"/>
                <w:bCs/>
                <w:color w:val="000000" w:themeColor="text1"/>
                <w:kern w:val="2"/>
                <w:sz w:val="24"/>
                <w:szCs w:val="24"/>
                <w:highlight w:val="none"/>
                <w:vertAlign w:val="superscript"/>
                <w:lang w:val="en-US" w:eastAsia="zh-CN" w:bidi="ar-SA"/>
                <w14:textFill>
                  <w14:solidFill>
                    <w14:schemeClr w14:val="tx1"/>
                  </w14:solidFill>
                </w14:textFill>
              </w:rPr>
              <w:t>-4</w:t>
            </w: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mg/m³</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pacing w:line="360" w:lineRule="auto"/>
              <w:ind w:right="0" w:rightChars="0" w:firstLine="482" w:firstLineChars="200"/>
              <w:jc w:val="both"/>
              <w:textAlignment w:val="auto"/>
              <w:outlineLvl w:val="9"/>
              <w:rPr>
                <w:rFonts w:hint="default" w:ascii="Times New Roman" w:hAnsi="Times New Roman" w:eastAsia="宋体" w:cs="Times New Roman"/>
                <w:b/>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cs="Times New Roman"/>
                <w:b/>
                <w:bCs w:val="0"/>
                <w:color w:val="000000" w:themeColor="text1"/>
                <w:kern w:val="2"/>
                <w:sz w:val="24"/>
                <w:szCs w:val="24"/>
                <w:highlight w:val="none"/>
                <w:lang w:val="en-US" w:eastAsia="zh-CN" w:bidi="ar-SA"/>
                <w14:textFill>
                  <w14:solidFill>
                    <w14:schemeClr w14:val="tx1"/>
                  </w14:solidFill>
                </w14:textFill>
              </w:rPr>
              <w:t>⑥</w:t>
            </w:r>
            <w:r>
              <w:rPr>
                <w:rFonts w:hint="default" w:ascii="Times New Roman" w:hAnsi="Times New Roman" w:eastAsia="宋体" w:cs="Times New Roman"/>
                <w:b/>
                <w:bCs w:val="0"/>
                <w:color w:val="000000" w:themeColor="text1"/>
                <w:kern w:val="2"/>
                <w:sz w:val="24"/>
                <w:szCs w:val="24"/>
                <w:highlight w:val="none"/>
                <w:lang w:val="en-US" w:eastAsia="zh-CN" w:bidi="ar-SA"/>
                <w14:textFill>
                  <w14:solidFill>
                    <w14:schemeClr w14:val="tx1"/>
                  </w14:solidFill>
                </w14:textFill>
              </w:rPr>
              <w:t>一氧化碳控制及其达标分析</w:t>
            </w:r>
          </w:p>
          <w:p>
            <w:pPr>
              <w:keepNext w:val="0"/>
              <w:keepLines w:val="0"/>
              <w:pageBreakBefore w:val="0"/>
              <w:widowControl w:val="0"/>
              <w:kinsoku/>
              <w:wordWrap/>
              <w:overflowPunct/>
              <w:topLinePunct w:val="0"/>
              <w:autoSpaceDE w:val="0"/>
              <w:autoSpaceDN w:val="0"/>
              <w:bidi w:val="0"/>
              <w:adjustRightInd w:val="0"/>
              <w:spacing w:line="360" w:lineRule="auto"/>
              <w:ind w:left="0" w:leftChars="0" w:right="0" w:rightChars="0" w:firstLine="480" w:firstLineChars="200"/>
              <w:jc w:val="both"/>
              <w:textAlignment w:val="auto"/>
              <w:outlineLvl w:val="9"/>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燃用生物质成型燃料排放一氧化碳主要来源于生物质燃料的不完全燃烧，而燃料不完全燃烧的主要原因包括：燃料与空气在燃烧室内混合不均匀，导致局部燃烧区域的燃料过多；缺氧；燃烧温度过低；滞留时间短；活性分子浓度较低，特别是在特殊情况时，例如分批燃烧过程的最后阶段（碳化阶段）的活性分子浓度很低。</w:t>
            </w:r>
          </w:p>
          <w:p>
            <w:pPr>
              <w:spacing w:line="360" w:lineRule="auto"/>
              <w:ind w:firstLine="480"/>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生物质成型燃料一氧化碳排放限值为200mg/m</w:t>
            </w:r>
            <w:r>
              <w:rPr>
                <w:rFonts w:hint="default" w:ascii="Times New Roman" w:hAnsi="Times New Roman" w:eastAsia="宋体" w:cs="Times New Roman"/>
                <w:bCs/>
                <w:color w:val="000000" w:themeColor="text1"/>
                <w:kern w:val="2"/>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。一氧化碳的排放控制可通过选取优质成型燃料，改善燃烧条件等方式，在生物质成型燃料充分燃烧的情况下，其排放可以达到标准限值。根据企业提供的锅炉设计方案，设计的烟气CO排放浓度＜200mg/m</w:t>
            </w:r>
            <w:r>
              <w:rPr>
                <w:rFonts w:hint="default" w:ascii="Times New Roman" w:hAnsi="Times New Roman" w:eastAsia="宋体" w:cs="Times New Roman"/>
                <w:bCs/>
                <w:color w:val="000000" w:themeColor="text1"/>
                <w:kern w:val="2"/>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，本项目CO排放浓度取200mg/m</w:t>
            </w:r>
            <w:r>
              <w:rPr>
                <w:rFonts w:hint="default" w:ascii="Times New Roman" w:hAnsi="Times New Roman" w:eastAsia="宋体" w:cs="Times New Roman"/>
                <w:bCs/>
                <w:color w:val="000000" w:themeColor="text1"/>
                <w:kern w:val="2"/>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进行计算，则CO排放量为</w:t>
            </w:r>
            <w:r>
              <w:rPr>
                <w:rFonts w:hint="eastAsia" w:ascii="Times New Roman" w:cs="Times New Roman"/>
                <w:bCs/>
                <w:color w:val="000000" w:themeColor="text1"/>
                <w:kern w:val="2"/>
                <w:sz w:val="24"/>
                <w:szCs w:val="24"/>
                <w:highlight w:val="none"/>
                <w:lang w:val="en-US" w:eastAsia="zh-CN"/>
                <w14:textFill>
                  <w14:solidFill>
                    <w14:schemeClr w14:val="tx1"/>
                  </w14:solidFill>
                </w14:textFill>
              </w:rPr>
              <w:t>2.02</w:t>
            </w:r>
            <w:r>
              <w:rPr>
                <w:rFonts w:hint="default" w:ascii="Times New Roman" w:hAnsi="Times New Roman" w:eastAsia="宋体" w:cs="Times New Roman"/>
                <w:bCs/>
                <w:color w:val="000000" w:themeColor="text1"/>
                <w:kern w:val="2"/>
                <w:sz w:val="24"/>
                <w:szCs w:val="24"/>
                <w:highlight w:val="none"/>
                <w:lang w:val="en-US" w:eastAsia="zh-CN"/>
                <w14:textFill>
                  <w14:solidFill>
                    <w14:schemeClr w14:val="tx1"/>
                  </w14:solidFill>
                </w14:textFill>
              </w:rPr>
              <w:t>t/a。</w:t>
            </w:r>
          </w:p>
          <w:p>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14:textFill>
                  <w14:solidFill>
                    <w14:schemeClr w14:val="tx1"/>
                  </w14:solidFill>
                </w14:textFill>
              </w:rPr>
              <w:t>根据上述产排污系数核算的污染物产生量和排放量见</w:t>
            </w:r>
            <w:r>
              <w:rPr>
                <w:rFonts w:hint="default" w:ascii="Times New Roman" w:hAnsi="Times New Roman" w:cs="Times New Roman"/>
                <w:snapToGrid w:val="0"/>
                <w:color w:val="000000" w:themeColor="text1"/>
                <w:kern w:val="0"/>
                <w:sz w:val="24"/>
                <w:szCs w:val="24"/>
                <w:lang w:val="en-US" w:eastAsia="zh-CN"/>
                <w14:textFill>
                  <w14:solidFill>
                    <w14:schemeClr w14:val="tx1"/>
                  </w14:solidFill>
                </w14:textFill>
              </w:rPr>
              <w:t>下</w:t>
            </w:r>
            <w:r>
              <w:rPr>
                <w:rFonts w:hint="default" w:ascii="Times New Roman" w:hAnsi="Times New Roman" w:eastAsia="宋体" w:cs="Times New Roman"/>
                <w:snapToGrid w:val="0"/>
                <w:color w:val="000000" w:themeColor="text1"/>
                <w:kern w:val="0"/>
                <w:sz w:val="24"/>
                <w:szCs w:val="24"/>
                <w14:textFill>
                  <w14:solidFill>
                    <w14:schemeClr w14:val="tx1"/>
                  </w14:solidFill>
                </w14:textFill>
              </w:rPr>
              <w:t>表。</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kern w:val="2"/>
                <w:sz w:val="21"/>
                <w:szCs w:val="24"/>
                <w14:textFill>
                  <w14:solidFill>
                    <w14:schemeClr w14:val="tx1"/>
                  </w14:solidFill>
                </w14:textFill>
              </w:rPr>
            </w:pPr>
            <w:r>
              <w:rPr>
                <w:rFonts w:hint="default" w:ascii="Times New Roman" w:hAnsi="Times New Roman" w:eastAsia="宋体" w:cs="Times New Roman"/>
                <w:b/>
                <w:bCs/>
                <w:color w:val="000000" w:themeColor="text1"/>
                <w:kern w:val="2"/>
                <w:sz w:val="21"/>
                <w:szCs w:val="24"/>
                <w14:textFill>
                  <w14:solidFill>
                    <w14:schemeClr w14:val="tx1"/>
                  </w14:solidFill>
                </w14:textFill>
              </w:rPr>
              <w:t>表</w:t>
            </w:r>
            <w:r>
              <w:rPr>
                <w:rFonts w:hint="default" w:ascii="Times New Roman" w:hAnsi="Times New Roman" w:eastAsia="宋体" w:cs="Times New Roman"/>
                <w:b/>
                <w:bCs/>
                <w:color w:val="000000" w:themeColor="text1"/>
                <w:kern w:val="2"/>
                <w:sz w:val="21"/>
                <w:szCs w:val="24"/>
                <w:lang w:val="en-US" w:eastAsia="zh-CN"/>
                <w14:textFill>
                  <w14:solidFill>
                    <w14:schemeClr w14:val="tx1"/>
                  </w14:solidFill>
                </w14:textFill>
              </w:rPr>
              <w:t>4-</w:t>
            </w:r>
            <w:r>
              <w:rPr>
                <w:rFonts w:hint="default" w:ascii="Times New Roman" w:hAnsi="Times New Roman" w:cs="Times New Roman"/>
                <w:b/>
                <w:bCs/>
                <w:color w:val="000000" w:themeColor="text1"/>
                <w:kern w:val="2"/>
                <w:sz w:val="21"/>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kern w:val="2"/>
                <w:sz w:val="21"/>
                <w:szCs w:val="24"/>
                <w14:textFill>
                  <w14:solidFill>
                    <w14:schemeClr w14:val="tx1"/>
                  </w14:solidFill>
                </w14:textFill>
              </w:rPr>
              <w:t xml:space="preserve">  锅炉烟气污染物产生量及排放量一览表</w:t>
            </w:r>
          </w:p>
          <w:tbl>
            <w:tblPr>
              <w:tblStyle w:val="38"/>
              <w:tblW w:w="4998"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760"/>
              <w:gridCol w:w="1208"/>
              <w:gridCol w:w="1219"/>
              <w:gridCol w:w="1050"/>
              <w:gridCol w:w="1660"/>
              <w:gridCol w:w="1219"/>
              <w:gridCol w:w="102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91" w:hRule="atLeast"/>
              </w:trPr>
              <w:tc>
                <w:tcPr>
                  <w:tcW w:w="491"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污染物</w:t>
                  </w:r>
                </w:p>
              </w:tc>
              <w:tc>
                <w:tcPr>
                  <w:tcW w:w="652"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烟气量</w:t>
                  </w:r>
                </w:p>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（Nm</w:t>
                  </w:r>
                  <w:r>
                    <w:rPr>
                      <w:rFonts w:hint="default" w:ascii="Times New Roman" w:hAnsi="Times New Roman" w:eastAsia="宋体" w:cs="Times New Roman"/>
                      <w:b/>
                      <w:bCs/>
                      <w:color w:val="000000" w:themeColor="text1"/>
                      <w:kern w:val="0"/>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/h）</w:t>
                  </w:r>
                </w:p>
              </w:tc>
              <w:tc>
                <w:tcPr>
                  <w:tcW w:w="748"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产生浓度</w:t>
                  </w:r>
                </w:p>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（mg/m</w:t>
                  </w:r>
                  <w:r>
                    <w:rPr>
                      <w:rFonts w:hint="default" w:ascii="Times New Roman" w:hAnsi="Times New Roman" w:eastAsia="宋体" w:cs="Times New Roman"/>
                      <w:b/>
                      <w:bCs/>
                      <w:color w:val="000000" w:themeColor="text1"/>
                      <w:kern w:val="0"/>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w:t>
                  </w:r>
                </w:p>
              </w:tc>
              <w:tc>
                <w:tcPr>
                  <w:tcW w:w="669"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产生量</w:t>
                  </w:r>
                </w:p>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（t/a）</w:t>
                  </w:r>
                </w:p>
              </w:tc>
              <w:tc>
                <w:tcPr>
                  <w:tcW w:w="1043"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治理措施</w:t>
                  </w:r>
                </w:p>
              </w:tc>
              <w:tc>
                <w:tcPr>
                  <w:tcW w:w="748"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排放浓度</w:t>
                  </w:r>
                </w:p>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（mg/m</w:t>
                  </w:r>
                  <w:r>
                    <w:rPr>
                      <w:rFonts w:hint="default" w:ascii="Times New Roman" w:hAnsi="Times New Roman" w:eastAsia="宋体" w:cs="Times New Roman"/>
                      <w:b/>
                      <w:bCs/>
                      <w:color w:val="000000" w:themeColor="text1"/>
                      <w:kern w:val="0"/>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w:t>
                  </w:r>
                </w:p>
              </w:tc>
              <w:tc>
                <w:tcPr>
                  <w:tcW w:w="645"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排放量</w:t>
                  </w:r>
                </w:p>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1" w:hRule="atLeast"/>
              </w:trPr>
              <w:tc>
                <w:tcPr>
                  <w:tcW w:w="491"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烟尘</w:t>
                  </w:r>
                </w:p>
              </w:tc>
              <w:tc>
                <w:tcPr>
                  <w:tcW w:w="652" w:type="pct"/>
                  <w:vMerge w:val="restar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3506.97</w:t>
                  </w:r>
                </w:p>
              </w:tc>
              <w:tc>
                <w:tcPr>
                  <w:tcW w:w="748"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67.07</w:t>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 xml:space="preserve"> </w:t>
                  </w:r>
                </w:p>
              </w:tc>
              <w:tc>
                <w:tcPr>
                  <w:tcW w:w="669"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0.677</w:t>
                  </w:r>
                </w:p>
              </w:tc>
              <w:tc>
                <w:tcPr>
                  <w:tcW w:w="1043" w:type="pct"/>
                  <w:vMerge w:val="restart"/>
                  <w:tcBorders>
                    <w:tl2br w:val="nil"/>
                    <w:tr2bl w:val="nil"/>
                  </w:tcBorders>
                  <w:vAlign w:val="center"/>
                </w:tcPr>
                <w:p>
                  <w:pPr>
                    <w:spacing w:beforeLines="0" w:afterLines="0" w:line="240" w:lineRule="auto"/>
                    <w:jc w:val="left"/>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燃用生物质成型燃料，采用“低氮燃烧</w:t>
                  </w:r>
                  <w:r>
                    <w:rPr>
                      <w:rFonts w:hint="default" w:ascii="Times New Roman" w:hAnsi="Times New Roman" w:eastAsia="TimesNewRomanPSMT" w:cs="Times New Roman"/>
                      <w:color w:val="000000" w:themeColor="text1"/>
                      <w:kern w:val="2"/>
                      <w:sz w:val="21"/>
                      <w:szCs w:val="21"/>
                      <w14:textFill>
                        <w14:solidFill>
                          <w14:schemeClr w14:val="tx1"/>
                        </w14:solidFill>
                      </w14:textFill>
                    </w:rPr>
                    <w:t>+SNCR</w:t>
                  </w:r>
                  <w:r>
                    <w:rPr>
                      <w:rFonts w:hint="default" w:ascii="Times New Roman" w:hAnsi="Times New Roman" w:eastAsia="宋体" w:cs="Times New Roman"/>
                      <w:color w:val="000000" w:themeColor="text1"/>
                      <w:kern w:val="2"/>
                      <w:sz w:val="21"/>
                      <w:szCs w:val="21"/>
                      <w14:textFill>
                        <w14:solidFill>
                          <w14:schemeClr w14:val="tx1"/>
                        </w14:solidFill>
                      </w14:textFill>
                    </w:rPr>
                    <w:t>脱硝</w:t>
                  </w:r>
                  <w:r>
                    <w:rPr>
                      <w:rFonts w:hint="default" w:ascii="Times New Roman" w:hAnsi="Times New Roman" w:eastAsia="TimesNewRomanPSMT" w:cs="Times New Roman"/>
                      <w:color w:val="000000" w:themeColor="text1"/>
                      <w:kern w:val="2"/>
                      <w:sz w:val="21"/>
                      <w:szCs w:val="21"/>
                      <w14:textFill>
                        <w14:solidFill>
                          <w14:schemeClr w14:val="tx1"/>
                        </w14:solidFill>
                      </w14:textFill>
                    </w:rPr>
                    <w:t>+</w:t>
                  </w:r>
                  <w:r>
                    <w:rPr>
                      <w:rFonts w:hint="default" w:ascii="Times New Roman" w:hAnsi="Times New Roman" w:cs="Times New Roman"/>
                      <w:color w:val="000000" w:themeColor="text1"/>
                      <w:kern w:val="2"/>
                      <w:sz w:val="21"/>
                      <w:szCs w:val="21"/>
                      <w:lang w:val="en-US" w:eastAsia="zh-CN"/>
                      <w14:textFill>
                        <w14:solidFill>
                          <w14:schemeClr w14:val="tx1"/>
                        </w14:solidFill>
                      </w14:textFill>
                    </w:rPr>
                    <w:t>旋风</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除尘</w:t>
                  </w:r>
                  <w:r>
                    <w:rPr>
                      <w:rFonts w:hint="default" w:ascii="Times New Roman" w:hAnsi="Times New Roman" w:eastAsia="TimesNewRomanPSMT" w:cs="Times New Roman"/>
                      <w:color w:val="000000" w:themeColor="text1"/>
                      <w:kern w:val="2"/>
                      <w:sz w:val="21"/>
                      <w:szCs w:val="21"/>
                      <w14:textFill>
                        <w14:solidFill>
                          <w14:schemeClr w14:val="tx1"/>
                        </w14:solidFill>
                      </w14:textFill>
                    </w:rPr>
                    <w:t>+</w:t>
                  </w:r>
                  <w:r>
                    <w:rPr>
                      <w:rFonts w:hint="default" w:ascii="Times New Roman" w:hAnsi="Times New Roman" w:eastAsia="宋体" w:cs="Times New Roman"/>
                      <w:color w:val="000000" w:themeColor="text1"/>
                      <w:kern w:val="2"/>
                      <w:sz w:val="21"/>
                      <w:szCs w:val="21"/>
                      <w14:textFill>
                        <w14:solidFill>
                          <w14:schemeClr w14:val="tx1"/>
                        </w14:solidFill>
                      </w14:textFill>
                    </w:rPr>
                    <w:t>布袋除尘器</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”处理后经</w:t>
                  </w: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30</w:t>
                  </w:r>
                  <w:r>
                    <w:rPr>
                      <w:rFonts w:hint="default" w:ascii="Times New Roman" w:hAnsi="Times New Roman" w:eastAsia="TimesNewRomanPSMT" w:cs="Times New Roman"/>
                      <w:color w:val="000000" w:themeColor="text1"/>
                      <w:kern w:val="2"/>
                      <w:sz w:val="21"/>
                      <w:szCs w:val="21"/>
                      <w:highlight w:val="none"/>
                      <w14:textFill>
                        <w14:solidFill>
                          <w14:schemeClr w14:val="tx1"/>
                        </w14:solidFill>
                      </w14:textFill>
                    </w:rPr>
                    <w:t>m</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高排气筒</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DA00</w:t>
                  </w:r>
                  <w:r>
                    <w:rPr>
                      <w:rFonts w:hint="default" w:ascii="Times New Roman" w:hAnsi="Times New Roman" w:cs="Times New Roman"/>
                      <w:color w:val="000000" w:themeColor="text1"/>
                      <w:kern w:val="2"/>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排放</w:t>
                  </w:r>
                  <w:r>
                    <w:rPr>
                      <w:rFonts w:hint="default" w:ascii="Times New Roman" w:hAnsi="Times New Roman" w:eastAsia="宋体" w:cs="Times New Roman"/>
                      <w:color w:val="000000" w:themeColor="text1"/>
                      <w:kern w:val="2"/>
                      <w:sz w:val="21"/>
                      <w:szCs w:val="21"/>
                      <w:highlight w:val="none"/>
                      <w:lang w:eastAsia="zh-CN"/>
                      <w14:textFill>
                        <w14:solidFill>
                          <w14:schemeClr w14:val="tx1"/>
                        </w14:solidFill>
                      </w14:textFill>
                    </w:rPr>
                    <w:t>。</w:t>
                  </w:r>
                </w:p>
              </w:tc>
              <w:tc>
                <w:tcPr>
                  <w:tcW w:w="748"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10</w:t>
                  </w:r>
                </w:p>
              </w:tc>
              <w:tc>
                <w:tcPr>
                  <w:tcW w:w="645"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0.144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62" w:hRule="atLeast"/>
              </w:trPr>
              <w:tc>
                <w:tcPr>
                  <w:tcW w:w="491"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4"/>
                      <w:kern w:val="2"/>
                      <w:sz w:val="21"/>
                      <w:szCs w:val="21"/>
                      <w:lang w:val="en-US" w:eastAsia="zh-CN" w:bidi="ar-SA"/>
                      <w14:textFill>
                        <w14:solidFill>
                          <w14:schemeClr w14:val="tx1"/>
                        </w14:solidFill>
                      </w14:textFill>
                    </w:rPr>
                    <w:t>SO</w:t>
                  </w:r>
                  <w:r>
                    <w:rPr>
                      <w:rFonts w:hint="default" w:ascii="Times New Roman" w:hAnsi="Times New Roman" w:eastAsia="宋体" w:cs="Times New Roman"/>
                      <w:b w:val="0"/>
                      <w:bCs w:val="0"/>
                      <w:color w:val="000000" w:themeColor="text1"/>
                      <w:spacing w:val="4"/>
                      <w:kern w:val="2"/>
                      <w:sz w:val="21"/>
                      <w:szCs w:val="21"/>
                      <w:vertAlign w:val="subscript"/>
                      <w:lang w:val="en-US" w:eastAsia="zh-CN" w:bidi="ar-SA"/>
                      <w14:textFill>
                        <w14:solidFill>
                          <w14:schemeClr w14:val="tx1"/>
                        </w14:solidFill>
                      </w14:textFill>
                    </w:rPr>
                    <w:t>2</w:t>
                  </w:r>
                </w:p>
              </w:tc>
              <w:tc>
                <w:tcPr>
                  <w:tcW w:w="652" w:type="pct"/>
                  <w:vMerge w:val="continue"/>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748"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22.8</w:t>
                  </w:r>
                </w:p>
              </w:tc>
              <w:tc>
                <w:tcPr>
                  <w:tcW w:w="669"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0.</w:t>
                  </w: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23</w:t>
                  </w:r>
                </w:p>
              </w:tc>
              <w:tc>
                <w:tcPr>
                  <w:tcW w:w="1043" w:type="pct"/>
                  <w:vMerge w:val="continue"/>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748"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22.8</w:t>
                  </w:r>
                </w:p>
              </w:tc>
              <w:tc>
                <w:tcPr>
                  <w:tcW w:w="645"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0.</w:t>
                  </w: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23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1" w:hRule="atLeast"/>
              </w:trPr>
              <w:tc>
                <w:tcPr>
                  <w:tcW w:w="491"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pacing w:val="4"/>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NO</w:t>
                  </w:r>
                  <w:r>
                    <w:rPr>
                      <w:rFonts w:hint="default" w:ascii="Times New Roman" w:hAnsi="Times New Roman" w:eastAsia="宋体" w:cs="Times New Roman"/>
                      <w:b w:val="0"/>
                      <w:bCs w:val="0"/>
                      <w:color w:val="000000" w:themeColor="text1"/>
                      <w:kern w:val="2"/>
                      <w:sz w:val="21"/>
                      <w:szCs w:val="21"/>
                      <w:vertAlign w:val="subscript"/>
                      <w:lang w:val="en-US" w:eastAsia="zh-CN" w:bidi="ar-SA"/>
                      <w14:textFill>
                        <w14:solidFill>
                          <w14:schemeClr w14:val="tx1"/>
                        </w14:solidFill>
                      </w14:textFill>
                    </w:rPr>
                    <w:t>x</w:t>
                  </w:r>
                </w:p>
              </w:tc>
              <w:tc>
                <w:tcPr>
                  <w:tcW w:w="652" w:type="pct"/>
                  <w:vMerge w:val="continue"/>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748"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95.24</w:t>
                  </w:r>
                </w:p>
              </w:tc>
              <w:tc>
                <w:tcPr>
                  <w:tcW w:w="669"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0.</w:t>
                  </w: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96</w:t>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 xml:space="preserve"> </w:t>
                  </w:r>
                </w:p>
              </w:tc>
              <w:tc>
                <w:tcPr>
                  <w:tcW w:w="1043" w:type="pct"/>
                  <w:vMerge w:val="continue"/>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748" w:type="pct"/>
                  <w:tcBorders>
                    <w:tl2br w:val="nil"/>
                    <w:tr2bl w:val="nil"/>
                  </w:tcBorders>
                  <w:shd w:val="clear" w:color="auto" w:fill="auto"/>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 xml:space="preserve">48.29 </w:t>
                  </w:r>
                </w:p>
              </w:tc>
              <w:tc>
                <w:tcPr>
                  <w:tcW w:w="645"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0.</w:t>
                  </w: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49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68" w:hRule="atLeast"/>
              </w:trPr>
              <w:tc>
                <w:tcPr>
                  <w:tcW w:w="491"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汞及其化合物</w:t>
                  </w:r>
                </w:p>
              </w:tc>
              <w:tc>
                <w:tcPr>
                  <w:tcW w:w="652" w:type="pct"/>
                  <w:vMerge w:val="continue"/>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748" w:type="pct"/>
                  <w:tcBorders>
                    <w:tl2br w:val="nil"/>
                    <w:tr2bl w:val="nil"/>
                  </w:tcBorders>
                  <w:vAlign w:val="center"/>
                </w:tcPr>
                <w:p>
                  <w:pPr>
                    <w:spacing w:line="240" w:lineRule="auto"/>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2.1</w:t>
                  </w:r>
                  <w:r>
                    <w:rPr>
                      <w:rFonts w:hint="default" w:ascii="Times New Roman" w:hAnsi="Times New Roman" w:eastAsia="宋体" w:cs="Times New Roman"/>
                      <w:bCs/>
                      <w:color w:val="000000" w:themeColor="text1"/>
                      <w:kern w:val="2"/>
                      <w:sz w:val="21"/>
                      <w:szCs w:val="21"/>
                      <w:lang w:val="en-US" w:eastAsia="zh-CN"/>
                      <w14:textFill>
                        <w14:solidFill>
                          <w14:schemeClr w14:val="tx1"/>
                        </w14:solidFill>
                      </w14:textFill>
                    </w:rPr>
                    <w:t>×10</w:t>
                  </w:r>
                  <w:r>
                    <w:rPr>
                      <w:rFonts w:hint="default" w:ascii="Times New Roman" w:hAnsi="Times New Roman" w:eastAsia="宋体" w:cs="Times New Roman"/>
                      <w:bCs/>
                      <w:color w:val="000000" w:themeColor="text1"/>
                      <w:kern w:val="2"/>
                      <w:sz w:val="21"/>
                      <w:szCs w:val="21"/>
                      <w:vertAlign w:val="superscript"/>
                      <w:lang w:val="en-US" w:eastAsia="zh-CN"/>
                      <w14:textFill>
                        <w14:solidFill>
                          <w14:schemeClr w14:val="tx1"/>
                        </w14:solidFill>
                      </w14:textFill>
                    </w:rPr>
                    <w:t>-3</w:t>
                  </w:r>
                </w:p>
              </w:tc>
              <w:tc>
                <w:tcPr>
                  <w:tcW w:w="669" w:type="pct"/>
                  <w:tcBorders>
                    <w:tl2br w:val="nil"/>
                    <w:tr2bl w:val="nil"/>
                  </w:tcBorders>
                  <w:vAlign w:val="center"/>
                </w:tcPr>
                <w:p>
                  <w:pPr>
                    <w:spacing w:line="240" w:lineRule="auto"/>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cs="Times New Roman"/>
                      <w:bCs/>
                      <w:color w:val="000000" w:themeColor="text1"/>
                      <w:kern w:val="2"/>
                      <w:sz w:val="21"/>
                      <w:szCs w:val="21"/>
                      <w:lang w:val="en-US" w:eastAsia="zh-CN"/>
                      <w14:textFill>
                        <w14:solidFill>
                          <w14:schemeClr w14:val="tx1"/>
                        </w14:solidFill>
                      </w14:textFill>
                    </w:rPr>
                    <w:t>2.12</w:t>
                  </w:r>
                  <w:r>
                    <w:rPr>
                      <w:rFonts w:hint="default" w:ascii="Times New Roman" w:hAnsi="Times New Roman" w:eastAsia="宋体" w:cs="Times New Roman"/>
                      <w:bCs/>
                      <w:color w:val="000000" w:themeColor="text1"/>
                      <w:kern w:val="2"/>
                      <w:sz w:val="21"/>
                      <w:szCs w:val="21"/>
                      <w:lang w:val="en-US" w:eastAsia="zh-CN"/>
                      <w14:textFill>
                        <w14:solidFill>
                          <w14:schemeClr w14:val="tx1"/>
                        </w14:solidFill>
                      </w14:textFill>
                    </w:rPr>
                    <w:t>×10</w:t>
                  </w:r>
                  <w:r>
                    <w:rPr>
                      <w:rFonts w:hint="default" w:ascii="Times New Roman" w:hAnsi="Times New Roman" w:eastAsia="宋体" w:cs="Times New Roman"/>
                      <w:bCs/>
                      <w:color w:val="000000" w:themeColor="text1"/>
                      <w:kern w:val="2"/>
                      <w:sz w:val="21"/>
                      <w:szCs w:val="21"/>
                      <w:vertAlign w:val="superscript"/>
                      <w:lang w:val="en-US" w:eastAsia="zh-CN"/>
                      <w14:textFill>
                        <w14:solidFill>
                          <w14:schemeClr w14:val="tx1"/>
                        </w14:solidFill>
                      </w14:textFill>
                    </w:rPr>
                    <w:t>-5</w:t>
                  </w:r>
                </w:p>
              </w:tc>
              <w:tc>
                <w:tcPr>
                  <w:tcW w:w="1043" w:type="pct"/>
                  <w:vMerge w:val="continue"/>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748" w:type="pct"/>
                  <w:tcBorders>
                    <w:tl2br w:val="nil"/>
                    <w:tr2bl w:val="nil"/>
                  </w:tcBorders>
                  <w:vAlign w:val="center"/>
                </w:tcPr>
                <w:p>
                  <w:pPr>
                    <w:spacing w:line="240" w:lineRule="auto"/>
                    <w:jc w:val="cente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pP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6</w:t>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.3</w:t>
                  </w: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1</w:t>
                  </w:r>
                  <w:r>
                    <w:rPr>
                      <w:rFonts w:hint="default" w:ascii="Times New Roman" w:hAnsi="Times New Roman" w:eastAsia="宋体" w:cs="Times New Roman"/>
                      <w:bCs/>
                      <w:color w:val="000000" w:themeColor="text1"/>
                      <w:kern w:val="2"/>
                      <w:sz w:val="21"/>
                      <w:szCs w:val="21"/>
                      <w:lang w:val="en-US" w:eastAsia="zh-CN"/>
                      <w14:textFill>
                        <w14:solidFill>
                          <w14:schemeClr w14:val="tx1"/>
                        </w14:solidFill>
                      </w14:textFill>
                    </w:rPr>
                    <w:t>×10</w:t>
                  </w:r>
                  <w:r>
                    <w:rPr>
                      <w:rFonts w:hint="default" w:ascii="Times New Roman" w:hAnsi="Times New Roman" w:eastAsia="宋体" w:cs="Times New Roman"/>
                      <w:bCs/>
                      <w:color w:val="000000" w:themeColor="text1"/>
                      <w:kern w:val="2"/>
                      <w:sz w:val="21"/>
                      <w:szCs w:val="21"/>
                      <w:vertAlign w:val="superscript"/>
                      <w:lang w:val="en-US" w:eastAsia="zh-CN"/>
                      <w14:textFill>
                        <w14:solidFill>
                          <w14:schemeClr w14:val="tx1"/>
                        </w14:solidFill>
                      </w14:textFill>
                    </w:rPr>
                    <w:t>-4</w:t>
                  </w:r>
                </w:p>
              </w:tc>
              <w:tc>
                <w:tcPr>
                  <w:tcW w:w="645" w:type="pct"/>
                  <w:tcBorders>
                    <w:tl2br w:val="nil"/>
                    <w:tr2bl w:val="nil"/>
                  </w:tcBorders>
                  <w:vAlign w:val="center"/>
                </w:tcPr>
                <w:p>
                  <w:pPr>
                    <w:spacing w:line="24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cs="Times New Roman"/>
                      <w:bCs/>
                      <w:color w:val="000000" w:themeColor="text1"/>
                      <w:kern w:val="2"/>
                      <w:sz w:val="21"/>
                      <w:szCs w:val="21"/>
                      <w:highlight w:val="none"/>
                      <w:lang w:val="en-US" w:eastAsia="zh-CN"/>
                      <w14:textFill>
                        <w14:solidFill>
                          <w14:schemeClr w14:val="tx1"/>
                        </w14:solidFill>
                      </w14:textFill>
                    </w:rPr>
                    <w:t>6.37</w:t>
                  </w:r>
                  <w:r>
                    <w:rPr>
                      <w:rFonts w:hint="default"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t>×10</w:t>
                  </w:r>
                  <w:r>
                    <w:rPr>
                      <w:rFonts w:hint="default" w:ascii="Times New Roman" w:hAnsi="Times New Roman" w:eastAsia="宋体" w:cs="Times New Roman"/>
                      <w:bCs/>
                      <w:color w:val="000000" w:themeColor="text1"/>
                      <w:kern w:val="2"/>
                      <w:sz w:val="21"/>
                      <w:szCs w:val="21"/>
                      <w:highlight w:val="none"/>
                      <w:vertAlign w:val="superscript"/>
                      <w:lang w:val="en-US" w:eastAsia="zh-CN"/>
                      <w14:textFill>
                        <w14:solidFill>
                          <w14:schemeClr w14:val="tx1"/>
                        </w14:solidFill>
                      </w14:textFill>
                    </w:rPr>
                    <w:t>-6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1" w:hRule="atLeast"/>
              </w:trPr>
              <w:tc>
                <w:tcPr>
                  <w:tcW w:w="491"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cs="Times New Roman"/>
                      <w:b w:val="0"/>
                      <w:bCs w:val="0"/>
                      <w:color w:val="000000" w:themeColor="text1"/>
                      <w:kern w:val="2"/>
                      <w:sz w:val="21"/>
                      <w:szCs w:val="21"/>
                      <w:lang w:val="en-US" w:eastAsia="zh-CN" w:bidi="ar-SA"/>
                      <w14:textFill>
                        <w14:solidFill>
                          <w14:schemeClr w14:val="tx1"/>
                        </w14:solidFill>
                      </w14:textFill>
                    </w:rPr>
                    <w:t>CO</w:t>
                  </w:r>
                </w:p>
              </w:tc>
              <w:tc>
                <w:tcPr>
                  <w:tcW w:w="652" w:type="pct"/>
                  <w:vMerge w:val="continue"/>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748" w:type="pct"/>
                  <w:tcBorders>
                    <w:tl2br w:val="nil"/>
                    <w:tr2bl w:val="nil"/>
                  </w:tcBorders>
                  <w:vAlign w:val="center"/>
                </w:tcPr>
                <w:p>
                  <w:pPr>
                    <w:spacing w:line="240" w:lineRule="auto"/>
                    <w:jc w:val="center"/>
                    <w:rPr>
                      <w:rFonts w:hint="default" w:ascii="Times New Roman"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200</w:t>
                  </w:r>
                </w:p>
              </w:tc>
              <w:tc>
                <w:tcPr>
                  <w:tcW w:w="669" w:type="pct"/>
                  <w:tcBorders>
                    <w:tl2br w:val="nil"/>
                    <w:tr2bl w:val="nil"/>
                  </w:tcBorders>
                  <w:vAlign w:val="center"/>
                </w:tcPr>
                <w:p>
                  <w:pPr>
                    <w:spacing w:line="240" w:lineRule="auto"/>
                    <w:jc w:val="center"/>
                    <w:rPr>
                      <w:rFonts w:hint="default" w:ascii="Times New Roman" w:cs="Times New Roman"/>
                      <w:bCs/>
                      <w:color w:val="000000" w:themeColor="text1"/>
                      <w:kern w:val="2"/>
                      <w:sz w:val="21"/>
                      <w:szCs w:val="21"/>
                      <w:lang w:val="en-US" w:eastAsia="zh-CN"/>
                      <w14:textFill>
                        <w14:solidFill>
                          <w14:schemeClr w14:val="tx1"/>
                        </w14:solidFill>
                      </w14:textFill>
                    </w:rPr>
                  </w:pPr>
                  <w:r>
                    <w:rPr>
                      <w:rFonts w:hint="eastAsia" w:ascii="Times New Roman" w:cs="Times New Roman"/>
                      <w:bCs/>
                      <w:color w:val="000000" w:themeColor="text1"/>
                      <w:kern w:val="2"/>
                      <w:sz w:val="21"/>
                      <w:szCs w:val="21"/>
                      <w:lang w:val="en-US" w:eastAsia="zh-CN"/>
                      <w14:textFill>
                        <w14:solidFill>
                          <w14:schemeClr w14:val="tx1"/>
                        </w14:solidFill>
                      </w14:textFill>
                    </w:rPr>
                    <w:t>2.02</w:t>
                  </w:r>
                </w:p>
              </w:tc>
              <w:tc>
                <w:tcPr>
                  <w:tcW w:w="1043" w:type="pct"/>
                  <w:vMerge w:val="continue"/>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jc w:val="center"/>
                    <w:textAlignment w:val="auto"/>
                    <w:outlineLvl w:val="9"/>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tc>
              <w:tc>
                <w:tcPr>
                  <w:tcW w:w="748" w:type="pct"/>
                  <w:tcBorders>
                    <w:tl2br w:val="nil"/>
                    <w:tr2bl w:val="nil"/>
                  </w:tcBorders>
                  <w:shd w:val="clear" w:color="auto" w:fill="auto"/>
                  <w:vAlign w:val="center"/>
                </w:tcPr>
                <w:p>
                  <w:pPr>
                    <w:spacing w:line="240" w:lineRule="auto"/>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200</w:t>
                  </w:r>
                </w:p>
              </w:tc>
              <w:tc>
                <w:tcPr>
                  <w:tcW w:w="645" w:type="pct"/>
                  <w:tcBorders>
                    <w:tl2br w:val="nil"/>
                    <w:tr2bl w:val="nil"/>
                  </w:tcBorders>
                  <w:shd w:val="clear" w:color="auto" w:fill="auto"/>
                  <w:vAlign w:val="center"/>
                </w:tcPr>
                <w:p>
                  <w:pPr>
                    <w:spacing w:line="240" w:lineRule="auto"/>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cs="Times New Roman"/>
                      <w:bCs/>
                      <w:color w:val="000000" w:themeColor="text1"/>
                      <w:kern w:val="2"/>
                      <w:sz w:val="21"/>
                      <w:szCs w:val="21"/>
                      <w:lang w:val="en-US" w:eastAsia="zh-CN"/>
                      <w14:textFill>
                        <w14:solidFill>
                          <w14:schemeClr w14:val="tx1"/>
                        </w14:solidFill>
                      </w14:textFill>
                    </w:rPr>
                    <w:t>2.02</w:t>
                  </w:r>
                </w:p>
              </w:tc>
            </w:tr>
          </w:tbl>
          <w:p>
            <w:pPr>
              <w:keepNext w:val="0"/>
              <w:keepLines w:val="0"/>
              <w:pageBreakBefore w:val="0"/>
              <w:widowControl/>
              <w:numPr>
                <w:ilvl w:val="0"/>
                <w:numId w:val="0"/>
              </w:numPr>
              <w:kinsoku/>
              <w:wordWrap/>
              <w:overflowPunct/>
              <w:topLinePunct w:val="0"/>
              <w:bidi w:val="0"/>
              <w:snapToGrid w:val="0"/>
              <w:spacing w:line="460" w:lineRule="atLeast"/>
              <w:textAlignment w:val="auto"/>
              <w:rPr>
                <w:rFonts w:hint="default" w:ascii="Times New Roman" w:hAnsi="Times New Roman" w:eastAsia="宋体" w:cs="Times New Roman"/>
                <w:b/>
                <w:bCs/>
                <w:kern w:val="0"/>
                <w:sz w:val="24"/>
                <w:szCs w:val="24"/>
                <w:highlight w:val="none"/>
                <w:lang w:val="en-US" w:eastAsia="zh-CN"/>
              </w:rPr>
            </w:pPr>
            <w:r>
              <w:rPr>
                <w:rFonts w:hint="default" w:ascii="Times New Roman" w:hAnsi="Times New Roman" w:eastAsia="宋体" w:cs="Times New Roman"/>
                <w:b/>
                <w:bCs/>
                <w:kern w:val="0"/>
                <w:sz w:val="24"/>
                <w:szCs w:val="24"/>
                <w:lang w:val="en-US" w:eastAsia="zh-CN" w:bidi="ar-SA"/>
              </w:rPr>
              <w:t>（</w:t>
            </w:r>
            <w:r>
              <w:rPr>
                <w:rFonts w:hint="default" w:ascii="Times New Roman" w:hAnsi="Times New Roman" w:cs="Times New Roman"/>
                <w:b/>
                <w:bCs/>
                <w:kern w:val="0"/>
                <w:sz w:val="24"/>
                <w:szCs w:val="24"/>
                <w:lang w:val="en-US" w:eastAsia="zh-CN" w:bidi="ar-SA"/>
              </w:rPr>
              <w:t>2</w:t>
            </w:r>
            <w:r>
              <w:rPr>
                <w:rFonts w:hint="default" w:ascii="Times New Roman" w:hAnsi="Times New Roman" w:eastAsia="宋体" w:cs="Times New Roman"/>
                <w:b/>
                <w:bCs/>
                <w:kern w:val="0"/>
                <w:sz w:val="24"/>
                <w:szCs w:val="24"/>
                <w:lang w:val="en-US" w:eastAsia="zh-CN" w:bidi="ar-SA"/>
              </w:rPr>
              <w:t>）</w:t>
            </w:r>
            <w:r>
              <w:rPr>
                <w:rFonts w:hint="default" w:ascii="Times New Roman" w:hAnsi="Times New Roman" w:cs="Times New Roman"/>
                <w:b/>
                <w:bCs/>
                <w:kern w:val="0"/>
                <w:sz w:val="24"/>
                <w:szCs w:val="24"/>
                <w:highlight w:val="none"/>
                <w:lang w:val="en-US" w:eastAsia="zh-CN"/>
              </w:rPr>
              <w:t>污水处理站恶臭</w:t>
            </w:r>
          </w:p>
          <w:p>
            <w:pPr>
              <w:keepNext w:val="0"/>
              <w:keepLines w:val="0"/>
              <w:pageBreakBefore w:val="0"/>
              <w:widowControl w:val="0"/>
              <w:kinsoku/>
              <w:wordWrap/>
              <w:overflowPunct/>
              <w:topLinePunct w:val="0"/>
              <w:autoSpaceDE w:val="0"/>
              <w:autoSpaceDN w:val="0"/>
              <w:bidi w:val="0"/>
              <w:adjustRightInd w:val="0"/>
              <w:spacing w:line="460" w:lineRule="atLeast"/>
              <w:ind w:firstLine="480" w:firstLineChars="200"/>
              <w:jc w:val="both"/>
              <w:textAlignment w:val="auto"/>
              <w:rPr>
                <w:rFonts w:ascii="Times New Roman" w:hAnsi="Times New Roman" w:eastAsia="宋体" w:cs="Times New Roman"/>
                <w:color w:val="auto"/>
                <w:sz w:val="24"/>
                <w:szCs w:val="24"/>
                <w:lang w:val="en-US" w:eastAsia="zh-CN" w:bidi="ar-SA"/>
              </w:rPr>
            </w:pPr>
            <w:r>
              <w:rPr>
                <w:rFonts w:hint="eastAsia" w:ascii="Times New Roman" w:hAnsi="Times New Roman" w:eastAsia="宋体" w:cs="Times New Roman"/>
                <w:color w:val="auto"/>
                <w:sz w:val="24"/>
                <w:szCs w:val="24"/>
                <w:lang w:val="en-US" w:eastAsia="zh-CN" w:bidi="ar-SA"/>
              </w:rPr>
              <w:t>本项目</w:t>
            </w:r>
            <w:r>
              <w:rPr>
                <w:rFonts w:ascii="Times New Roman" w:hAnsi="Times New Roman" w:eastAsia="宋体" w:cs="Times New Roman"/>
                <w:color w:val="auto"/>
                <w:sz w:val="24"/>
                <w:szCs w:val="24"/>
                <w:lang w:val="en-US" w:eastAsia="zh-CN" w:bidi="ar-SA"/>
              </w:rPr>
              <w:t>污水处理站运行过程中会产生恶臭，在运行过程中的恶臭气体主要来自生化处理，产生的恶臭主要以氨气和硫化氢为主，本项目臭气污染源源强采用美国EPA对城市污水处理厂恶臭污染物产生情况的研究，每处理1g的BOD</w:t>
            </w:r>
            <w:r>
              <w:rPr>
                <w:rFonts w:ascii="Times New Roman" w:hAnsi="Times New Roman" w:eastAsia="宋体" w:cs="Times New Roman"/>
                <w:color w:val="auto"/>
                <w:sz w:val="24"/>
                <w:szCs w:val="24"/>
                <w:vertAlign w:val="subscript"/>
                <w:lang w:val="en-US" w:eastAsia="zh-CN" w:bidi="ar-SA"/>
              </w:rPr>
              <w:t>5</w:t>
            </w:r>
            <w:r>
              <w:rPr>
                <w:rFonts w:ascii="Times New Roman" w:hAnsi="Times New Roman" w:eastAsia="宋体" w:cs="Times New Roman"/>
                <w:color w:val="auto"/>
                <w:sz w:val="24"/>
                <w:szCs w:val="24"/>
                <w:lang w:val="en-US" w:eastAsia="zh-CN" w:bidi="ar-SA"/>
              </w:rPr>
              <w:t>，可产生约3.1mg的氨和0.12mg的硫化氢。</w:t>
            </w:r>
          </w:p>
          <w:p>
            <w:pPr>
              <w:keepNext w:val="0"/>
              <w:keepLines w:val="0"/>
              <w:pageBreakBefore w:val="0"/>
              <w:widowControl w:val="0"/>
              <w:kinsoku/>
              <w:wordWrap/>
              <w:overflowPunct/>
              <w:topLinePunct w:val="0"/>
              <w:autoSpaceDE w:val="0"/>
              <w:autoSpaceDN w:val="0"/>
              <w:bidi w:val="0"/>
              <w:adjustRightInd w:val="0"/>
              <w:spacing w:line="460" w:lineRule="atLeast"/>
              <w:ind w:firstLine="480" w:firstLineChars="200"/>
              <w:jc w:val="both"/>
              <w:textAlignment w:val="auto"/>
              <w:rPr>
                <w:rFonts w:ascii="Times New Roman" w:hAnsi="Times New Roman" w:eastAsia="宋体" w:cs="Times New Roman"/>
                <w:color w:val="auto"/>
                <w:sz w:val="24"/>
                <w:szCs w:val="24"/>
                <w:lang w:val="en-US" w:eastAsia="zh-CN" w:bidi="ar-SA"/>
              </w:rPr>
            </w:pPr>
            <w:r>
              <w:rPr>
                <w:rFonts w:ascii="Times New Roman" w:hAnsi="Times New Roman" w:eastAsia="宋体" w:cs="Times New Roman"/>
                <w:color w:val="auto"/>
                <w:sz w:val="24"/>
                <w:szCs w:val="24"/>
                <w:lang w:val="en-US" w:eastAsia="zh-CN" w:bidi="ar-SA"/>
              </w:rPr>
              <w:t>本项目</w:t>
            </w:r>
            <w:r>
              <w:rPr>
                <w:rFonts w:hint="eastAsia" w:ascii="Times New Roman" w:hAnsi="Times New Roman" w:eastAsia="宋体" w:cs="Times New Roman"/>
                <w:color w:val="auto"/>
                <w:sz w:val="24"/>
                <w:szCs w:val="24"/>
                <w:lang w:val="en-US" w:eastAsia="zh-CN" w:bidi="ar-SA"/>
              </w:rPr>
              <w:t>混合</w:t>
            </w:r>
            <w:r>
              <w:rPr>
                <w:rFonts w:ascii="Times New Roman" w:hAnsi="Times New Roman" w:eastAsia="宋体" w:cs="Times New Roman"/>
                <w:color w:val="auto"/>
                <w:sz w:val="24"/>
                <w:szCs w:val="24"/>
                <w:lang w:val="en-US" w:eastAsia="zh-CN" w:bidi="ar-SA"/>
              </w:rPr>
              <w:t>废水中BOD浓度为</w:t>
            </w:r>
            <w:r>
              <w:rPr>
                <w:rFonts w:hint="eastAsia" w:ascii="Times New Roman" w:hAnsi="Times New Roman" w:eastAsia="宋体" w:cs="Times New Roman"/>
                <w:color w:val="auto"/>
                <w:sz w:val="24"/>
                <w:szCs w:val="24"/>
                <w:lang w:val="en-US" w:eastAsia="zh-CN" w:bidi="ar-SA"/>
              </w:rPr>
              <w:t>600</w:t>
            </w:r>
            <w:r>
              <w:rPr>
                <w:rFonts w:ascii="Times New Roman" w:hAnsi="Times New Roman" w:eastAsia="宋体" w:cs="Times New Roman"/>
                <w:color w:val="auto"/>
                <w:sz w:val="24"/>
                <w:szCs w:val="24"/>
                <w:lang w:val="en-US" w:eastAsia="zh-CN" w:bidi="ar-SA"/>
              </w:rPr>
              <w:t>mg</w:t>
            </w:r>
            <w:r>
              <w:rPr>
                <w:rFonts w:hint="eastAsia" w:ascii="Times New Roman" w:hAnsi="Times New Roman" w:eastAsia="宋体" w:cs="Times New Roman"/>
                <w:color w:val="auto"/>
                <w:sz w:val="24"/>
                <w:szCs w:val="24"/>
                <w:lang w:val="en-US" w:eastAsia="zh-CN" w:bidi="ar-SA"/>
              </w:rPr>
              <w:t>/L</w:t>
            </w:r>
            <w:r>
              <w:rPr>
                <w:rFonts w:ascii="Times New Roman" w:hAnsi="Times New Roman" w:eastAsia="宋体" w:cs="Times New Roman"/>
                <w:color w:val="auto"/>
                <w:sz w:val="24"/>
                <w:szCs w:val="24"/>
                <w:lang w:val="en-US" w:eastAsia="zh-CN" w:bidi="ar-SA"/>
              </w:rPr>
              <w:t>，处理后浓度为</w:t>
            </w:r>
            <w:r>
              <w:rPr>
                <w:rFonts w:hint="eastAsia" w:ascii="Times New Roman" w:hAnsi="Times New Roman" w:eastAsia="宋体" w:cs="Times New Roman"/>
                <w:color w:val="auto"/>
                <w:sz w:val="24"/>
                <w:szCs w:val="24"/>
                <w:lang w:val="en-US" w:eastAsia="zh-CN" w:bidi="ar-SA"/>
              </w:rPr>
              <w:t>120</w:t>
            </w:r>
            <w:r>
              <w:rPr>
                <w:rFonts w:ascii="Times New Roman" w:hAnsi="Times New Roman" w:eastAsia="宋体" w:cs="Times New Roman"/>
                <w:color w:val="auto"/>
                <w:sz w:val="24"/>
                <w:szCs w:val="24"/>
                <w:lang w:val="en-US" w:eastAsia="zh-CN" w:bidi="ar-SA"/>
              </w:rPr>
              <w:t>mg/</w:t>
            </w:r>
            <w:r>
              <w:rPr>
                <w:rFonts w:hint="eastAsia" w:ascii="Times New Roman" w:hAnsi="Times New Roman" w:eastAsia="宋体" w:cs="Times New Roman"/>
                <w:color w:val="auto"/>
                <w:sz w:val="24"/>
                <w:szCs w:val="24"/>
                <w:lang w:val="en-US" w:eastAsia="zh-CN" w:bidi="ar-SA"/>
              </w:rPr>
              <w:t>L，处理</w:t>
            </w:r>
            <w:r>
              <w:rPr>
                <w:rFonts w:ascii="Times New Roman" w:hAnsi="Times New Roman" w:eastAsia="宋体" w:cs="Times New Roman"/>
                <w:color w:val="auto"/>
                <w:sz w:val="24"/>
                <w:szCs w:val="24"/>
                <w:lang w:val="en-US" w:eastAsia="zh-CN" w:bidi="ar-SA"/>
              </w:rPr>
              <w:t>废水量为</w:t>
            </w:r>
            <w:r>
              <w:rPr>
                <w:rFonts w:hint="eastAsia" w:ascii="Times New Roman" w:hAnsi="Times New Roman" w:eastAsia="宋体" w:cs="Times New Roman"/>
                <w:bCs/>
                <w:color w:val="auto"/>
                <w:sz w:val="24"/>
                <w:szCs w:val="24"/>
                <w:highlight w:val="none"/>
                <w:lang w:val="en-US" w:eastAsia="zh-CN"/>
              </w:rPr>
              <w:t>2512.8m</w:t>
            </w:r>
            <w:r>
              <w:rPr>
                <w:rFonts w:ascii="Times New Roman" w:hAnsi="Times New Roman" w:eastAsia="宋体" w:cs="Times New Roman"/>
                <w:color w:val="auto"/>
                <w:sz w:val="24"/>
                <w:szCs w:val="24"/>
                <w:lang w:val="en-US" w:eastAsia="zh-CN" w:bidi="ar-SA"/>
              </w:rPr>
              <w:t>³/</w:t>
            </w:r>
            <w:r>
              <w:rPr>
                <w:rFonts w:hint="eastAsia" w:ascii="Times New Roman" w:hAnsi="Times New Roman" w:eastAsia="宋体" w:cs="Times New Roman"/>
                <w:color w:val="auto"/>
                <w:sz w:val="24"/>
                <w:szCs w:val="24"/>
                <w:lang w:val="en-US" w:eastAsia="zh-CN" w:bidi="ar-SA"/>
              </w:rPr>
              <w:t>a</w:t>
            </w:r>
            <w:r>
              <w:rPr>
                <w:rFonts w:ascii="Times New Roman" w:hAnsi="Times New Roman" w:eastAsia="宋体" w:cs="Times New Roman"/>
                <w:color w:val="auto"/>
                <w:sz w:val="24"/>
                <w:szCs w:val="24"/>
                <w:lang w:val="en-US" w:eastAsia="zh-CN" w:bidi="ar-SA"/>
              </w:rPr>
              <w:t>，则BOD去除量为：</w:t>
            </w:r>
            <w:r>
              <w:rPr>
                <w:rFonts w:hint="eastAsia" w:ascii="Times New Roman" w:hAnsi="Times New Roman" w:eastAsia="宋体" w:cs="Times New Roman"/>
                <w:bCs/>
                <w:color w:val="auto"/>
                <w:sz w:val="24"/>
                <w:szCs w:val="24"/>
                <w:highlight w:val="none"/>
                <w:lang w:val="en-US" w:eastAsia="zh-CN"/>
              </w:rPr>
              <w:t>3798</w:t>
            </w:r>
            <w:r>
              <w:rPr>
                <w:rFonts w:ascii="Times New Roman" w:hAnsi="Times New Roman" w:eastAsia="宋体" w:cs="Times New Roman"/>
                <w:color w:val="auto"/>
                <w:sz w:val="24"/>
                <w:szCs w:val="24"/>
                <w:lang w:val="en-US" w:eastAsia="zh-CN" w:bidi="ar-SA"/>
              </w:rPr>
              <w:t>m³/</w:t>
            </w:r>
            <w:r>
              <w:rPr>
                <w:rFonts w:hint="eastAsia" w:ascii="Times New Roman" w:hAnsi="Times New Roman" w:eastAsia="宋体" w:cs="Times New Roman"/>
                <w:color w:val="auto"/>
                <w:sz w:val="24"/>
                <w:szCs w:val="24"/>
                <w:lang w:val="en-US" w:eastAsia="zh-CN" w:bidi="ar-SA"/>
              </w:rPr>
              <w:t>a</w:t>
            </w:r>
            <w:r>
              <w:rPr>
                <w:rFonts w:ascii="Times New Roman" w:hAnsi="Times New Roman" w:eastAsia="宋体" w:cs="Times New Roman"/>
                <w:color w:val="auto"/>
                <w:sz w:val="24"/>
                <w:szCs w:val="24"/>
                <w:lang w:val="en-US" w:eastAsia="zh-CN" w:bidi="ar-SA"/>
              </w:rPr>
              <w:t>×（</w:t>
            </w:r>
            <w:r>
              <w:rPr>
                <w:rFonts w:hint="eastAsia" w:ascii="Times New Roman" w:hAnsi="Times New Roman" w:eastAsia="宋体" w:cs="Times New Roman"/>
                <w:color w:val="auto"/>
                <w:sz w:val="24"/>
                <w:szCs w:val="24"/>
                <w:lang w:val="en-US" w:eastAsia="zh-CN" w:bidi="ar-SA"/>
              </w:rPr>
              <w:t>600</w:t>
            </w:r>
            <w:r>
              <w:rPr>
                <w:rFonts w:ascii="Times New Roman" w:hAnsi="Times New Roman" w:eastAsia="宋体" w:cs="Times New Roman"/>
                <w:color w:val="auto"/>
                <w:sz w:val="24"/>
                <w:szCs w:val="24"/>
                <w:lang w:val="en-US" w:eastAsia="zh-CN" w:bidi="ar-SA"/>
              </w:rPr>
              <w:t>-</w:t>
            </w:r>
            <w:r>
              <w:rPr>
                <w:rFonts w:hint="eastAsia" w:ascii="Times New Roman" w:hAnsi="Times New Roman" w:eastAsia="宋体" w:cs="Times New Roman"/>
                <w:color w:val="auto"/>
                <w:sz w:val="24"/>
                <w:szCs w:val="24"/>
                <w:lang w:val="en-US" w:eastAsia="zh-CN" w:bidi="ar-SA"/>
              </w:rPr>
              <w:t>120</w:t>
            </w:r>
            <w:r>
              <w:rPr>
                <w:rFonts w:ascii="Times New Roman" w:hAnsi="Times New Roman" w:eastAsia="宋体" w:cs="Times New Roman"/>
                <w:color w:val="auto"/>
                <w:sz w:val="24"/>
                <w:szCs w:val="24"/>
                <w:lang w:val="en-US" w:eastAsia="zh-CN" w:bidi="ar-SA"/>
              </w:rPr>
              <w:t>）mg/</w:t>
            </w:r>
            <w:r>
              <w:rPr>
                <w:rFonts w:hint="eastAsia" w:ascii="Times New Roman" w:hAnsi="Times New Roman" w:eastAsia="宋体" w:cs="Times New Roman"/>
                <w:color w:val="auto"/>
                <w:sz w:val="24"/>
                <w:szCs w:val="24"/>
                <w:lang w:val="en-US" w:eastAsia="zh-CN" w:bidi="ar-SA"/>
              </w:rPr>
              <w:t>L</w:t>
            </w:r>
            <w:r>
              <w:rPr>
                <w:rFonts w:ascii="Times New Roman" w:hAnsi="Times New Roman" w:eastAsia="宋体" w:cs="Times New Roman"/>
                <w:color w:val="auto"/>
                <w:sz w:val="24"/>
                <w:szCs w:val="24"/>
                <w:lang w:val="en-US" w:eastAsia="zh-CN" w:bidi="ar-SA"/>
              </w:rPr>
              <w:t>÷10</w:t>
            </w:r>
            <w:r>
              <w:rPr>
                <w:rFonts w:ascii="Times New Roman" w:hAnsi="Times New Roman" w:eastAsia="宋体" w:cs="Times New Roman"/>
                <w:color w:val="auto"/>
                <w:sz w:val="24"/>
                <w:szCs w:val="24"/>
                <w:vertAlign w:val="superscript"/>
                <w:lang w:val="en-US" w:eastAsia="zh-CN" w:bidi="ar-SA"/>
              </w:rPr>
              <w:t>6</w:t>
            </w:r>
            <w:r>
              <w:rPr>
                <w:rFonts w:ascii="Times New Roman" w:hAnsi="Times New Roman" w:eastAsia="宋体" w:cs="Times New Roman"/>
                <w:color w:val="auto"/>
                <w:sz w:val="24"/>
                <w:szCs w:val="24"/>
                <w:lang w:val="en-US" w:eastAsia="zh-CN" w:bidi="ar-SA"/>
              </w:rPr>
              <w:t>=</w:t>
            </w:r>
            <w:r>
              <w:rPr>
                <w:rFonts w:hint="eastAsia" w:ascii="Times New Roman" w:hAnsi="Times New Roman" w:eastAsia="宋体" w:cs="Times New Roman"/>
                <w:color w:val="auto"/>
                <w:sz w:val="24"/>
                <w:szCs w:val="24"/>
                <w:lang w:val="en-US" w:eastAsia="zh-CN" w:bidi="ar-SA"/>
              </w:rPr>
              <w:t>1.82</w:t>
            </w:r>
            <w:r>
              <w:rPr>
                <w:rFonts w:ascii="Times New Roman" w:hAnsi="Times New Roman" w:eastAsia="宋体" w:cs="Times New Roman"/>
                <w:color w:val="auto"/>
                <w:sz w:val="24"/>
                <w:szCs w:val="24"/>
                <w:lang w:val="en-US" w:eastAsia="zh-CN" w:bidi="ar-SA"/>
              </w:rPr>
              <w:t>t/a，则污水处理站氨、硫化氢产生量分别为</w:t>
            </w:r>
            <w:r>
              <w:rPr>
                <w:rFonts w:hint="eastAsia" w:ascii="Times New Roman" w:hAnsi="Times New Roman" w:eastAsia="宋体" w:cs="Times New Roman"/>
                <w:color w:val="auto"/>
                <w:sz w:val="24"/>
                <w:szCs w:val="24"/>
                <w:lang w:val="en-US" w:eastAsia="zh-CN" w:bidi="ar-SA"/>
              </w:rPr>
              <w:t>5.7</w:t>
            </w:r>
            <w:r>
              <w:rPr>
                <w:rFonts w:hint="default" w:ascii="Times New Roman" w:hAnsi="Times New Roman" w:eastAsia="宋体" w:cs="Times New Roman"/>
                <w:color w:val="auto"/>
                <w:sz w:val="24"/>
                <w:szCs w:val="24"/>
                <w:lang w:val="en-US" w:eastAsia="zh-CN" w:bidi="ar-SA"/>
              </w:rPr>
              <w:t>×</w:t>
            </w:r>
            <w:r>
              <w:rPr>
                <w:rFonts w:hint="eastAsia" w:ascii="Times New Roman" w:hAnsi="Times New Roman" w:eastAsia="宋体" w:cs="Times New Roman"/>
                <w:color w:val="auto"/>
                <w:sz w:val="24"/>
                <w:szCs w:val="24"/>
                <w:lang w:val="en-US" w:eastAsia="zh-CN" w:bidi="ar-SA"/>
              </w:rPr>
              <w:t>10</w:t>
            </w:r>
            <w:r>
              <w:rPr>
                <w:rFonts w:hint="eastAsia" w:ascii="Times New Roman" w:hAnsi="Times New Roman" w:eastAsia="宋体" w:cs="Times New Roman"/>
                <w:color w:val="auto"/>
                <w:sz w:val="24"/>
                <w:szCs w:val="24"/>
                <w:vertAlign w:val="superscript"/>
                <w:lang w:val="en-US" w:eastAsia="zh-CN" w:bidi="ar-SA"/>
              </w:rPr>
              <w:t>-3</w:t>
            </w:r>
            <w:r>
              <w:rPr>
                <w:rFonts w:ascii="Times New Roman" w:hAnsi="Times New Roman" w:eastAsia="宋体" w:cs="Times New Roman"/>
                <w:color w:val="auto"/>
                <w:sz w:val="24"/>
                <w:szCs w:val="24"/>
                <w:lang w:val="en-US" w:eastAsia="zh-CN" w:bidi="ar-SA"/>
              </w:rPr>
              <w:t>t/a、</w:t>
            </w:r>
            <w:r>
              <w:rPr>
                <w:rFonts w:hint="eastAsia" w:ascii="Times New Roman" w:hAnsi="Times New Roman" w:eastAsia="宋体" w:cs="Times New Roman"/>
                <w:color w:val="auto"/>
                <w:sz w:val="24"/>
                <w:szCs w:val="24"/>
                <w:lang w:val="en-US" w:eastAsia="zh-CN" w:bidi="ar-SA"/>
              </w:rPr>
              <w:t>2.2</w:t>
            </w:r>
            <w:r>
              <w:rPr>
                <w:rFonts w:hint="default" w:ascii="Times New Roman" w:hAnsi="Times New Roman" w:eastAsia="宋体" w:cs="Times New Roman"/>
                <w:color w:val="auto"/>
                <w:sz w:val="24"/>
                <w:szCs w:val="24"/>
                <w:lang w:val="en-US" w:eastAsia="zh-CN" w:bidi="ar-SA"/>
              </w:rPr>
              <w:t>×</w:t>
            </w:r>
            <w:r>
              <w:rPr>
                <w:rFonts w:hint="eastAsia" w:ascii="Times New Roman" w:hAnsi="Times New Roman" w:eastAsia="宋体" w:cs="Times New Roman"/>
                <w:color w:val="auto"/>
                <w:sz w:val="24"/>
                <w:szCs w:val="24"/>
                <w:lang w:val="en-US" w:eastAsia="zh-CN" w:bidi="ar-SA"/>
              </w:rPr>
              <w:t>10</w:t>
            </w:r>
            <w:r>
              <w:rPr>
                <w:rFonts w:hint="eastAsia" w:ascii="Times New Roman" w:hAnsi="Times New Roman" w:eastAsia="宋体" w:cs="Times New Roman"/>
                <w:color w:val="auto"/>
                <w:sz w:val="24"/>
                <w:szCs w:val="24"/>
                <w:vertAlign w:val="superscript"/>
                <w:lang w:val="en-US" w:eastAsia="zh-CN" w:bidi="ar-SA"/>
              </w:rPr>
              <w:t>-4</w:t>
            </w:r>
            <w:r>
              <w:rPr>
                <w:rFonts w:ascii="Times New Roman" w:hAnsi="Times New Roman" w:eastAsia="宋体" w:cs="Times New Roman"/>
                <w:color w:val="auto"/>
                <w:sz w:val="24"/>
                <w:szCs w:val="24"/>
                <w:lang w:val="en-US" w:eastAsia="zh-CN" w:bidi="ar-SA"/>
              </w:rPr>
              <w:t>t/a</w:t>
            </w:r>
            <w:r>
              <w:rPr>
                <w:rFonts w:hint="eastAsia" w:ascii="Times New Roman" w:hAnsi="Times New Roman" w:eastAsia="宋体" w:cs="Times New Roman"/>
                <w:color w:val="auto"/>
                <w:sz w:val="24"/>
                <w:szCs w:val="24"/>
                <w:lang w:val="en-US" w:eastAsia="zh-CN" w:bidi="ar-SA"/>
              </w:rPr>
              <w:t>，产生量较少</w:t>
            </w:r>
            <w:r>
              <w:rPr>
                <w:rFonts w:ascii="Times New Roman" w:hAnsi="Times New Roman" w:eastAsia="宋体" w:cs="Times New Roman"/>
                <w:color w:val="auto"/>
                <w:sz w:val="24"/>
                <w:szCs w:val="24"/>
                <w:lang w:val="en-US" w:eastAsia="zh-CN" w:bidi="ar-SA"/>
              </w:rPr>
              <w:t>。</w:t>
            </w:r>
          </w:p>
          <w:p>
            <w:pPr>
              <w:keepNext w:val="0"/>
              <w:keepLines w:val="0"/>
              <w:pageBreakBefore w:val="0"/>
              <w:widowControl w:val="0"/>
              <w:kinsoku/>
              <w:wordWrap/>
              <w:overflowPunct/>
              <w:topLinePunct w:val="0"/>
              <w:autoSpaceDE w:val="0"/>
              <w:autoSpaceDN w:val="0"/>
              <w:bidi w:val="0"/>
              <w:adjustRightInd w:val="0"/>
              <w:spacing w:line="460" w:lineRule="atLeast"/>
              <w:ind w:firstLine="480" w:firstLineChars="200"/>
              <w:jc w:val="both"/>
              <w:textAlignment w:val="auto"/>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本项目建设地埋式一体化污水处理站，产生恶臭气体的水解酸化池、好氧生物池均为地下密闭池体，由于本项目产生的恶臭气体较少，</w:t>
            </w:r>
            <w:r>
              <w:rPr>
                <w:rFonts w:hint="eastAsia" w:ascii="宋体" w:hAnsi="Times New Roman" w:eastAsia="宋体" w:cs="宋体"/>
                <w:color w:val="auto"/>
                <w:sz w:val="24"/>
                <w:szCs w:val="24"/>
                <w:highlight w:val="none"/>
                <w:lang w:val="en-US" w:eastAsia="zh-CN" w:bidi="ar-SA"/>
              </w:rPr>
              <w:t>本评价采取措施有：①定期在污水处理站产生恶臭气体池体的呼吸孔附近及周边区域喷洒生物除臭剂，</w:t>
            </w:r>
            <w:r>
              <w:rPr>
                <w:rFonts w:ascii="Times New Roman" w:hAnsi="Times New Roman" w:eastAsia="宋体" w:cs="Times New Roman"/>
                <w:color w:val="auto"/>
                <w:sz w:val="24"/>
                <w:szCs w:val="24"/>
                <w:highlight w:val="none"/>
                <w:lang w:val="en-US" w:eastAsia="zh-CN" w:bidi="ar-SA"/>
              </w:rPr>
              <w:t>夏季视具体情况增加喷洒频次</w:t>
            </w:r>
            <w:r>
              <w:rPr>
                <w:rFonts w:hint="eastAsia" w:ascii="宋体" w:hAnsi="Times New Roman" w:eastAsia="宋体" w:cs="宋体"/>
                <w:color w:val="auto"/>
                <w:sz w:val="24"/>
                <w:szCs w:val="24"/>
                <w:highlight w:val="none"/>
                <w:lang w:val="en-US" w:eastAsia="zh-CN" w:bidi="ar-SA"/>
              </w:rPr>
              <w:t>；②在厂区内设置绿化带，种植高大乔木和对恶臭气体有吸附作用的树种。</w:t>
            </w:r>
            <w:r>
              <w:rPr>
                <w:rFonts w:hint="eastAsia" w:ascii="宋体" w:hAnsi="Times New Roman" w:eastAsia="宋体" w:cs="宋体"/>
                <w:snapToGrid w:val="0"/>
                <w:color w:val="auto"/>
                <w:sz w:val="24"/>
                <w:szCs w:val="24"/>
                <w:highlight w:val="none"/>
                <w:lang w:val="en-US" w:eastAsia="zh-CN" w:bidi="ar-SA"/>
              </w:rPr>
              <w:t>采取以上措施后，预计</w:t>
            </w:r>
            <w:r>
              <w:rPr>
                <w:rFonts w:hint="eastAsia" w:ascii="Times New Roman" w:hAnsi="Times New Roman" w:eastAsia="宋体" w:cs="Times New Roman"/>
                <w:color w:val="auto"/>
                <w:sz w:val="24"/>
                <w:szCs w:val="24"/>
                <w:highlight w:val="none"/>
                <w:lang w:val="en-US" w:eastAsia="zh-CN" w:bidi="ar-SA"/>
              </w:rPr>
              <w:t>本项目无组织排放的恶臭气体可减少99%，则排放量为5.7</w:t>
            </w:r>
            <w:r>
              <w:rPr>
                <w:rFonts w:hint="default" w:ascii="Times New Roman" w:hAnsi="Times New Roman" w:eastAsia="宋体" w:cs="Times New Roman"/>
                <w:color w:val="auto"/>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bidi="ar-SA"/>
              </w:rPr>
              <w:t>10</w:t>
            </w:r>
            <w:r>
              <w:rPr>
                <w:rFonts w:hint="eastAsia" w:ascii="Times New Roman" w:hAnsi="Times New Roman" w:eastAsia="宋体" w:cs="Times New Roman"/>
                <w:color w:val="auto"/>
                <w:sz w:val="24"/>
                <w:szCs w:val="24"/>
                <w:highlight w:val="none"/>
                <w:vertAlign w:val="superscript"/>
                <w:lang w:val="en-US" w:eastAsia="zh-CN" w:bidi="ar-SA"/>
              </w:rPr>
              <w:t>-4</w:t>
            </w:r>
            <w:r>
              <w:rPr>
                <w:rFonts w:ascii="Times New Roman" w:hAnsi="Times New Roman" w:eastAsia="宋体" w:cs="Times New Roman"/>
                <w:color w:val="auto"/>
                <w:sz w:val="24"/>
                <w:szCs w:val="24"/>
                <w:highlight w:val="none"/>
                <w:lang w:val="en-US" w:eastAsia="zh-CN" w:bidi="ar-SA"/>
              </w:rPr>
              <w:t>t/a、</w:t>
            </w:r>
            <w:r>
              <w:rPr>
                <w:rFonts w:hint="eastAsia" w:ascii="Times New Roman" w:hAnsi="Times New Roman" w:eastAsia="宋体" w:cs="Times New Roman"/>
                <w:color w:val="auto"/>
                <w:sz w:val="24"/>
                <w:szCs w:val="24"/>
                <w:highlight w:val="none"/>
                <w:lang w:val="en-US" w:eastAsia="zh-CN" w:bidi="ar-SA"/>
              </w:rPr>
              <w:t>2.2</w:t>
            </w:r>
            <w:r>
              <w:rPr>
                <w:rFonts w:hint="default" w:ascii="Times New Roman" w:hAnsi="Times New Roman" w:eastAsia="宋体" w:cs="Times New Roman"/>
                <w:color w:val="auto"/>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bidi="ar-SA"/>
              </w:rPr>
              <w:t>10</w:t>
            </w:r>
            <w:r>
              <w:rPr>
                <w:rFonts w:hint="eastAsia" w:ascii="Times New Roman" w:hAnsi="Times New Roman" w:eastAsia="宋体" w:cs="Times New Roman"/>
                <w:color w:val="auto"/>
                <w:sz w:val="24"/>
                <w:szCs w:val="24"/>
                <w:highlight w:val="none"/>
                <w:vertAlign w:val="superscript"/>
                <w:lang w:val="en-US" w:eastAsia="zh-CN" w:bidi="ar-SA"/>
              </w:rPr>
              <w:t>-5</w:t>
            </w:r>
            <w:r>
              <w:rPr>
                <w:rFonts w:ascii="Times New Roman" w:hAnsi="Times New Roman" w:eastAsia="宋体" w:cs="Times New Roman"/>
                <w:color w:val="auto"/>
                <w:sz w:val="24"/>
                <w:szCs w:val="24"/>
                <w:highlight w:val="none"/>
                <w:lang w:val="en-US" w:eastAsia="zh-CN" w:bidi="ar-SA"/>
              </w:rPr>
              <w:t>t/a</w:t>
            </w:r>
            <w:r>
              <w:rPr>
                <w:rFonts w:hint="eastAsia" w:ascii="Times New Roman" w:hAnsi="Times New Roman" w:eastAsia="宋体" w:cs="Times New Roman"/>
                <w:color w:val="auto"/>
                <w:sz w:val="24"/>
                <w:szCs w:val="24"/>
                <w:highlight w:val="none"/>
                <w:lang w:val="en-US" w:eastAsia="zh-CN" w:bidi="ar-SA"/>
              </w:rPr>
              <w:t>。根据AERSCREEN模型估算结果（见专项评价），污水处理站各污染源的污染因子最大地面浓度占标率均小于10%，氨、硫化氢下风向最大浓度出现距离小于距离居民区的距离，对居民影响小，能够满足</w:t>
            </w:r>
            <w:r>
              <w:rPr>
                <w:rFonts w:ascii="Times New Roman" w:hAnsi="Times New Roman" w:eastAsia="宋体" w:cs="Times New Roman"/>
                <w:color w:val="auto"/>
                <w:sz w:val="24"/>
                <w:szCs w:val="24"/>
                <w:highlight w:val="none"/>
                <w:lang w:val="en-US" w:eastAsia="zh-CN" w:bidi="ar-SA"/>
              </w:rPr>
              <w:t>《恶臭污染物排放标准》（GB14554-93</w:t>
            </w:r>
            <w:r>
              <w:rPr>
                <w:rFonts w:hint="eastAsia" w:ascii="Times New Roman" w:hAnsi="Times New Roman" w:eastAsia="宋体" w:cs="Times New Roman"/>
                <w:color w:val="auto"/>
                <w:sz w:val="24"/>
                <w:szCs w:val="24"/>
                <w:highlight w:val="none"/>
                <w:lang w:val="en-US" w:eastAsia="zh-CN" w:bidi="ar-SA"/>
              </w:rPr>
              <w:t>）表1中的标准限值。</w:t>
            </w:r>
          </w:p>
          <w:p>
            <w:pPr>
              <w:keepNext w:val="0"/>
              <w:keepLines w:val="0"/>
              <w:pageBreakBefore w:val="0"/>
              <w:numPr>
                <w:ilvl w:val="0"/>
                <w:numId w:val="0"/>
              </w:numPr>
              <w:kinsoku/>
              <w:wordWrap/>
              <w:overflowPunct/>
              <w:topLinePunct w:val="0"/>
              <w:bidi w:val="0"/>
              <w:spacing w:line="460" w:lineRule="atLeast"/>
              <w:textAlignment w:val="auto"/>
              <w:rPr>
                <w:rFonts w:hint="default" w:ascii="Times New Roman" w:hAnsi="Times New Roman" w:eastAsia="宋体" w:cs="Times New Roman"/>
                <w:b/>
                <w:bCs/>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14:textFill>
                  <w14:solidFill>
                    <w14:schemeClr w14:val="tx1"/>
                  </w14:solidFill>
                </w14:textFill>
              </w:rPr>
              <w:t>（</w:t>
            </w:r>
            <w:r>
              <w:rPr>
                <w:rFonts w:hint="eastAsia" w:ascii="Times New Roman" w:cs="Times New Roman"/>
                <w:b/>
                <w:bCs/>
                <w:color w:val="000000" w:themeColor="text1"/>
                <w:kern w:val="2"/>
                <w:sz w:val="24"/>
                <w:szCs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kern w:val="2"/>
                <w:sz w:val="24"/>
                <w:szCs w:val="24"/>
                <w:highlight w:val="none"/>
                <w:lang w:val="en-US" w:eastAsia="zh-CN"/>
                <w14:textFill>
                  <w14:solidFill>
                    <w14:schemeClr w14:val="tx1"/>
                  </w14:solidFill>
                </w14:textFill>
              </w:rPr>
              <w:t>）其它分析</w:t>
            </w:r>
          </w:p>
          <w:p>
            <w:pPr>
              <w:numPr>
                <w:ilvl w:val="0"/>
                <w:numId w:val="0"/>
              </w:numPr>
              <w:spacing w:line="360" w:lineRule="auto"/>
              <w:ind w:firstLine="482" w:firstLineChars="200"/>
              <w:rPr>
                <w:rFonts w:hint="default" w:ascii="Times New Roman" w:hAnsi="Times New Roman" w:eastAsia="宋体" w:cs="Times New Roman"/>
                <w:b/>
                <w:bCs/>
                <w:color w:val="000000" w:themeColor="text1"/>
                <w:kern w:val="2"/>
                <w:sz w:val="24"/>
                <w:szCs w:val="24"/>
                <w:lang w:val="en-US" w:eastAsia="zh-CN"/>
                <w14:textFill>
                  <w14:solidFill>
                    <w14:schemeClr w14:val="tx1"/>
                  </w14:solidFill>
                </w14:textFill>
              </w:rPr>
            </w:pPr>
            <w:r>
              <w:rPr>
                <w:rFonts w:hint="default" w:ascii="Times New Roman" w:hAnsi="Times New Roman" w:cs="Times New Roman"/>
                <w:b/>
                <w:bCs/>
                <w:color w:val="000000" w:themeColor="text1"/>
                <w:kern w:val="2"/>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kern w:val="2"/>
                <w:sz w:val="24"/>
                <w:szCs w:val="24"/>
                <w:lang w:val="en-US" w:eastAsia="zh-CN"/>
                <w14:textFill>
                  <w14:solidFill>
                    <w14:schemeClr w14:val="tx1"/>
                  </w14:solidFill>
                </w14:textFill>
              </w:rPr>
              <w:t>）除尘器放灰</w:t>
            </w:r>
          </w:p>
          <w:p>
            <w:pPr>
              <w:numPr>
                <w:ilvl w:val="0"/>
                <w:numId w:val="0"/>
              </w:numPr>
              <w:spacing w:line="360" w:lineRule="auto"/>
              <w:ind w:firstLine="480" w:firstLineChars="200"/>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项目生物质锅炉配置的布袋除尘器应根据运行情况定期清灰，清灰过程中可能产生少量无组织颗粒物。除尘器为间歇式清灰方式，清灰时应先切断该室的进气出风道，使该室的布袋处于无气流通过的状态（分室停风清灰）。然后开启脉冲阀用压缩空气进行脉冲喷吹清灰，切断阀关闭时间应足以保证在喷吹后从滤袋上剥离的颗粒物沉降至灰斗，避免了颗粒物在脱离滤袋表面后又随气流附集到相邻滤袋表面，使滤袋清灰彻底。灰斗放灰时，卸料口应与储灰袋密闭连接，减少无组织颗粒物的逸散。严格按照上述方式操作清灰时产生的无组织颗粒物较少，可忽略不计。</w:t>
            </w:r>
          </w:p>
          <w:p>
            <w:pPr>
              <w:spacing w:line="360" w:lineRule="auto"/>
              <w:ind w:firstLine="480"/>
              <w:rPr>
                <w:rFonts w:hint="default" w:ascii="Times New Roman" w:hAnsi="Times New Roman" w:eastAsia="宋体" w:cs="Times New Roman"/>
                <w:b/>
                <w:bCs/>
                <w:color w:val="auto"/>
                <w:kern w:val="2"/>
                <w:sz w:val="24"/>
                <w:szCs w:val="24"/>
                <w:lang w:val="en-US" w:eastAsia="zh-CN"/>
              </w:rPr>
            </w:pPr>
            <w:r>
              <w:rPr>
                <w:rFonts w:hint="default" w:ascii="Times New Roman" w:hAnsi="Times New Roman" w:cs="Times New Roman"/>
                <w:b/>
                <w:bCs/>
                <w:color w:val="000000" w:themeColor="text1"/>
                <w:kern w:val="2"/>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kern w:val="2"/>
                <w:sz w:val="24"/>
                <w:szCs w:val="24"/>
                <w:lang w:val="en-US" w:eastAsia="zh-CN"/>
                <w14:textFill>
                  <w14:solidFill>
                    <w14:schemeClr w14:val="tx1"/>
                  </w14:solidFill>
                </w14:textFill>
              </w:rPr>
              <w:t>）生物质燃料储存、输送过程中的废气</w:t>
            </w:r>
          </w:p>
          <w:p>
            <w:pPr>
              <w:numPr>
                <w:ilvl w:val="0"/>
                <w:numId w:val="0"/>
              </w:numPr>
              <w:spacing w:line="360" w:lineRule="auto"/>
              <w:ind w:firstLine="480" w:firstLineChars="200"/>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highlight w:val="none"/>
                <w:lang w:val="en-US" w:eastAsia="zh-CN"/>
              </w:rPr>
              <w:t>项目生物质燃料</w:t>
            </w:r>
            <w:r>
              <w:rPr>
                <w:rFonts w:hint="eastAsia" w:ascii="Times New Roman" w:cs="Times New Roman"/>
                <w:color w:val="auto"/>
                <w:kern w:val="2"/>
                <w:sz w:val="24"/>
                <w:szCs w:val="24"/>
                <w:highlight w:val="none"/>
                <w:lang w:val="en-US" w:eastAsia="zh-CN"/>
              </w:rPr>
              <w:t>为成型袋装颗粒，</w:t>
            </w:r>
            <w:r>
              <w:rPr>
                <w:rFonts w:hint="default" w:ascii="Times New Roman" w:hAnsi="Times New Roman" w:eastAsia="宋体" w:cs="Times New Roman"/>
                <w:color w:val="auto"/>
                <w:kern w:val="2"/>
                <w:sz w:val="24"/>
                <w:szCs w:val="24"/>
                <w:highlight w:val="none"/>
                <w:lang w:val="en-US" w:eastAsia="zh-CN"/>
              </w:rPr>
              <w:t>购进后储存在独立的存放间内，存放间全封闭。</w:t>
            </w:r>
            <w:r>
              <w:rPr>
                <w:rFonts w:hint="eastAsia" w:ascii="Times New Roman" w:cs="Times New Roman"/>
                <w:color w:val="auto"/>
                <w:kern w:val="2"/>
                <w:sz w:val="24"/>
                <w:szCs w:val="24"/>
                <w:highlight w:val="none"/>
                <w:lang w:val="en-US" w:eastAsia="zh-CN"/>
              </w:rPr>
              <w:t>燃料粒径较大，含粉尘量少，</w:t>
            </w:r>
            <w:r>
              <w:rPr>
                <w:rFonts w:hint="default" w:ascii="Times New Roman" w:hAnsi="Times New Roman" w:eastAsia="宋体" w:cs="Times New Roman"/>
                <w:color w:val="auto"/>
                <w:kern w:val="2"/>
                <w:sz w:val="24"/>
                <w:szCs w:val="24"/>
                <w:highlight w:val="none"/>
                <w:lang w:val="en-US" w:eastAsia="zh-CN"/>
              </w:rPr>
              <w:t>在使用时</w:t>
            </w:r>
            <w:r>
              <w:rPr>
                <w:rFonts w:hint="eastAsia" w:ascii="Times New Roman" w:cs="Times New Roman"/>
                <w:color w:val="auto"/>
                <w:kern w:val="2"/>
                <w:sz w:val="24"/>
                <w:szCs w:val="24"/>
                <w:highlight w:val="none"/>
                <w:lang w:val="en-US" w:eastAsia="zh-CN"/>
              </w:rPr>
              <w:t>袋装</w:t>
            </w:r>
            <w:r>
              <w:rPr>
                <w:rFonts w:hint="default" w:ascii="Times New Roman" w:hAnsi="Times New Roman" w:eastAsia="宋体" w:cs="Times New Roman"/>
                <w:color w:val="auto"/>
                <w:kern w:val="2"/>
                <w:sz w:val="24"/>
                <w:szCs w:val="24"/>
                <w:highlight w:val="none"/>
                <w:lang w:val="en-US" w:eastAsia="zh-CN"/>
              </w:rPr>
              <w:t>输送至锅炉房。</w:t>
            </w:r>
            <w:r>
              <w:rPr>
                <w:rFonts w:hint="eastAsia" w:ascii="Times New Roman" w:cs="Times New Roman"/>
                <w:color w:val="auto"/>
                <w:kern w:val="2"/>
                <w:sz w:val="24"/>
                <w:szCs w:val="24"/>
                <w:highlight w:val="none"/>
                <w:lang w:val="en-US" w:eastAsia="zh-CN"/>
              </w:rPr>
              <w:t>生物质燃料进入锅炉采用螺旋输送机，螺旋输送机全封闭且位于全封闭厂房内，</w:t>
            </w:r>
            <w:r>
              <w:rPr>
                <w:rFonts w:hint="default" w:ascii="Times New Roman" w:hAnsi="Times New Roman" w:eastAsia="宋体" w:cs="Times New Roman"/>
                <w:color w:val="auto"/>
                <w:kern w:val="2"/>
                <w:sz w:val="24"/>
                <w:szCs w:val="24"/>
                <w:highlight w:val="none"/>
                <w:lang w:val="en-US" w:eastAsia="zh-CN"/>
              </w:rPr>
              <w:t>在此方式下生物质燃料储存、输送过程中的无组织颗粒物较少，可忽略不计。</w:t>
            </w:r>
          </w:p>
          <w:p>
            <w:pPr>
              <w:spacing w:line="360" w:lineRule="auto"/>
              <w:ind w:firstLine="480"/>
              <w:rPr>
                <w:rFonts w:hint="default" w:ascii="Times New Roman" w:hAnsi="Times New Roman" w:eastAsia="宋体" w:cs="Times New Roman"/>
                <w:b/>
                <w:bCs/>
                <w:color w:val="000000" w:themeColor="text1"/>
                <w:kern w:val="2"/>
                <w:sz w:val="24"/>
                <w:szCs w:val="24"/>
                <w:lang w:val="en-US" w:eastAsia="zh-CN"/>
                <w14:textFill>
                  <w14:solidFill>
                    <w14:schemeClr w14:val="tx1"/>
                  </w14:solidFill>
                </w14:textFill>
              </w:rPr>
            </w:pPr>
            <w:r>
              <w:rPr>
                <w:rFonts w:hint="default" w:ascii="Times New Roman" w:hAnsi="Times New Roman" w:cs="Times New Roman"/>
                <w:b/>
                <w:bCs/>
                <w:color w:val="000000" w:themeColor="text1"/>
                <w:kern w:val="2"/>
                <w:sz w:val="24"/>
                <w:szCs w:val="24"/>
                <w:lang w:val="en-US" w:eastAsia="zh-CN"/>
                <w14:textFill>
                  <w14:solidFill>
                    <w14:schemeClr w14:val="tx1"/>
                  </w14:solidFill>
                </w14:textFill>
              </w:rPr>
              <w:t>3</w:t>
            </w:r>
            <w:r>
              <w:rPr>
                <w:rFonts w:hint="default" w:ascii="Times New Roman" w:hAnsi="Times New Roman" w:eastAsia="宋体" w:cs="Times New Roman"/>
                <w:b/>
                <w:bCs/>
                <w:color w:val="000000" w:themeColor="text1"/>
                <w:kern w:val="2"/>
                <w:sz w:val="24"/>
                <w:szCs w:val="24"/>
                <w:lang w:val="en-US" w:eastAsia="zh-CN"/>
                <w14:textFill>
                  <w14:solidFill>
                    <w14:schemeClr w14:val="tx1"/>
                  </w14:solidFill>
                </w14:textFill>
              </w:rPr>
              <w:t>）非正常工况废气环境影响分析</w:t>
            </w:r>
          </w:p>
          <w:p>
            <w:pPr>
              <w:spacing w:line="360" w:lineRule="auto"/>
              <w:ind w:firstLine="480"/>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非正常排放指非正常工况下的排放，一般指生产过程中开停车（工、炉）、设备检修、工艺设备运转异常等非正常工况下的污染物排放，以及污染物排放控制措施达不到应有效率等情况下的排放。</w:t>
            </w:r>
          </w:p>
          <w:p>
            <w:pPr>
              <w:spacing w:line="360" w:lineRule="auto"/>
              <w:ind w:firstLine="480"/>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①项目生产前先将环保设备启动，生产设备停止运行后才关闭环保设备，检修时不生产，因此开停车和设备检修过程不存在废气非正常排放。</w:t>
            </w:r>
          </w:p>
          <w:p>
            <w:pPr>
              <w:spacing w:line="360" w:lineRule="auto"/>
              <w:ind w:firstLine="480"/>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②本项目可能发生的非正常排放情况主要是环保设备失效，废气污染物未经处理，直接外排。即使环保设备发生故障等情况，可以随时停止生产进行检修，不会产生污染物的持续非正常排放。发生非正常工况响应时间（从故障/检修开始到停止生产）约为1h，本项目非正常工况污染物核算</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见下表。</w:t>
            </w:r>
          </w:p>
          <w:p>
            <w:pPr>
              <w:bidi w:val="0"/>
              <w:jc w:val="center"/>
              <w:rPr>
                <w:rFonts w:hint="default" w:ascii="Times New Roman" w:hAnsi="Times New Roman" w:eastAsia="宋体" w:cs="Times New Roman"/>
                <w:color w:val="000000" w:themeColor="text1"/>
                <w:kern w:val="2"/>
                <w:sz w:val="21"/>
                <w:szCs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4"/>
                <w:highlight w:val="none"/>
                <w14:textFill>
                  <w14:solidFill>
                    <w14:schemeClr w14:val="tx1"/>
                  </w14:solidFill>
                </w14:textFill>
              </w:rPr>
              <w:t>表</w:t>
            </w:r>
            <w:r>
              <w:rPr>
                <w:rFonts w:hint="default" w:ascii="Times New Roman" w:hAnsi="Times New Roman" w:cs="Times New Roman" w:eastAsiaTheme="minorEastAsia"/>
                <w:b/>
                <w:bCs/>
                <w:color w:val="000000" w:themeColor="text1"/>
                <w:kern w:val="2"/>
                <w:sz w:val="21"/>
                <w:szCs w:val="24"/>
                <w:highlight w:val="none"/>
                <w:lang w:val="en-US" w:eastAsia="zh-CN"/>
                <w14:textFill>
                  <w14:solidFill>
                    <w14:schemeClr w14:val="tx1"/>
                  </w14:solidFill>
                </w14:textFill>
              </w:rPr>
              <w:t xml:space="preserve">4-2  </w:t>
            </w:r>
            <w:r>
              <w:rPr>
                <w:rFonts w:hint="default" w:ascii="Times New Roman" w:hAnsi="Times New Roman" w:cs="Times New Roman" w:eastAsiaTheme="minorEastAsia"/>
                <w:b/>
                <w:bCs/>
                <w:color w:val="000000" w:themeColor="text1"/>
                <w:kern w:val="2"/>
                <w:sz w:val="21"/>
                <w:szCs w:val="24"/>
                <w:highlight w:val="none"/>
                <w14:textFill>
                  <w14:solidFill>
                    <w14:schemeClr w14:val="tx1"/>
                  </w14:solidFill>
                </w14:textFill>
              </w:rPr>
              <w:t>非正常工况下污染物排放源强一览表</w:t>
            </w:r>
          </w:p>
          <w:tbl>
            <w:tblPr>
              <w:tblStyle w:val="3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738"/>
              <w:gridCol w:w="1058"/>
              <w:gridCol w:w="1242"/>
              <w:gridCol w:w="1198"/>
              <w:gridCol w:w="965"/>
              <w:gridCol w:w="962"/>
              <w:gridCol w:w="9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09" w:type="pct"/>
                  <w:tcBorders>
                    <w:tl2br w:val="nil"/>
                    <w:tr2bl w:val="nil"/>
                  </w:tcBorders>
                  <w:vAlign w:val="center"/>
                </w:tcPr>
                <w:p>
                  <w:pPr>
                    <w:adjustRightInd/>
                    <w:spacing w:line="240" w:lineRule="auto"/>
                    <w:jc w:val="center"/>
                    <w:textAlignment w:val="auto"/>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污染源</w:t>
                  </w:r>
                </w:p>
              </w:tc>
              <w:tc>
                <w:tcPr>
                  <w:tcW w:w="453" w:type="pct"/>
                  <w:tcBorders>
                    <w:tl2br w:val="nil"/>
                    <w:tr2bl w:val="nil"/>
                  </w:tcBorders>
                  <w:vAlign w:val="center"/>
                </w:tcPr>
                <w:p>
                  <w:pPr>
                    <w:adjustRightInd/>
                    <w:spacing w:line="240" w:lineRule="auto"/>
                    <w:jc w:val="center"/>
                    <w:textAlignment w:val="auto"/>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排放原因</w:t>
                  </w:r>
                </w:p>
              </w:tc>
              <w:tc>
                <w:tcPr>
                  <w:tcW w:w="649" w:type="pct"/>
                  <w:tcBorders>
                    <w:tl2br w:val="nil"/>
                    <w:tr2bl w:val="nil"/>
                  </w:tcBorders>
                  <w:vAlign w:val="center"/>
                </w:tcPr>
                <w:p>
                  <w:pPr>
                    <w:spacing w:line="240" w:lineRule="auto"/>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污染物</w:t>
                  </w:r>
                </w:p>
              </w:tc>
              <w:tc>
                <w:tcPr>
                  <w:tcW w:w="762" w:type="pct"/>
                  <w:tcBorders>
                    <w:tl2br w:val="nil"/>
                    <w:tr2bl w:val="nil"/>
                  </w:tcBorders>
                  <w:vAlign w:val="center"/>
                </w:tcPr>
                <w:p>
                  <w:pPr>
                    <w:adjustRightInd/>
                    <w:spacing w:line="240" w:lineRule="auto"/>
                    <w:jc w:val="center"/>
                    <w:textAlignment w:val="auto"/>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排放浓度（mg/m</w:t>
                  </w:r>
                  <w:r>
                    <w:rPr>
                      <w:rFonts w:hint="default" w:ascii="Times New Roman" w:hAnsi="Times New Roman" w:eastAsia="宋体" w:cs="Times New Roman"/>
                      <w:b/>
                      <w:color w:val="000000" w:themeColor="text1"/>
                      <w:kern w:val="0"/>
                      <w:sz w:val="21"/>
                      <w:szCs w:val="21"/>
                      <w:highlight w:val="none"/>
                      <w:vertAlign w:val="superscript"/>
                      <w14:textFill>
                        <w14:solidFill>
                          <w14:schemeClr w14:val="tx1"/>
                        </w14:solidFill>
                      </w14:textFill>
                    </w:rPr>
                    <w:t>3</w:t>
                  </w: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w:t>
                  </w:r>
                </w:p>
              </w:tc>
              <w:tc>
                <w:tcPr>
                  <w:tcW w:w="735" w:type="pct"/>
                  <w:tcBorders>
                    <w:tl2br w:val="nil"/>
                    <w:tr2bl w:val="nil"/>
                  </w:tcBorders>
                  <w:vAlign w:val="center"/>
                </w:tcPr>
                <w:p>
                  <w:pPr>
                    <w:adjustRightInd/>
                    <w:spacing w:line="240" w:lineRule="auto"/>
                    <w:jc w:val="center"/>
                    <w:textAlignment w:val="auto"/>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排放速率（kg/h）</w:t>
                  </w:r>
                </w:p>
              </w:tc>
              <w:tc>
                <w:tcPr>
                  <w:tcW w:w="592" w:type="pct"/>
                  <w:tcBorders>
                    <w:tl2br w:val="nil"/>
                    <w:tr2bl w:val="nil"/>
                  </w:tcBorders>
                  <w:vAlign w:val="center"/>
                </w:tcPr>
                <w:p>
                  <w:pPr>
                    <w:adjustRightInd/>
                    <w:spacing w:line="240" w:lineRule="auto"/>
                    <w:jc w:val="center"/>
                    <w:textAlignment w:val="auto"/>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单次持续时间（h）</w:t>
                  </w:r>
                </w:p>
              </w:tc>
              <w:tc>
                <w:tcPr>
                  <w:tcW w:w="590" w:type="pct"/>
                  <w:tcBorders>
                    <w:tl2br w:val="nil"/>
                    <w:tr2bl w:val="nil"/>
                  </w:tcBorders>
                  <w:vAlign w:val="center"/>
                </w:tcPr>
                <w:p>
                  <w:pPr>
                    <w:adjustRightInd/>
                    <w:spacing w:line="240" w:lineRule="auto"/>
                    <w:jc w:val="center"/>
                    <w:textAlignment w:val="auto"/>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年发生频次（次）</w:t>
                  </w:r>
                </w:p>
              </w:tc>
              <w:tc>
                <w:tcPr>
                  <w:tcW w:w="606" w:type="pct"/>
                  <w:tcBorders>
                    <w:tl2br w:val="nil"/>
                    <w:tr2bl w:val="nil"/>
                  </w:tcBorders>
                  <w:vAlign w:val="center"/>
                </w:tcPr>
                <w:p>
                  <w:pPr>
                    <w:adjustRightInd/>
                    <w:spacing w:line="240" w:lineRule="auto"/>
                    <w:jc w:val="center"/>
                    <w:textAlignment w:val="auto"/>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应对措施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0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Cs/>
                      <w:snapToGrid w:val="0"/>
                      <w:color w:val="000000" w:themeColor="text1"/>
                      <w:kern w:val="0"/>
                      <w:sz w:val="24"/>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生物质锅炉排气筒</w:t>
                  </w:r>
                  <w:r>
                    <w:rPr>
                      <w:rFonts w:hint="default" w:ascii="Times New Roman" w:hAnsi="Times New Roman" w:eastAsia="宋体" w:cs="Times New Roman"/>
                      <w:bCs/>
                      <w:snapToGrid w:val="0"/>
                      <w:color w:val="000000" w:themeColor="text1"/>
                      <w:kern w:val="0"/>
                      <w:sz w:val="21"/>
                      <w:szCs w:val="21"/>
                      <w:highlight w:val="none"/>
                      <w:lang w:val="en-US" w:eastAsia="zh-CN" w:bidi="ar-SA"/>
                      <w14:textFill>
                        <w14:solidFill>
                          <w14:schemeClr w14:val="tx1"/>
                        </w14:solidFill>
                      </w14:textFill>
                    </w:rPr>
                    <w:t>DA00</w:t>
                  </w:r>
                  <w:r>
                    <w:rPr>
                      <w:rFonts w:hint="default" w:ascii="Times New Roman" w:hAnsi="Times New Roman" w:cs="Times New Roman"/>
                      <w:bCs/>
                      <w:snapToGrid w:val="0"/>
                      <w:color w:val="000000" w:themeColor="text1"/>
                      <w:kern w:val="0"/>
                      <w:sz w:val="21"/>
                      <w:szCs w:val="21"/>
                      <w:highlight w:val="none"/>
                      <w:lang w:val="en-US" w:eastAsia="zh-CN" w:bidi="ar-SA"/>
                      <w14:textFill>
                        <w14:solidFill>
                          <w14:schemeClr w14:val="tx1"/>
                        </w14:solidFill>
                      </w14:textFill>
                    </w:rPr>
                    <w:t>1</w:t>
                  </w:r>
                </w:p>
              </w:tc>
              <w:tc>
                <w:tcPr>
                  <w:tcW w:w="453" w:type="pct"/>
                  <w:vMerge w:val="restart"/>
                  <w:tcBorders>
                    <w:tl2br w:val="nil"/>
                    <w:tr2bl w:val="nil"/>
                  </w:tcBorders>
                  <w:vAlign w:val="center"/>
                </w:tcPr>
                <w:p>
                  <w:pPr>
                    <w:adjustRightInd/>
                    <w:spacing w:line="240" w:lineRule="auto"/>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环保设备发生故障</w:t>
                  </w:r>
                </w:p>
              </w:tc>
              <w:tc>
                <w:tcPr>
                  <w:tcW w:w="649" w:type="pct"/>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颗粒物</w:t>
                  </w:r>
                </w:p>
              </w:tc>
              <w:tc>
                <w:tcPr>
                  <w:tcW w:w="762"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cs="Times New Roman"/>
                      <w:b w:val="0"/>
                      <w:bCs w:val="0"/>
                      <w:color w:val="000000" w:themeColor="text1"/>
                      <w:kern w:val="0"/>
                      <w:sz w:val="21"/>
                      <w:szCs w:val="21"/>
                      <w:highlight w:val="none"/>
                      <w:lang w:val="en-US" w:eastAsia="zh-CN" w:bidi="ar-SA"/>
                      <w14:textFill>
                        <w14:solidFill>
                          <w14:schemeClr w14:val="tx1"/>
                        </w14:solidFill>
                      </w14:textFill>
                    </w:rPr>
                    <w:t>67.07</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 xml:space="preserve"> </w:t>
                  </w:r>
                </w:p>
              </w:tc>
              <w:tc>
                <w:tcPr>
                  <w:tcW w:w="735"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0.</w:t>
                  </w:r>
                  <w:r>
                    <w:rPr>
                      <w:rFonts w:hint="eastAsia" w:ascii="Times New Roman" w:cs="Times New Roman"/>
                      <w:b w:val="0"/>
                      <w:bCs w:val="0"/>
                      <w:color w:val="000000" w:themeColor="text1"/>
                      <w:kern w:val="0"/>
                      <w:sz w:val="21"/>
                      <w:szCs w:val="21"/>
                      <w:highlight w:val="none"/>
                      <w:lang w:val="en-US" w:eastAsia="zh-CN" w:bidi="ar-SA"/>
                      <w14:textFill>
                        <w14:solidFill>
                          <w14:schemeClr w14:val="tx1"/>
                        </w14:solidFill>
                      </w14:textFill>
                    </w:rPr>
                    <w:t>24</w:t>
                  </w: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 xml:space="preserve"> </w:t>
                  </w:r>
                </w:p>
              </w:tc>
              <w:tc>
                <w:tcPr>
                  <w:tcW w:w="592" w:type="pct"/>
                  <w:vMerge w:val="restart"/>
                  <w:tcBorders>
                    <w:tl2br w:val="nil"/>
                    <w:tr2bl w:val="nil"/>
                  </w:tcBorders>
                  <w:vAlign w:val="center"/>
                </w:tcPr>
                <w:p>
                  <w:pPr>
                    <w:adjustRightInd/>
                    <w:spacing w:line="240" w:lineRule="auto"/>
                    <w:jc w:val="center"/>
                    <w:textAlignment w:val="auto"/>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t>1</w:t>
                  </w:r>
                </w:p>
              </w:tc>
              <w:tc>
                <w:tcPr>
                  <w:tcW w:w="590" w:type="pct"/>
                  <w:vMerge w:val="restart"/>
                  <w:tcBorders>
                    <w:tl2br w:val="nil"/>
                    <w:tr2bl w:val="nil"/>
                  </w:tcBorders>
                  <w:vAlign w:val="center"/>
                </w:tcPr>
                <w:p>
                  <w:pPr>
                    <w:spacing w:line="240" w:lineRule="auto"/>
                    <w:jc w:val="center"/>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t>1</w:t>
                  </w:r>
                </w:p>
              </w:tc>
              <w:tc>
                <w:tcPr>
                  <w:tcW w:w="606" w:type="pct"/>
                  <w:vMerge w:val="restart"/>
                  <w:tcBorders>
                    <w:tl2br w:val="nil"/>
                    <w:tr2bl w:val="nil"/>
                  </w:tcBorders>
                  <w:vAlign w:val="center"/>
                </w:tcPr>
                <w:p>
                  <w:pPr>
                    <w:spacing w:line="240" w:lineRule="auto"/>
                    <w:jc w:val="center"/>
                    <w:rPr>
                      <w:rFonts w:hint="default" w:ascii="Times New Roman" w:hAnsi="Times New Roman" w:eastAsia="宋体" w:cs="Times New Roman"/>
                      <w:color w:val="000000" w:themeColor="text1"/>
                      <w:kern w:val="2"/>
                      <w:sz w:val="21"/>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立即停止生产，进行检修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609" w:type="pct"/>
                  <w:vMerge w:val="continue"/>
                  <w:tcBorders>
                    <w:tl2br w:val="nil"/>
                    <w:tr2bl w:val="nil"/>
                  </w:tcBorders>
                  <w:vAlign w:val="center"/>
                </w:tcPr>
                <w:p>
                  <w:pPr>
                    <w:adjustRightInd/>
                    <w:spacing w:line="240" w:lineRule="auto"/>
                    <w:jc w:val="center"/>
                    <w:textAlignment w:val="auto"/>
                    <w:rPr>
                      <w:rFonts w:hint="default" w:ascii="Times New Roman" w:hAnsi="Times New Roman" w:eastAsia="宋体" w:cs="Times New Roman"/>
                      <w:color w:val="000000" w:themeColor="text1"/>
                      <w:kern w:val="2"/>
                      <w:sz w:val="21"/>
                      <w:szCs w:val="24"/>
                      <w:highlight w:val="none"/>
                      <w14:textFill>
                        <w14:solidFill>
                          <w14:schemeClr w14:val="tx1"/>
                        </w14:solidFill>
                      </w14:textFill>
                    </w:rPr>
                  </w:pPr>
                </w:p>
              </w:tc>
              <w:tc>
                <w:tcPr>
                  <w:tcW w:w="453" w:type="pct"/>
                  <w:vMerge w:val="continue"/>
                  <w:tcBorders>
                    <w:tl2br w:val="nil"/>
                    <w:tr2bl w:val="nil"/>
                  </w:tcBorders>
                  <w:vAlign w:val="center"/>
                </w:tcPr>
                <w:p>
                  <w:pPr>
                    <w:adjustRightInd/>
                    <w:spacing w:line="240" w:lineRule="auto"/>
                    <w:jc w:val="center"/>
                    <w:textAlignment w:val="auto"/>
                    <w:rPr>
                      <w:rFonts w:hint="default" w:ascii="Times New Roman" w:hAnsi="Times New Roman" w:eastAsia="宋体" w:cs="Times New Roman"/>
                      <w:color w:val="000000" w:themeColor="text1"/>
                      <w:kern w:val="2"/>
                      <w:sz w:val="21"/>
                      <w:szCs w:val="24"/>
                      <w:highlight w:val="none"/>
                      <w14:textFill>
                        <w14:solidFill>
                          <w14:schemeClr w14:val="tx1"/>
                        </w14:solidFill>
                      </w14:textFill>
                    </w:rPr>
                  </w:pPr>
                </w:p>
              </w:tc>
              <w:tc>
                <w:tcPr>
                  <w:tcW w:w="649" w:type="pct"/>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SO</w:t>
                  </w:r>
                  <w:r>
                    <w:rPr>
                      <w:rFonts w:hint="default" w:ascii="Times New Roman" w:hAnsi="Times New Roman" w:eastAsia="宋体" w:cs="Times New Roman"/>
                      <w:color w:val="000000" w:themeColor="text1"/>
                      <w:kern w:val="2"/>
                      <w:sz w:val="21"/>
                      <w:szCs w:val="21"/>
                      <w:highlight w:val="none"/>
                      <w:vertAlign w:val="subscript"/>
                      <w:lang w:val="en-US" w:eastAsia="zh-CN" w:bidi="ar-SA"/>
                      <w14:textFill>
                        <w14:solidFill>
                          <w14:schemeClr w14:val="tx1"/>
                        </w14:solidFill>
                      </w14:textFill>
                    </w:rPr>
                    <w:t>2</w:t>
                  </w:r>
                </w:p>
              </w:tc>
              <w:tc>
                <w:tcPr>
                  <w:tcW w:w="762"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22.8</w:t>
                  </w:r>
                </w:p>
              </w:tc>
              <w:tc>
                <w:tcPr>
                  <w:tcW w:w="735"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0.</w:t>
                  </w:r>
                  <w:r>
                    <w:rPr>
                      <w:rFonts w:hint="default" w:ascii="Times New Roman" w:hAnsi="Times New Roman" w:cs="Times New Roman"/>
                      <w:b w:val="0"/>
                      <w:bCs w:val="0"/>
                      <w:color w:val="000000" w:themeColor="text1"/>
                      <w:kern w:val="0"/>
                      <w:sz w:val="21"/>
                      <w:szCs w:val="21"/>
                      <w:highlight w:val="none"/>
                      <w:lang w:val="en-US" w:eastAsia="zh-CN" w:bidi="ar-SA"/>
                      <w14:textFill>
                        <w14:solidFill>
                          <w14:schemeClr w14:val="tx1"/>
                        </w14:solidFill>
                      </w14:textFill>
                    </w:rPr>
                    <w:t>0</w:t>
                  </w:r>
                  <w:r>
                    <w:rPr>
                      <w:rFonts w:hint="eastAsia" w:ascii="Times New Roman" w:cs="Times New Roman"/>
                      <w:b w:val="0"/>
                      <w:bCs w:val="0"/>
                      <w:color w:val="000000" w:themeColor="text1"/>
                      <w:kern w:val="0"/>
                      <w:sz w:val="21"/>
                      <w:szCs w:val="21"/>
                      <w:highlight w:val="none"/>
                      <w:lang w:val="en-US" w:eastAsia="zh-CN" w:bidi="ar-SA"/>
                      <w14:textFill>
                        <w14:solidFill>
                          <w14:schemeClr w14:val="tx1"/>
                        </w14:solidFill>
                      </w14:textFill>
                    </w:rPr>
                    <w:t>8</w:t>
                  </w:r>
                </w:p>
              </w:tc>
              <w:tc>
                <w:tcPr>
                  <w:tcW w:w="592" w:type="pct"/>
                  <w:vMerge w:val="continue"/>
                  <w:tcBorders>
                    <w:tl2br w:val="nil"/>
                    <w:tr2bl w:val="nil"/>
                  </w:tcBorders>
                  <w:vAlign w:val="center"/>
                </w:tcPr>
                <w:p>
                  <w:pPr>
                    <w:adjustRightInd/>
                    <w:spacing w:line="240" w:lineRule="auto"/>
                    <w:jc w:val="center"/>
                    <w:textAlignment w:val="auto"/>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pPr>
                </w:p>
              </w:tc>
              <w:tc>
                <w:tcPr>
                  <w:tcW w:w="590" w:type="pct"/>
                  <w:vMerge w:val="continue"/>
                  <w:tcBorders>
                    <w:tl2br w:val="nil"/>
                    <w:tr2bl w:val="nil"/>
                  </w:tcBorders>
                  <w:vAlign w:val="center"/>
                </w:tcPr>
                <w:p>
                  <w:pPr>
                    <w:adjustRightInd/>
                    <w:spacing w:line="240" w:lineRule="auto"/>
                    <w:jc w:val="center"/>
                    <w:textAlignment w:val="auto"/>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pPr>
                </w:p>
              </w:tc>
              <w:tc>
                <w:tcPr>
                  <w:tcW w:w="606" w:type="pct"/>
                  <w:vMerge w:val="continue"/>
                  <w:tcBorders>
                    <w:tl2br w:val="nil"/>
                    <w:tr2bl w:val="nil"/>
                  </w:tcBorders>
                  <w:vAlign w:val="center"/>
                </w:tcPr>
                <w:p>
                  <w:pPr>
                    <w:adjustRightInd/>
                    <w:spacing w:line="240" w:lineRule="auto"/>
                    <w:jc w:val="center"/>
                    <w:textAlignment w:val="auto"/>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09" w:type="pct"/>
                  <w:vMerge w:val="continue"/>
                  <w:tcBorders>
                    <w:tl2br w:val="nil"/>
                    <w:tr2bl w:val="nil"/>
                  </w:tcBorders>
                  <w:vAlign w:val="center"/>
                </w:tcPr>
                <w:p>
                  <w:pPr>
                    <w:adjustRightInd/>
                    <w:spacing w:line="240" w:lineRule="auto"/>
                    <w:jc w:val="center"/>
                    <w:textAlignment w:val="auto"/>
                    <w:rPr>
                      <w:rFonts w:hint="default" w:ascii="Times New Roman" w:hAnsi="Times New Roman" w:eastAsia="宋体" w:cs="Times New Roman"/>
                      <w:color w:val="000000" w:themeColor="text1"/>
                      <w:kern w:val="2"/>
                      <w:sz w:val="21"/>
                      <w:szCs w:val="24"/>
                      <w:highlight w:val="none"/>
                      <w14:textFill>
                        <w14:solidFill>
                          <w14:schemeClr w14:val="tx1"/>
                        </w14:solidFill>
                      </w14:textFill>
                    </w:rPr>
                  </w:pPr>
                </w:p>
              </w:tc>
              <w:tc>
                <w:tcPr>
                  <w:tcW w:w="453" w:type="pct"/>
                  <w:vMerge w:val="continue"/>
                  <w:tcBorders>
                    <w:tl2br w:val="nil"/>
                    <w:tr2bl w:val="nil"/>
                  </w:tcBorders>
                  <w:vAlign w:val="center"/>
                </w:tcPr>
                <w:p>
                  <w:pPr>
                    <w:adjustRightInd/>
                    <w:spacing w:line="240" w:lineRule="auto"/>
                    <w:jc w:val="center"/>
                    <w:textAlignment w:val="auto"/>
                    <w:rPr>
                      <w:rFonts w:hint="default" w:ascii="Times New Roman" w:hAnsi="Times New Roman" w:eastAsia="宋体" w:cs="Times New Roman"/>
                      <w:color w:val="000000" w:themeColor="text1"/>
                      <w:kern w:val="2"/>
                      <w:sz w:val="21"/>
                      <w:szCs w:val="24"/>
                      <w:highlight w:val="none"/>
                      <w14:textFill>
                        <w14:solidFill>
                          <w14:schemeClr w14:val="tx1"/>
                        </w14:solidFill>
                      </w14:textFill>
                    </w:rPr>
                  </w:pPr>
                </w:p>
              </w:tc>
              <w:tc>
                <w:tcPr>
                  <w:tcW w:w="649" w:type="pct"/>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NOx</w:t>
                  </w:r>
                </w:p>
              </w:tc>
              <w:tc>
                <w:tcPr>
                  <w:tcW w:w="762"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95.24</w:t>
                  </w:r>
                </w:p>
              </w:tc>
              <w:tc>
                <w:tcPr>
                  <w:tcW w:w="735"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0.</w:t>
                  </w:r>
                  <w:r>
                    <w:rPr>
                      <w:rFonts w:hint="eastAsia" w:ascii="Times New Roman" w:cs="Times New Roman"/>
                      <w:b w:val="0"/>
                      <w:bCs w:val="0"/>
                      <w:color w:val="000000" w:themeColor="text1"/>
                      <w:kern w:val="0"/>
                      <w:sz w:val="21"/>
                      <w:szCs w:val="21"/>
                      <w:highlight w:val="none"/>
                      <w:lang w:val="en-US" w:eastAsia="zh-CN" w:bidi="ar-SA"/>
                      <w14:textFill>
                        <w14:solidFill>
                          <w14:schemeClr w14:val="tx1"/>
                        </w14:solidFill>
                      </w14:textFill>
                    </w:rPr>
                    <w:t>33</w:t>
                  </w:r>
                </w:p>
              </w:tc>
              <w:tc>
                <w:tcPr>
                  <w:tcW w:w="592" w:type="pct"/>
                  <w:vMerge w:val="continue"/>
                  <w:tcBorders>
                    <w:tl2br w:val="nil"/>
                    <w:tr2bl w:val="nil"/>
                  </w:tcBorders>
                  <w:vAlign w:val="center"/>
                </w:tcPr>
                <w:p>
                  <w:pPr>
                    <w:adjustRightInd/>
                    <w:spacing w:line="240" w:lineRule="auto"/>
                    <w:jc w:val="center"/>
                    <w:textAlignment w:val="auto"/>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pPr>
                </w:p>
              </w:tc>
              <w:tc>
                <w:tcPr>
                  <w:tcW w:w="590" w:type="pct"/>
                  <w:vMerge w:val="continue"/>
                  <w:tcBorders>
                    <w:tl2br w:val="nil"/>
                    <w:tr2bl w:val="nil"/>
                  </w:tcBorders>
                  <w:vAlign w:val="center"/>
                </w:tcPr>
                <w:p>
                  <w:pPr>
                    <w:adjustRightInd/>
                    <w:spacing w:line="240" w:lineRule="auto"/>
                    <w:jc w:val="center"/>
                    <w:textAlignment w:val="auto"/>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pPr>
                </w:p>
              </w:tc>
              <w:tc>
                <w:tcPr>
                  <w:tcW w:w="606" w:type="pct"/>
                  <w:vMerge w:val="continue"/>
                  <w:tcBorders>
                    <w:tl2br w:val="nil"/>
                    <w:tr2bl w:val="nil"/>
                  </w:tcBorders>
                  <w:vAlign w:val="center"/>
                </w:tcPr>
                <w:p>
                  <w:pPr>
                    <w:adjustRightInd/>
                    <w:spacing w:line="240" w:lineRule="auto"/>
                    <w:jc w:val="center"/>
                    <w:textAlignment w:val="auto"/>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609" w:type="pct"/>
                  <w:vMerge w:val="continue"/>
                  <w:tcBorders>
                    <w:tl2br w:val="nil"/>
                    <w:tr2bl w:val="nil"/>
                  </w:tcBorders>
                  <w:vAlign w:val="center"/>
                </w:tcPr>
                <w:p>
                  <w:pPr>
                    <w:adjustRightInd/>
                    <w:spacing w:line="240" w:lineRule="auto"/>
                    <w:jc w:val="center"/>
                    <w:textAlignment w:val="auto"/>
                    <w:rPr>
                      <w:rFonts w:hint="default" w:ascii="Times New Roman" w:hAnsi="Times New Roman" w:eastAsia="宋体" w:cs="Times New Roman"/>
                      <w:color w:val="000000" w:themeColor="text1"/>
                      <w:kern w:val="2"/>
                      <w:sz w:val="21"/>
                      <w:szCs w:val="24"/>
                      <w:highlight w:val="none"/>
                      <w14:textFill>
                        <w14:solidFill>
                          <w14:schemeClr w14:val="tx1"/>
                        </w14:solidFill>
                      </w14:textFill>
                    </w:rPr>
                  </w:pPr>
                </w:p>
              </w:tc>
              <w:tc>
                <w:tcPr>
                  <w:tcW w:w="453" w:type="pct"/>
                  <w:vMerge w:val="continue"/>
                  <w:tcBorders>
                    <w:tl2br w:val="nil"/>
                    <w:tr2bl w:val="nil"/>
                  </w:tcBorders>
                  <w:vAlign w:val="center"/>
                </w:tcPr>
                <w:p>
                  <w:pPr>
                    <w:adjustRightInd/>
                    <w:spacing w:line="240" w:lineRule="auto"/>
                    <w:jc w:val="center"/>
                    <w:textAlignment w:val="auto"/>
                    <w:rPr>
                      <w:rFonts w:hint="default" w:ascii="Times New Roman" w:hAnsi="Times New Roman" w:eastAsia="宋体" w:cs="Times New Roman"/>
                      <w:color w:val="000000" w:themeColor="text1"/>
                      <w:kern w:val="2"/>
                      <w:sz w:val="21"/>
                      <w:szCs w:val="24"/>
                      <w:highlight w:val="none"/>
                      <w14:textFill>
                        <w14:solidFill>
                          <w14:schemeClr w14:val="tx1"/>
                        </w14:solidFill>
                      </w14:textFill>
                    </w:rPr>
                  </w:pPr>
                </w:p>
              </w:tc>
              <w:tc>
                <w:tcPr>
                  <w:tcW w:w="649" w:type="pct"/>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color w:val="000000" w:themeColor="text1"/>
                      <w:kern w:val="2"/>
                      <w:sz w:val="21"/>
                      <w:szCs w:val="21"/>
                      <w:highlight w:val="none"/>
                      <w:lang w:val="en-US" w:eastAsia="zh-CN" w:bidi="ar-SA"/>
                      <w14:textFill>
                        <w14:solidFill>
                          <w14:schemeClr w14:val="tx1"/>
                        </w14:solidFill>
                      </w14:textFill>
                    </w:rPr>
                    <w:t>CO</w:t>
                  </w:r>
                </w:p>
              </w:tc>
              <w:tc>
                <w:tcPr>
                  <w:tcW w:w="762"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ascii="Times New Roman" w:cs="Times New Roman"/>
                      <w:b w:val="0"/>
                      <w:bCs w:val="0"/>
                      <w:color w:val="000000" w:themeColor="text1"/>
                      <w:kern w:val="0"/>
                      <w:sz w:val="21"/>
                      <w:szCs w:val="21"/>
                      <w:highlight w:val="none"/>
                      <w:lang w:val="en-US" w:eastAsia="zh-CN" w:bidi="ar-SA"/>
                      <w14:textFill>
                        <w14:solidFill>
                          <w14:schemeClr w14:val="tx1"/>
                        </w14:solidFill>
                      </w14:textFill>
                    </w:rPr>
                    <w:t>200</w:t>
                  </w:r>
                </w:p>
              </w:tc>
              <w:tc>
                <w:tcPr>
                  <w:tcW w:w="735"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ascii="Times New Roman" w:cs="Times New Roman"/>
                      <w:b w:val="0"/>
                      <w:bCs w:val="0"/>
                      <w:color w:val="000000" w:themeColor="text1"/>
                      <w:kern w:val="0"/>
                      <w:sz w:val="21"/>
                      <w:szCs w:val="21"/>
                      <w:highlight w:val="none"/>
                      <w:lang w:val="en-US" w:eastAsia="zh-CN" w:bidi="ar-SA"/>
                      <w14:textFill>
                        <w14:solidFill>
                          <w14:schemeClr w14:val="tx1"/>
                        </w14:solidFill>
                      </w14:textFill>
                    </w:rPr>
                    <w:t>0.7</w:t>
                  </w:r>
                </w:p>
              </w:tc>
              <w:tc>
                <w:tcPr>
                  <w:tcW w:w="592" w:type="pct"/>
                  <w:vMerge w:val="continue"/>
                  <w:tcBorders>
                    <w:tl2br w:val="nil"/>
                    <w:tr2bl w:val="nil"/>
                  </w:tcBorders>
                  <w:vAlign w:val="center"/>
                </w:tcPr>
                <w:p>
                  <w:pPr>
                    <w:adjustRightInd/>
                    <w:spacing w:line="240" w:lineRule="auto"/>
                    <w:jc w:val="center"/>
                    <w:textAlignment w:val="auto"/>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pPr>
                </w:p>
              </w:tc>
              <w:tc>
                <w:tcPr>
                  <w:tcW w:w="590" w:type="pct"/>
                  <w:vMerge w:val="continue"/>
                  <w:tcBorders>
                    <w:tl2br w:val="nil"/>
                    <w:tr2bl w:val="nil"/>
                  </w:tcBorders>
                  <w:vAlign w:val="center"/>
                </w:tcPr>
                <w:p>
                  <w:pPr>
                    <w:adjustRightInd/>
                    <w:spacing w:line="240" w:lineRule="auto"/>
                    <w:jc w:val="center"/>
                    <w:textAlignment w:val="auto"/>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pPr>
                </w:p>
              </w:tc>
              <w:tc>
                <w:tcPr>
                  <w:tcW w:w="606" w:type="pct"/>
                  <w:vMerge w:val="continue"/>
                  <w:tcBorders>
                    <w:tl2br w:val="nil"/>
                    <w:tr2bl w:val="nil"/>
                  </w:tcBorders>
                  <w:vAlign w:val="center"/>
                </w:tcPr>
                <w:p>
                  <w:pPr>
                    <w:adjustRightInd/>
                    <w:spacing w:line="240" w:lineRule="auto"/>
                    <w:jc w:val="center"/>
                    <w:textAlignment w:val="auto"/>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pPr>
                </w:p>
              </w:tc>
            </w:tr>
          </w:tbl>
          <w:p>
            <w:pPr>
              <w:pStyle w:val="115"/>
              <w:numPr>
                <w:ilvl w:val="1"/>
                <w:numId w:val="0"/>
              </w:numPr>
              <w:rPr>
                <w:rFonts w:eastAsia="宋体"/>
                <w:b/>
                <w:bCs w:val="0"/>
                <w:highlight w:val="yellow"/>
              </w:rPr>
            </w:pPr>
            <w:r>
              <w:rPr>
                <w:rFonts w:hint="eastAsia" w:eastAsia="宋体"/>
                <w:b/>
                <w:bCs w:val="0"/>
              </w:rPr>
              <w:t>1.</w:t>
            </w:r>
            <w:r>
              <w:rPr>
                <w:rFonts w:hint="eastAsia" w:eastAsia="宋体"/>
                <w:b/>
                <w:bCs w:val="0"/>
                <w:lang w:val="en-US" w:eastAsia="zh-CN"/>
              </w:rPr>
              <w:t>2</w:t>
            </w:r>
            <w:r>
              <w:rPr>
                <w:rFonts w:eastAsia="宋体"/>
                <w:b/>
                <w:bCs w:val="0"/>
              </w:rPr>
              <w:t>大气环境影响分析</w:t>
            </w:r>
          </w:p>
          <w:p>
            <w:pPr>
              <w:pStyle w:val="107"/>
            </w:pPr>
            <w:r>
              <w:rPr>
                <w:rFonts w:hint="eastAsia"/>
              </w:rPr>
              <w:t>由上分析可知，本项目各废气排放源均采取相应可行技术进行治理，净化后满足达标排放要求。预计项目建成后不会对周边环境产生明显不利影响。综上，本项目大气环境影响可接受。</w:t>
            </w:r>
          </w:p>
          <w:p>
            <w:pPr>
              <w:pStyle w:val="115"/>
              <w:numPr>
                <w:ilvl w:val="1"/>
                <w:numId w:val="0"/>
              </w:numPr>
              <w:spacing w:line="360" w:lineRule="auto"/>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lang w:val="en-US" w:eastAsia="zh-CN"/>
              </w:rPr>
              <w:t>1.</w:t>
            </w:r>
            <w:r>
              <w:rPr>
                <w:rFonts w:hint="eastAsia" w:eastAsia="宋体" w:cs="Times New Roman"/>
                <w:b/>
                <w:bCs w:val="0"/>
                <w:color w:val="auto"/>
                <w:lang w:val="en-US" w:eastAsia="zh-CN"/>
              </w:rPr>
              <w:t>3</w:t>
            </w:r>
            <w:r>
              <w:rPr>
                <w:rFonts w:hint="default" w:ascii="Times New Roman" w:hAnsi="Times New Roman" w:eastAsia="宋体" w:cs="Times New Roman"/>
                <w:b/>
                <w:bCs w:val="0"/>
                <w:color w:val="auto"/>
              </w:rPr>
              <w:t>大气污染源监测计划</w:t>
            </w:r>
          </w:p>
          <w:p>
            <w:pPr>
              <w:widowControl/>
              <w:spacing w:line="360" w:lineRule="auto"/>
              <w:ind w:firstLine="480" w:firstLineChars="200"/>
              <w:jc w:val="left"/>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根据《排污许可证申请与核发技术规范 锅炉》（HJ953—2018）</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《排污</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单位自行监测技术指南 火力发电及</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锅炉》（HJ</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 xml:space="preserve"> 280</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—201</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7</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color w:val="000000" w:themeColor="text1"/>
                <w:kern w:val="2"/>
                <w:sz w:val="24"/>
                <w:szCs w:val="24"/>
                <w:lang w:val="en-US" w:eastAsia="zh-CN" w:bidi="ar-SA"/>
                <w14:textFill>
                  <w14:solidFill>
                    <w14:schemeClr w14:val="tx1"/>
                  </w14:solidFill>
                </w14:textFill>
              </w:rPr>
              <w:t>及</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本项目的污染源及污染物排放特点，制定监测计划。</w:t>
            </w:r>
          </w:p>
          <w:p>
            <w:pPr>
              <w:bidi w:val="0"/>
              <w:jc w:val="center"/>
              <w:rPr>
                <w:rFonts w:hint="default" w:ascii="Times New Roman" w:hAnsi="Times New Roman" w:cs="Times New Roman" w:eastAsiaTheme="minorEastAsia"/>
                <w:b/>
                <w:bCs/>
                <w:color w:val="000000" w:themeColor="text1"/>
                <w:kern w:val="2"/>
                <w:sz w:val="21"/>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sz w:val="21"/>
                <w:szCs w:val="24"/>
                <w:lang w:val="en-US" w:eastAsia="zh-CN"/>
                <w14:textFill>
                  <w14:solidFill>
                    <w14:schemeClr w14:val="tx1"/>
                  </w14:solidFill>
                </w14:textFill>
              </w:rPr>
              <w:t>表4-3 本项目废气污染源监测计划表</w:t>
            </w:r>
          </w:p>
          <w:tbl>
            <w:tblPr>
              <w:tblStyle w:val="39"/>
              <w:tblW w:w="4997" w:type="pct"/>
              <w:tblInd w:w="-1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864"/>
              <w:gridCol w:w="989"/>
              <w:gridCol w:w="2196"/>
              <w:gridCol w:w="1823"/>
              <w:gridCol w:w="1093"/>
              <w:gridCol w:w="117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531"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污染源</w:t>
                  </w:r>
                </w:p>
              </w:tc>
              <w:tc>
                <w:tcPr>
                  <w:tcW w:w="1955" w:type="pct"/>
                  <w:gridSpan w:val="2"/>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监测点位布设</w:t>
                  </w:r>
                </w:p>
              </w:tc>
              <w:tc>
                <w:tcPr>
                  <w:tcW w:w="1119"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监测因子及监测项目</w:t>
                  </w:r>
                </w:p>
              </w:tc>
              <w:tc>
                <w:tcPr>
                  <w:tcW w:w="671"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监测频次</w:t>
                  </w:r>
                </w:p>
              </w:tc>
              <w:tc>
                <w:tcPr>
                  <w:tcW w:w="722"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监测单位</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511" w:hRule="atLeast"/>
              </w:trPr>
              <w:tc>
                <w:tcPr>
                  <w:tcW w:w="531" w:type="pct"/>
                  <w:vMerge w:val="restar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废气</w:t>
                  </w:r>
                </w:p>
              </w:tc>
              <w:tc>
                <w:tcPr>
                  <w:tcW w:w="607"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有组织</w:t>
                  </w:r>
                </w:p>
              </w:tc>
              <w:tc>
                <w:tcPr>
                  <w:tcW w:w="1348"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生物质蒸汽锅炉废气DA001</w:t>
                  </w:r>
                </w:p>
              </w:tc>
              <w:tc>
                <w:tcPr>
                  <w:tcW w:w="1119"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颗粒物、SO</w:t>
                  </w:r>
                  <w:r>
                    <w:rPr>
                      <w:rFonts w:hint="default" w:ascii="Times New Roman" w:hAnsi="Times New Roman" w:eastAsia="宋体" w:cs="Times New Roman"/>
                      <w:b w:val="0"/>
                      <w:bCs w:val="0"/>
                      <w:color w:val="000000" w:themeColor="text1"/>
                      <w:kern w:val="0"/>
                      <w:sz w:val="21"/>
                      <w:szCs w:val="21"/>
                      <w:vertAlign w:val="subscript"/>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、NOx、林格曼黑度</w:t>
                  </w:r>
                </w:p>
              </w:tc>
              <w:tc>
                <w:tcPr>
                  <w:tcW w:w="671"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1次/月</w:t>
                  </w:r>
                </w:p>
              </w:tc>
              <w:tc>
                <w:tcPr>
                  <w:tcW w:w="722" w:type="pct"/>
                  <w:vMerge w:val="restar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委托有资质的环境监测单位承担</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5" w:hRule="atLeast"/>
              </w:trPr>
              <w:tc>
                <w:tcPr>
                  <w:tcW w:w="531" w:type="pct"/>
                  <w:vMerge w:val="continue"/>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p>
              </w:tc>
              <w:tc>
                <w:tcPr>
                  <w:tcW w:w="607"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无组织</w:t>
                  </w:r>
                </w:p>
              </w:tc>
              <w:tc>
                <w:tcPr>
                  <w:tcW w:w="1348"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厂界外上风向布设1个监测点，下风向布设4个监测点</w:t>
                  </w:r>
                </w:p>
              </w:tc>
              <w:tc>
                <w:tcPr>
                  <w:tcW w:w="1119"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颗粒物</w:t>
                  </w:r>
                </w:p>
              </w:tc>
              <w:tc>
                <w:tcPr>
                  <w:tcW w:w="671" w:type="pct"/>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1次/季度</w:t>
                  </w:r>
                </w:p>
              </w:tc>
              <w:tc>
                <w:tcPr>
                  <w:tcW w:w="722" w:type="pct"/>
                  <w:vMerge w:val="continue"/>
                  <w:tcBorders>
                    <w:tl2br w:val="nil"/>
                    <w:tr2bl w:val="nil"/>
                  </w:tcBorders>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p>
              </w:tc>
            </w:tr>
          </w:tbl>
          <w:p>
            <w:pPr>
              <w:pStyle w:val="85"/>
              <w:keepNext w:val="0"/>
              <w:keepLines w:val="0"/>
              <w:pageBreakBefore w:val="0"/>
              <w:widowControl w:val="0"/>
              <w:kinsoku/>
              <w:wordWrap/>
              <w:overflowPunct/>
              <w:topLinePunct w:val="0"/>
              <w:autoSpaceDE/>
              <w:autoSpaceDN/>
              <w:bidi w:val="0"/>
              <w:adjustRightInd/>
              <w:snapToGrid/>
              <w:spacing w:line="460" w:lineRule="atLeast"/>
              <w:ind w:left="0" w:leftChars="0" w:firstLine="0" w:firstLineChars="0"/>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二</w:t>
            </w:r>
            <w:r>
              <w:rPr>
                <w:rFonts w:hint="default" w:ascii="Times New Roman" w:hAnsi="Times New Roman" w:cs="Times New Roman"/>
                <w:b/>
                <w:bCs/>
                <w:color w:val="auto"/>
                <w:sz w:val="24"/>
                <w:highlight w:val="none"/>
              </w:rPr>
              <w:t>、水环境影响分析</w:t>
            </w:r>
            <w:r>
              <w:rPr>
                <w:rFonts w:hint="default" w:ascii="Times New Roman" w:hAnsi="Times New Roman" w:cs="Times New Roman"/>
                <w:b/>
                <w:bCs/>
                <w:color w:val="auto"/>
                <w:sz w:val="24"/>
                <w:highlight w:val="none"/>
                <w:lang w:val="en-US" w:eastAsia="zh-CN"/>
              </w:rPr>
              <w:t>及保护措施</w:t>
            </w:r>
          </w:p>
          <w:p>
            <w:pPr>
              <w:keepNext w:val="0"/>
              <w:keepLines w:val="0"/>
              <w:pageBreakBefore w:val="0"/>
              <w:widowControl w:val="0"/>
              <w:kinsoku/>
              <w:wordWrap/>
              <w:overflowPunct/>
              <w:topLinePunct w:val="0"/>
              <w:autoSpaceDE/>
              <w:autoSpaceDN/>
              <w:bidi w:val="0"/>
              <w:spacing w:line="460" w:lineRule="atLeast"/>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2.1</w:t>
            </w:r>
            <w:r>
              <w:rPr>
                <w:rFonts w:hint="default" w:ascii="Times New Roman" w:hAnsi="Times New Roman" w:cs="Times New Roman"/>
                <w:b/>
                <w:bCs/>
                <w:color w:val="auto"/>
                <w:sz w:val="24"/>
              </w:rPr>
              <w:t>废水产污环节及治理措施分析</w:t>
            </w:r>
          </w:p>
          <w:p>
            <w:pPr>
              <w:keepNext w:val="0"/>
              <w:keepLines w:val="0"/>
              <w:pageBreakBefore w:val="0"/>
              <w:widowControl w:val="0"/>
              <w:tabs>
                <w:tab w:val="left" w:pos="5413"/>
              </w:tabs>
              <w:kinsoku/>
              <w:wordWrap/>
              <w:overflowPunct/>
              <w:topLinePunct w:val="0"/>
              <w:autoSpaceDE/>
              <w:autoSpaceDN/>
              <w:bidi w:val="0"/>
              <w:adjustRightInd/>
              <w:snapToGrid/>
              <w:spacing w:line="460" w:lineRule="atLeast"/>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本项目厂区采用雨污分流。</w:t>
            </w:r>
          </w:p>
          <w:p>
            <w:pPr>
              <w:keepNext w:val="0"/>
              <w:keepLines w:val="0"/>
              <w:pageBreakBefore w:val="0"/>
              <w:widowControl w:val="0"/>
              <w:kinsoku/>
              <w:wordWrap/>
              <w:overflowPunct/>
              <w:topLinePunct w:val="0"/>
              <w:autoSpaceDE/>
              <w:autoSpaceDN/>
              <w:bidi w:val="0"/>
              <w:adjustRightInd w:val="0"/>
              <w:snapToGrid w:val="0"/>
              <w:spacing w:line="460" w:lineRule="atLeas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val="en-US" w:eastAsia="zh-CN"/>
              </w:rPr>
              <w:t>生活</w:t>
            </w:r>
            <w:r>
              <w:rPr>
                <w:rFonts w:hint="default" w:ascii="Times New Roman" w:hAnsi="Times New Roman" w:cs="Times New Roman"/>
                <w:color w:val="auto"/>
                <w:sz w:val="24"/>
                <w:szCs w:val="24"/>
                <w:highlight w:val="none"/>
                <w:lang w:val="en-US" w:eastAsia="zh-CN"/>
              </w:rPr>
              <w:t>污水</w:t>
            </w:r>
          </w:p>
          <w:p>
            <w:pPr>
              <w:keepNext w:val="0"/>
              <w:keepLines w:val="0"/>
              <w:pageBreakBefore w:val="0"/>
              <w:widowControl w:val="0"/>
              <w:kinsoku/>
              <w:wordWrap/>
              <w:overflowPunct/>
              <w:topLinePunct w:val="0"/>
              <w:autoSpaceDE/>
              <w:autoSpaceDN/>
              <w:bidi w:val="0"/>
              <w:adjustRightInd w:val="0"/>
              <w:snapToGrid w:val="0"/>
              <w:spacing w:line="460" w:lineRule="atLeas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本项目职工定员</w:t>
            </w:r>
            <w:r>
              <w:rPr>
                <w:rFonts w:hint="eastAsia" w:ascii="Times New Roman" w:cs="Times New Roman"/>
                <w:color w:val="auto"/>
                <w:sz w:val="24"/>
                <w:szCs w:val="24"/>
                <w:highlight w:val="none"/>
                <w:lang w:val="en-US" w:eastAsia="zh-CN"/>
              </w:rPr>
              <w:t>9</w:t>
            </w:r>
            <w:r>
              <w:rPr>
                <w:rFonts w:hint="default" w:ascii="Times New Roman" w:hAnsi="Times New Roman" w:cs="Times New Roman"/>
                <w:color w:val="auto"/>
                <w:sz w:val="24"/>
                <w:szCs w:val="24"/>
                <w:highlight w:val="none"/>
                <w:lang w:val="en-US" w:eastAsia="zh-CN"/>
              </w:rPr>
              <w:t>人，不安排食宿，参考《山西省用水定额》（DB14/T1049.4-2021），用水量按70L/人·d计，则职工生活用水量为0.</w:t>
            </w:r>
            <w:r>
              <w:rPr>
                <w:rFonts w:hint="eastAsia" w:ascii="Times New Roman" w:cs="Times New Roman"/>
                <w:color w:val="auto"/>
                <w:sz w:val="24"/>
                <w:szCs w:val="24"/>
                <w:highlight w:val="none"/>
                <w:lang w:val="en-US" w:eastAsia="zh-CN"/>
              </w:rPr>
              <w:t>63</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w:t>
            </w:r>
            <w:r>
              <w:rPr>
                <w:rFonts w:hint="eastAsia" w:ascii="Times New Roman" w:cs="Times New Roman"/>
                <w:color w:val="auto"/>
                <w:sz w:val="24"/>
                <w:szCs w:val="24"/>
                <w:highlight w:val="none"/>
                <w:lang w:val="en-US" w:eastAsia="zh-CN"/>
              </w:rPr>
              <w:t>226.8</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/a）。本项目生活污水按生活用水量的80%计，本项目生活污水排放量0.</w:t>
            </w:r>
            <w:r>
              <w:rPr>
                <w:rFonts w:hint="eastAsia" w:asci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w:t>
            </w:r>
            <w:r>
              <w:rPr>
                <w:rFonts w:hint="eastAsia" w:ascii="Times New Roman" w:cs="Times New Roman"/>
                <w:color w:val="auto"/>
                <w:sz w:val="24"/>
                <w:szCs w:val="24"/>
                <w:highlight w:val="none"/>
                <w:lang w:val="en-US" w:eastAsia="zh-CN"/>
              </w:rPr>
              <w:t>181.44</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/a。</w:t>
            </w:r>
          </w:p>
          <w:p>
            <w:pPr>
              <w:keepNext w:val="0"/>
              <w:keepLines w:val="0"/>
              <w:pageBreakBefore w:val="0"/>
              <w:widowControl w:val="0"/>
              <w:kinsoku/>
              <w:wordWrap/>
              <w:overflowPunct/>
              <w:topLinePunct w:val="0"/>
              <w:autoSpaceDE/>
              <w:autoSpaceDN/>
              <w:bidi w:val="0"/>
              <w:adjustRightInd w:val="0"/>
              <w:snapToGrid w:val="0"/>
              <w:spacing w:line="460" w:lineRule="atLeas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②洗涤废水</w:t>
            </w:r>
          </w:p>
          <w:p>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洗涤用水量按照洗衣机的用水参数计算，XGQ-100F洗衣机最大额定洗涤容量为100kg，每洗100kg衣物用水1.</w:t>
            </w:r>
            <w:r>
              <w:rPr>
                <w:rFonts w:hint="eastAsia" w:ascii="Times New Roman"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，XGQ-50F洗衣机最大额定洗涤容量为</w:t>
            </w:r>
            <w:r>
              <w:rPr>
                <w:rFonts w:hint="eastAsia" w:asci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0kg，每洗</w:t>
            </w:r>
            <w:r>
              <w:rPr>
                <w:rFonts w:hint="eastAsia" w:ascii="Times New Roman" w:cs="Times New Roman"/>
                <w:color w:val="auto"/>
                <w:sz w:val="24"/>
                <w:szCs w:val="24"/>
                <w:highlight w:val="none"/>
                <w:lang w:val="en-US" w:eastAsia="zh-CN"/>
              </w:rPr>
              <w:t>50</w:t>
            </w:r>
            <w:r>
              <w:rPr>
                <w:rFonts w:hint="default" w:ascii="Times New Roman" w:hAnsi="Times New Roman" w:cs="Times New Roman"/>
                <w:color w:val="auto"/>
                <w:sz w:val="24"/>
                <w:szCs w:val="24"/>
                <w:highlight w:val="none"/>
                <w:lang w:val="en-US" w:eastAsia="zh-CN"/>
              </w:rPr>
              <w:t>kg衣物用水</w:t>
            </w:r>
            <w:r>
              <w:rPr>
                <w:rFonts w:hint="eastAsia" w:ascii="Times New Roman" w:cs="Times New Roman"/>
                <w:color w:val="auto"/>
                <w:sz w:val="24"/>
                <w:szCs w:val="24"/>
                <w:highlight w:val="none"/>
                <w:lang w:val="en-US" w:eastAsia="zh-CN"/>
              </w:rPr>
              <w:t>0.8</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，每套布草重量为2</w:t>
            </w:r>
            <w:r>
              <w:rPr>
                <w:rFonts w:hint="eastAsia" w:asci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kg，项目年洗涤量为</w:t>
            </w:r>
            <w:r>
              <w:rPr>
                <w:rFonts w:hint="eastAsia" w:asci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lang w:val="en-US" w:eastAsia="zh-CN"/>
              </w:rPr>
              <w:t>万套，则项目洗涤用水总量为</w:t>
            </w:r>
            <w:r>
              <w:rPr>
                <w:rFonts w:hint="eastAsia" w:ascii="Times New Roman" w:cs="Times New Roman"/>
                <w:color w:val="auto"/>
                <w:sz w:val="24"/>
                <w:szCs w:val="24"/>
                <w:highlight w:val="none"/>
                <w:lang w:val="en-US" w:eastAsia="zh-CN"/>
              </w:rPr>
              <w:t>8.89</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w:t>
            </w:r>
            <w:r>
              <w:rPr>
                <w:rFonts w:hint="eastAsia" w:ascii="Times New Roman" w:cs="Times New Roman"/>
                <w:color w:val="auto"/>
                <w:sz w:val="24"/>
                <w:szCs w:val="24"/>
                <w:highlight w:val="none"/>
                <w:lang w:val="en-US" w:eastAsia="zh-CN"/>
              </w:rPr>
              <w:t>3200</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/a。洗涤废水排水量按用水量的9</w:t>
            </w:r>
            <w:r>
              <w:rPr>
                <w:rFonts w:hint="eastAsia" w:ascii="Times New Roman" w:cs="Times New Roman"/>
                <w:color w:val="auto"/>
                <w:sz w:val="24"/>
                <w:szCs w:val="24"/>
                <w:highlight w:val="none"/>
                <w:lang w:val="en-US" w:eastAsia="zh-CN"/>
              </w:rPr>
              <w:t>8</w:t>
            </w:r>
            <w:r>
              <w:rPr>
                <w:rFonts w:hint="default" w:ascii="Times New Roman" w:hAnsi="Times New Roman" w:cs="Times New Roman"/>
                <w:color w:val="auto"/>
                <w:sz w:val="24"/>
                <w:szCs w:val="24"/>
                <w:highlight w:val="none"/>
                <w:lang w:val="en-US" w:eastAsia="zh-CN"/>
              </w:rPr>
              <w:t>%计，则本项目洗涤废水排放量</w:t>
            </w:r>
            <w:r>
              <w:rPr>
                <w:rFonts w:hint="eastAsia" w:ascii="Times New Roman" w:cs="Times New Roman"/>
                <w:color w:val="auto"/>
                <w:sz w:val="24"/>
                <w:szCs w:val="24"/>
                <w:highlight w:val="none"/>
                <w:lang w:val="en-US" w:eastAsia="zh-CN"/>
              </w:rPr>
              <w:t>8.71</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w:t>
            </w:r>
            <w:r>
              <w:rPr>
                <w:rFonts w:hint="eastAsia" w:ascii="Times New Roman" w:cs="Times New Roman"/>
                <w:color w:val="auto"/>
                <w:sz w:val="24"/>
                <w:szCs w:val="24"/>
                <w:highlight w:val="none"/>
                <w:lang w:val="en-US" w:eastAsia="zh-CN"/>
              </w:rPr>
              <w:t>3136</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/a。</w:t>
            </w:r>
          </w:p>
          <w:p>
            <w:pPr>
              <w:keepNext w:val="0"/>
              <w:keepLines w:val="0"/>
              <w:pageBreakBefore w:val="0"/>
              <w:widowControl w:val="0"/>
              <w:kinsoku/>
              <w:wordWrap/>
              <w:overflowPunct/>
              <w:topLinePunct w:val="0"/>
              <w:autoSpaceDE/>
              <w:autoSpaceDN/>
              <w:bidi w:val="0"/>
              <w:adjustRightInd w:val="0"/>
              <w:snapToGrid w:val="0"/>
              <w:spacing w:line="460" w:lineRule="atLeas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③锅炉定排水</w:t>
            </w:r>
          </w:p>
          <w:p>
            <w:pPr>
              <w:keepNext w:val="0"/>
              <w:keepLines w:val="0"/>
              <w:pageBreakBefore w:val="0"/>
              <w:widowControl w:val="0"/>
              <w:kinsoku/>
              <w:wordWrap/>
              <w:overflowPunct/>
              <w:topLinePunct w:val="0"/>
              <w:autoSpaceDE/>
              <w:autoSpaceDN/>
              <w:bidi w:val="0"/>
              <w:adjustRightInd w:val="0"/>
              <w:snapToGrid w:val="0"/>
              <w:spacing w:line="460" w:lineRule="atLeast"/>
              <w:ind w:left="0" w:leftChars="0" w:right="0" w:rightChars="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w:t>
            </w:r>
            <w:r>
              <w:rPr>
                <w:rFonts w:hint="eastAsia" w:ascii="Times New Roman" w:cs="Times New Roman"/>
                <w:color w:val="auto"/>
                <w:sz w:val="24"/>
                <w:szCs w:val="24"/>
                <w:highlight w:val="none"/>
                <w:lang w:val="en-US" w:eastAsia="zh-CN"/>
              </w:rPr>
              <w:t>建设一台2.5t/h</w:t>
            </w:r>
            <w:r>
              <w:rPr>
                <w:rFonts w:hint="default" w:ascii="Times New Roman" w:hAnsi="Times New Roman" w:cs="Times New Roman"/>
                <w:color w:val="auto"/>
                <w:sz w:val="24"/>
                <w:szCs w:val="24"/>
                <w:highlight w:val="none"/>
                <w:lang w:val="en-US" w:eastAsia="zh-CN"/>
              </w:rPr>
              <w:t>生物质锅炉，根据《锅炉产排污量核算系数手册》生物质燃料锅炉（锅外水处理）工业废水产污系数为0.356t/t燃料（锅炉排污水+软化处理废水）。本项目生物质锅炉燃料使用量为</w:t>
            </w:r>
            <w:r>
              <w:rPr>
                <w:rFonts w:hint="eastAsia" w:ascii="Times New Roman" w:cs="Times New Roman"/>
                <w:color w:val="000000" w:themeColor="text1"/>
                <w:kern w:val="2"/>
                <w:sz w:val="24"/>
                <w:szCs w:val="24"/>
                <w:highlight w:val="none"/>
                <w:lang w:val="en-US" w:eastAsia="zh-CN" w:bidi="ar-SA"/>
                <w14:textFill>
                  <w14:solidFill>
                    <w14:schemeClr w14:val="tx1"/>
                  </w14:solidFill>
                </w14:textFill>
              </w:rPr>
              <w:t>470.4</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kg/h</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1354.8 t/a</w:t>
            </w:r>
            <w:r>
              <w:rPr>
                <w:rFonts w:hint="default" w:ascii="Times New Roman" w:hAnsi="Times New Roman" w:cs="Times New Roman"/>
                <w:color w:val="auto"/>
                <w:sz w:val="24"/>
                <w:szCs w:val="24"/>
                <w:highlight w:val="none"/>
                <w:lang w:val="en-US" w:eastAsia="zh-CN"/>
              </w:rPr>
              <w:t>，则废水产生量为</w:t>
            </w:r>
            <w:r>
              <w:rPr>
                <w:rFonts w:hint="eastAsia" w:ascii="Times New Roman" w:cs="Times New Roman"/>
                <w:color w:val="auto"/>
                <w:sz w:val="24"/>
                <w:szCs w:val="24"/>
                <w:highlight w:val="none"/>
                <w:lang w:val="en-US" w:eastAsia="zh-CN"/>
              </w:rPr>
              <w:t>1.34</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/d，</w:t>
            </w:r>
            <w:r>
              <w:rPr>
                <w:rFonts w:hint="eastAsia" w:ascii="Times New Roman" w:cs="Times New Roman"/>
                <w:color w:val="auto"/>
                <w:sz w:val="24"/>
                <w:szCs w:val="24"/>
                <w:highlight w:val="none"/>
                <w:lang w:val="en-US" w:eastAsia="zh-CN"/>
              </w:rPr>
              <w:t>482.31</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/a。</w:t>
            </w:r>
          </w:p>
          <w:p>
            <w:pPr>
              <w:keepNext w:val="0"/>
              <w:keepLines w:val="0"/>
              <w:pageBreakBefore w:val="0"/>
              <w:widowControl/>
              <w:kinsoku/>
              <w:wordWrap/>
              <w:overflowPunct/>
              <w:topLinePunct w:val="0"/>
              <w:autoSpaceDE/>
              <w:autoSpaceDN/>
              <w:bidi w:val="0"/>
              <w:adjustRightInd/>
              <w:snapToGrid/>
              <w:spacing w:line="460" w:lineRule="atLeast"/>
              <w:ind w:left="0" w:leftChars="0" w:right="0" w:rightChars="0" w:firstLine="480" w:firstLineChars="200"/>
              <w:jc w:val="both"/>
              <w:textAlignment w:val="auto"/>
              <w:outlineLvl w:val="9"/>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highlight w:val="none"/>
                <w:lang w:val="en-US" w:eastAsia="zh-CN"/>
              </w:rPr>
              <w:t>本项目废水</w:t>
            </w:r>
            <w:r>
              <w:rPr>
                <w:rFonts w:hint="eastAsia" w:ascii="Times New Roman" w:cs="Times New Roman"/>
                <w:bCs/>
                <w:color w:val="auto"/>
                <w:sz w:val="24"/>
                <w:szCs w:val="24"/>
                <w:highlight w:val="none"/>
                <w:lang w:val="en-US" w:eastAsia="zh-CN"/>
              </w:rPr>
              <w:t>年排放量为3798</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eastAsia" w:ascii="Times New Roman" w:cs="Times New Roman"/>
                <w:bCs/>
                <w:color w:val="auto"/>
                <w:sz w:val="24"/>
                <w:szCs w:val="24"/>
                <w:highlight w:val="none"/>
                <w:lang w:val="en-US" w:eastAsia="zh-CN"/>
              </w:rPr>
              <w:t>，其</w:t>
            </w:r>
            <w:r>
              <w:rPr>
                <w:rFonts w:hint="default" w:ascii="Times New Roman" w:hAnsi="Times New Roman" w:cs="Times New Roman"/>
                <w:bCs/>
                <w:color w:val="auto"/>
                <w:sz w:val="24"/>
                <w:szCs w:val="24"/>
                <w:highlight w:val="none"/>
                <w:lang w:val="en-US" w:eastAsia="zh-CN"/>
              </w:rPr>
              <w:t>中主要污染物为COD、BOD</w:t>
            </w:r>
            <w:r>
              <w:rPr>
                <w:rFonts w:hint="default" w:ascii="Times New Roman" w:hAnsi="Times New Roman" w:cs="Times New Roman"/>
                <w:bCs/>
                <w:color w:val="auto"/>
                <w:sz w:val="24"/>
                <w:szCs w:val="24"/>
                <w:highlight w:val="none"/>
                <w:vertAlign w:val="subscript"/>
                <w:lang w:val="en-US" w:eastAsia="zh-CN"/>
              </w:rPr>
              <w:t>5</w:t>
            </w:r>
            <w:r>
              <w:rPr>
                <w:rFonts w:hint="default" w:ascii="Times New Roman" w:hAnsi="Times New Roman" w:cs="Times New Roman"/>
                <w:bCs/>
                <w:color w:val="auto"/>
                <w:sz w:val="24"/>
                <w:szCs w:val="24"/>
                <w:lang w:val="en-US" w:eastAsia="zh-CN"/>
              </w:rPr>
              <w:t>、NH</w:t>
            </w:r>
            <w:r>
              <w:rPr>
                <w:rFonts w:hint="default" w:ascii="Times New Roman" w:hAnsi="Times New Roman" w:cs="Times New Roman"/>
                <w:bCs/>
                <w:color w:val="auto"/>
                <w:sz w:val="24"/>
                <w:szCs w:val="24"/>
                <w:vertAlign w:val="subscript"/>
                <w:lang w:val="en-US" w:eastAsia="zh-CN"/>
              </w:rPr>
              <w:t>3</w:t>
            </w:r>
            <w:r>
              <w:rPr>
                <w:rFonts w:hint="default" w:ascii="Times New Roman" w:hAnsi="Times New Roman" w:cs="Times New Roman"/>
                <w:bCs/>
                <w:color w:val="auto"/>
                <w:sz w:val="24"/>
                <w:szCs w:val="24"/>
                <w:lang w:val="en-US" w:eastAsia="zh-CN"/>
              </w:rPr>
              <w:t>-N、SS、阴离子表面活性剂等，废水中污染物浓度参照《洗衣废水处理工程实践》（朱建、王平、罗文年，工业水处理，2009年第29卷第5期）中的数据</w:t>
            </w:r>
            <w:r>
              <w:rPr>
                <w:rFonts w:hint="eastAsia" w:ascii="Times New Roman" w:cs="Times New Roman"/>
                <w:bCs/>
                <w:color w:val="auto"/>
                <w:sz w:val="24"/>
                <w:szCs w:val="24"/>
                <w:lang w:val="en-US" w:eastAsia="zh-CN"/>
              </w:rPr>
              <w:t>及类比同类型行业可知</w:t>
            </w:r>
            <w:r>
              <w:rPr>
                <w:rFonts w:hint="default" w:ascii="Times New Roman" w:hAnsi="Times New Roman" w:cs="Times New Roman"/>
                <w:bCs/>
                <w:color w:val="auto"/>
                <w:sz w:val="24"/>
                <w:szCs w:val="24"/>
                <w:lang w:val="en-US" w:eastAsia="zh-CN"/>
              </w:rPr>
              <w:t>，COD：600mg/L、BOD</w:t>
            </w:r>
            <w:r>
              <w:rPr>
                <w:rFonts w:hint="default" w:ascii="Times New Roman" w:hAnsi="Times New Roman" w:cs="Times New Roman"/>
                <w:bCs/>
                <w:color w:val="auto"/>
                <w:sz w:val="24"/>
                <w:szCs w:val="24"/>
                <w:vertAlign w:val="subscript"/>
                <w:lang w:val="en-US" w:eastAsia="zh-CN"/>
              </w:rPr>
              <w:t>5</w:t>
            </w:r>
            <w:r>
              <w:rPr>
                <w:rFonts w:hint="default" w:ascii="Times New Roman" w:hAnsi="Times New Roman" w:cs="Times New Roman"/>
                <w:bCs/>
                <w:color w:val="auto"/>
                <w:sz w:val="24"/>
                <w:szCs w:val="24"/>
                <w:lang w:val="en-US" w:eastAsia="zh-CN"/>
              </w:rPr>
              <w:t>：350mg/L、SS：500mg/L、NH</w:t>
            </w:r>
            <w:r>
              <w:rPr>
                <w:rFonts w:hint="default" w:ascii="Times New Roman" w:hAnsi="Times New Roman" w:cs="Times New Roman"/>
                <w:bCs/>
                <w:color w:val="auto"/>
                <w:sz w:val="24"/>
                <w:szCs w:val="24"/>
                <w:vertAlign w:val="subscript"/>
                <w:lang w:val="en-US" w:eastAsia="zh-CN"/>
              </w:rPr>
              <w:t>3</w:t>
            </w:r>
            <w:r>
              <w:rPr>
                <w:rFonts w:hint="default" w:ascii="Times New Roman" w:hAnsi="Times New Roman" w:cs="Times New Roman"/>
                <w:bCs/>
                <w:color w:val="auto"/>
                <w:sz w:val="24"/>
                <w:szCs w:val="24"/>
                <w:lang w:val="en-US" w:eastAsia="zh-CN"/>
              </w:rPr>
              <w:t>-N：30mg/</w:t>
            </w:r>
            <w:r>
              <w:rPr>
                <w:rFonts w:hint="default" w:ascii="Times New Roman" w:hAnsi="Times New Roman" w:cs="Times New Roman"/>
                <w:bCs/>
                <w:color w:val="auto"/>
                <w:sz w:val="24"/>
                <w:szCs w:val="24"/>
                <w:highlight w:val="none"/>
                <w:lang w:val="en-US" w:eastAsia="zh-CN"/>
              </w:rPr>
              <w:t>L、阴离子表面活性剂：40mg/L</w:t>
            </w:r>
            <w:r>
              <w:rPr>
                <w:rFonts w:hint="eastAsia" w:ascii="Times New Roman" w:cs="Times New Roman"/>
                <w:bCs/>
                <w:color w:val="auto"/>
                <w:sz w:val="24"/>
                <w:szCs w:val="24"/>
                <w:highlight w:val="none"/>
                <w:lang w:val="en-US" w:eastAsia="zh-CN"/>
              </w:rPr>
              <w:t>、总氮50</w:t>
            </w:r>
            <w:r>
              <w:rPr>
                <w:rFonts w:hint="default" w:ascii="Times New Roman" w:hAnsi="Times New Roman" w:cs="Times New Roman"/>
                <w:bCs/>
                <w:color w:val="auto"/>
                <w:sz w:val="24"/>
                <w:szCs w:val="24"/>
                <w:highlight w:val="none"/>
                <w:lang w:val="en-US" w:eastAsia="zh-CN"/>
              </w:rPr>
              <w:t>mg/L</w:t>
            </w:r>
            <w:r>
              <w:rPr>
                <w:rFonts w:hint="eastAsia" w:ascii="Times New Roman" w:hAnsi="Times New Roman" w:cs="Times New Roman"/>
                <w:bCs/>
                <w:color w:val="auto"/>
                <w:sz w:val="24"/>
                <w:szCs w:val="24"/>
                <w:highlight w:val="none"/>
                <w:lang w:val="en-US" w:eastAsia="zh-CN"/>
              </w:rPr>
              <w:t>、</w:t>
            </w:r>
            <w:r>
              <w:rPr>
                <w:rFonts w:hint="eastAsia" w:ascii="Times New Roman" w:cs="Times New Roman"/>
                <w:bCs/>
                <w:color w:val="auto"/>
                <w:sz w:val="24"/>
                <w:szCs w:val="24"/>
                <w:highlight w:val="none"/>
                <w:lang w:val="en-US" w:eastAsia="zh-CN"/>
              </w:rPr>
              <w:t>总磷15</w:t>
            </w:r>
            <w:r>
              <w:rPr>
                <w:rFonts w:hint="default" w:ascii="Times New Roman" w:hAnsi="Times New Roman" w:cs="Times New Roman"/>
                <w:bCs/>
                <w:color w:val="auto"/>
                <w:sz w:val="24"/>
                <w:szCs w:val="24"/>
                <w:highlight w:val="none"/>
                <w:lang w:val="en-US" w:eastAsia="zh-CN"/>
              </w:rPr>
              <w:t>mg/L</w:t>
            </w:r>
            <w:r>
              <w:rPr>
                <w:rFonts w:hint="eastAsia" w:ascii="Times New Roman" w:hAnsi="Times New Roman" w:cs="Times New Roman"/>
                <w:bCs/>
                <w:color w:val="auto"/>
                <w:sz w:val="24"/>
                <w:szCs w:val="24"/>
                <w:highlight w:val="none"/>
                <w:lang w:val="en-US" w:eastAsia="zh-CN"/>
              </w:rPr>
              <w:t>。</w:t>
            </w:r>
          </w:p>
          <w:p>
            <w:pPr>
              <w:keepNext w:val="0"/>
              <w:keepLines w:val="0"/>
              <w:pageBreakBefore w:val="0"/>
              <w:widowControl/>
              <w:kinsoku/>
              <w:wordWrap/>
              <w:overflowPunct/>
              <w:topLinePunct w:val="0"/>
              <w:autoSpaceDE/>
              <w:autoSpaceDN/>
              <w:bidi w:val="0"/>
              <w:adjustRightInd/>
              <w:snapToGrid/>
              <w:spacing w:line="460" w:lineRule="atLeast"/>
              <w:ind w:left="0" w:leftChars="0" w:right="0" w:rightChars="0" w:firstLine="480" w:firstLineChars="200"/>
              <w:jc w:val="both"/>
              <w:textAlignment w:val="auto"/>
              <w:outlineLvl w:val="9"/>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本项目废水排入</w:t>
            </w:r>
            <w:r>
              <w:rPr>
                <w:rFonts w:hint="eastAsia" w:ascii="Times New Roman" w:cs="Times New Roman"/>
                <w:bCs/>
                <w:color w:val="auto"/>
                <w:sz w:val="24"/>
                <w:szCs w:val="24"/>
                <w:highlight w:val="none"/>
                <w:lang w:val="en-US" w:eastAsia="zh-CN"/>
              </w:rPr>
              <w:t>地埋式</w:t>
            </w:r>
            <w:r>
              <w:rPr>
                <w:rFonts w:hint="default" w:ascii="Times New Roman" w:hAnsi="Times New Roman" w:cs="Times New Roman"/>
                <w:bCs/>
                <w:color w:val="auto"/>
                <w:sz w:val="24"/>
                <w:szCs w:val="24"/>
                <w:highlight w:val="none"/>
                <w:lang w:val="en-US" w:eastAsia="zh-CN"/>
              </w:rPr>
              <w:t>一体化污水处理设施（处理能力：</w:t>
            </w:r>
            <w:r>
              <w:rPr>
                <w:rFonts w:hint="eastAsia" w:ascii="Times New Roman" w:cs="Times New Roman"/>
                <w:bCs/>
                <w:color w:val="auto"/>
                <w:sz w:val="24"/>
                <w:szCs w:val="24"/>
                <w:highlight w:val="none"/>
                <w:lang w:val="en-US" w:eastAsia="zh-CN"/>
              </w:rPr>
              <w:t>15</w:t>
            </w:r>
            <w:r>
              <w:rPr>
                <w:rFonts w:hint="default" w:ascii="Times New Roman" w:hAnsi="Times New Roman" w:cs="Times New Roman"/>
                <w:bCs/>
                <w:color w:val="auto"/>
                <w:sz w:val="24"/>
                <w:szCs w:val="24"/>
                <w:highlight w:val="none"/>
                <w:lang w:val="en-US" w:eastAsia="zh-CN"/>
              </w:rPr>
              <w:t>m</w:t>
            </w:r>
            <w:r>
              <w:rPr>
                <w:rFonts w:hint="default" w:ascii="Times New Roman" w:hAnsi="Times New Roman" w:cs="Times New Roman"/>
                <w:bCs/>
                <w:color w:val="auto"/>
                <w:sz w:val="24"/>
                <w:szCs w:val="24"/>
                <w:highlight w:val="none"/>
                <w:vertAlign w:val="superscript"/>
                <w:lang w:val="en-US" w:eastAsia="zh-CN"/>
              </w:rPr>
              <w:t>3</w:t>
            </w:r>
            <w:r>
              <w:rPr>
                <w:rFonts w:hint="default" w:ascii="Times New Roman" w:hAnsi="Times New Roman" w:cs="Times New Roman"/>
                <w:bCs/>
                <w:color w:val="auto"/>
                <w:sz w:val="24"/>
                <w:szCs w:val="24"/>
                <w:highlight w:val="none"/>
                <w:lang w:val="en-US" w:eastAsia="zh-CN"/>
              </w:rPr>
              <w:t>/d；工艺：</w:t>
            </w:r>
            <w:r>
              <w:rPr>
                <w:rFonts w:hint="eastAsia" w:ascii="Times New Roman" w:cs="Times New Roman"/>
                <w:bCs/>
                <w:color w:val="auto"/>
                <w:sz w:val="24"/>
                <w:szCs w:val="24"/>
                <w:highlight w:val="none"/>
                <w:lang w:val="en-US" w:eastAsia="zh-CN"/>
              </w:rPr>
              <w:t>格栅+调节+水解酸化+好氧生物+沉淀</w:t>
            </w:r>
            <w:r>
              <w:rPr>
                <w:rFonts w:hint="default" w:ascii="Times New Roman" w:hAnsi="Times New Roman" w:cs="Times New Roman"/>
                <w:bCs/>
                <w:color w:val="auto"/>
                <w:sz w:val="24"/>
                <w:szCs w:val="24"/>
                <w:highlight w:val="none"/>
                <w:lang w:val="en-US" w:eastAsia="zh-CN"/>
              </w:rPr>
              <w:t>）进行处理，出水质满足《污水排入城镇下水道水质标准》（GB/T31962-2015）中的A等级标准后，</w:t>
            </w:r>
            <w:r>
              <w:rPr>
                <w:rFonts w:hint="eastAsia" w:ascii="Times New Roman" w:eastAsia="方正书宋简体" w:cs="Times New Roman"/>
                <w:bCs/>
                <w:kern w:val="2"/>
                <w:sz w:val="24"/>
                <w:szCs w:val="28"/>
                <w:highlight w:val="none"/>
                <w:lang w:val="en-US" w:eastAsia="zh-CN" w:bidi="ar-SA"/>
              </w:rPr>
              <w:t>由罐车每天拉至市政污水管网排放点</w:t>
            </w:r>
            <w:r>
              <w:rPr>
                <w:rFonts w:hint="eastAsia" w:ascii="Times New Roman" w:hAnsi="Times New Roman" w:eastAsia="方正书宋简体" w:cs="Times New Roman"/>
                <w:bCs/>
                <w:kern w:val="2"/>
                <w:sz w:val="24"/>
                <w:szCs w:val="28"/>
                <w:highlight w:val="none"/>
                <w:lang w:val="en-US" w:eastAsia="zh-CN" w:bidi="ar-SA"/>
              </w:rPr>
              <w:t>，</w:t>
            </w:r>
            <w:r>
              <w:rPr>
                <w:rFonts w:hint="eastAsia" w:ascii="Times New Roman" w:eastAsia="方正书宋简体" w:cs="Times New Roman"/>
                <w:bCs/>
                <w:kern w:val="2"/>
                <w:sz w:val="24"/>
                <w:szCs w:val="28"/>
                <w:highlight w:val="none"/>
                <w:lang w:val="en-US" w:eastAsia="zh-CN" w:bidi="ar-SA"/>
              </w:rPr>
              <w:t>进入</w:t>
            </w:r>
            <w:r>
              <w:rPr>
                <w:rFonts w:hint="eastAsia" w:ascii="Times New Roman" w:hAnsi="Times New Roman" w:eastAsia="方正书宋简体" w:cs="Times New Roman"/>
                <w:bCs/>
                <w:kern w:val="2"/>
                <w:sz w:val="24"/>
                <w:szCs w:val="28"/>
                <w:highlight w:val="none"/>
                <w:lang w:val="en-US" w:eastAsia="zh-CN" w:bidi="ar-SA"/>
              </w:rPr>
              <w:t>翼城县润灏水务有限公司处理</w:t>
            </w:r>
            <w:r>
              <w:rPr>
                <w:rFonts w:hint="default" w:ascii="Times New Roman" w:hAnsi="Times New Roman" w:cs="Times New Roman"/>
                <w:bCs/>
                <w:color w:val="auto"/>
                <w:sz w:val="24"/>
                <w:szCs w:val="24"/>
                <w:highlight w:val="none"/>
                <w:lang w:val="en-US" w:eastAsia="zh-CN"/>
              </w:rPr>
              <w:t>。</w:t>
            </w:r>
          </w:p>
          <w:p>
            <w:pPr>
              <w:keepNext w:val="0"/>
              <w:keepLines w:val="0"/>
              <w:pageBreakBefore w:val="0"/>
              <w:kinsoku/>
              <w:wordWrap/>
              <w:overflowPunct/>
              <w:topLinePunct w:val="0"/>
              <w:autoSpaceDE/>
              <w:autoSpaceDN/>
              <w:bidi w:val="0"/>
              <w:adjustRightInd/>
              <w:snapToGrid/>
              <w:spacing w:line="460" w:lineRule="atLeast"/>
              <w:jc w:val="center"/>
              <w:textAlignment w:val="auto"/>
              <w:rPr>
                <w:rFonts w:hint="default"/>
                <w:lang w:val="en-US" w:eastAsia="zh-CN"/>
              </w:rPr>
            </w:pPr>
            <w:r>
              <w:rPr>
                <w:rFonts w:hint="default" w:ascii="Times New Roman" w:hAnsi="Times New Roman" w:cs="Times New Roman" w:eastAsiaTheme="minorEastAsia"/>
                <w:b/>
                <w:bCs/>
                <w:color w:val="000000" w:themeColor="text1"/>
                <w:kern w:val="2"/>
                <w:sz w:val="21"/>
                <w:szCs w:val="24"/>
                <w:highlight w:val="none"/>
                <w:lang w:val="en-US" w:eastAsia="zh-CN"/>
                <w14:textFill>
                  <w14:solidFill>
                    <w14:schemeClr w14:val="tx1"/>
                  </w14:solidFill>
                </w14:textFill>
              </w:rPr>
              <w:t>表4-4 废水产生及排放情况一览表</w:t>
            </w:r>
          </w:p>
          <w:tbl>
            <w:tblPr>
              <w:tblStyle w:val="39"/>
              <w:tblW w:w="81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4"/>
              <w:gridCol w:w="1049"/>
              <w:gridCol w:w="888"/>
              <w:gridCol w:w="1036"/>
              <w:gridCol w:w="1062"/>
              <w:gridCol w:w="1213"/>
              <w:gridCol w:w="839"/>
              <w:gridCol w:w="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16"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项目</w:t>
                  </w:r>
                </w:p>
              </w:tc>
              <w:tc>
                <w:tcPr>
                  <w:tcW w:w="642"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COD</w:t>
                  </w:r>
                </w:p>
              </w:tc>
              <w:tc>
                <w:tcPr>
                  <w:tcW w:w="543"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BOD</w:t>
                  </w:r>
                  <w:r>
                    <w:rPr>
                      <w:rFonts w:hint="default" w:ascii="Times New Roman" w:hAnsi="Times New Roman" w:eastAsia="宋体" w:cs="Times New Roman"/>
                      <w:b w:val="0"/>
                      <w:bCs w:val="0"/>
                      <w:spacing w:val="6"/>
                      <w:sz w:val="21"/>
                      <w:szCs w:val="21"/>
                      <w:highlight w:val="none"/>
                      <w:vertAlign w:val="subscript"/>
                      <w:lang w:val="en-US" w:eastAsia="zh-CN"/>
                    </w:rPr>
                    <w:t>5</w:t>
                  </w:r>
                </w:p>
              </w:tc>
              <w:tc>
                <w:tcPr>
                  <w:tcW w:w="634"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SS</w:t>
                  </w:r>
                </w:p>
              </w:tc>
              <w:tc>
                <w:tcPr>
                  <w:tcW w:w="650"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NH</w:t>
                  </w:r>
                  <w:r>
                    <w:rPr>
                      <w:rFonts w:hint="default" w:ascii="Times New Roman" w:hAnsi="Times New Roman" w:eastAsia="宋体" w:cs="Times New Roman"/>
                      <w:b w:val="0"/>
                      <w:bCs w:val="0"/>
                      <w:spacing w:val="6"/>
                      <w:sz w:val="21"/>
                      <w:szCs w:val="21"/>
                      <w:highlight w:val="none"/>
                      <w:vertAlign w:val="subscript"/>
                      <w:lang w:val="en-US" w:eastAsia="zh-CN"/>
                    </w:rPr>
                    <w:t>3</w:t>
                  </w:r>
                  <w:r>
                    <w:rPr>
                      <w:rFonts w:hint="default" w:ascii="Times New Roman" w:hAnsi="Times New Roman" w:eastAsia="宋体" w:cs="Times New Roman"/>
                      <w:b w:val="0"/>
                      <w:bCs w:val="0"/>
                      <w:spacing w:val="6"/>
                      <w:sz w:val="21"/>
                      <w:szCs w:val="21"/>
                      <w:highlight w:val="none"/>
                      <w:lang w:val="en-US" w:eastAsia="zh-CN"/>
                    </w:rPr>
                    <w:t>-N</w:t>
                  </w:r>
                </w:p>
              </w:tc>
              <w:tc>
                <w:tcPr>
                  <w:tcW w:w="742"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阴离子表面活性剂</w:t>
                  </w:r>
                </w:p>
              </w:tc>
              <w:tc>
                <w:tcPr>
                  <w:tcW w:w="513"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eastAsia" w:ascii="Times New Roman" w:hAnsi="Times New Roman" w:eastAsia="宋体" w:cs="Times New Roman"/>
                      <w:b w:val="0"/>
                      <w:bCs w:val="0"/>
                      <w:spacing w:val="6"/>
                      <w:sz w:val="21"/>
                      <w:szCs w:val="21"/>
                      <w:highlight w:val="none"/>
                      <w:lang w:val="en-US" w:eastAsia="zh-CN"/>
                    </w:rPr>
                    <w:t>总氮</w:t>
                  </w:r>
                </w:p>
              </w:tc>
              <w:tc>
                <w:tcPr>
                  <w:tcW w:w="456"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eastAsia" w:ascii="Times New Roman" w:hAnsi="Times New Roman" w:eastAsia="宋体" w:cs="Times New Roman"/>
                      <w:b w:val="0"/>
                      <w:bCs w:val="0"/>
                      <w:spacing w:val="6"/>
                      <w:sz w:val="21"/>
                      <w:szCs w:val="21"/>
                      <w:highlight w:val="none"/>
                      <w:lang w:val="en-US" w:eastAsia="zh-CN"/>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pct"/>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进水水质（mg/L）</w:t>
                  </w:r>
                </w:p>
              </w:tc>
              <w:tc>
                <w:tcPr>
                  <w:tcW w:w="642"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600</w:t>
                  </w:r>
                </w:p>
              </w:tc>
              <w:tc>
                <w:tcPr>
                  <w:tcW w:w="543"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350</w:t>
                  </w:r>
                </w:p>
              </w:tc>
              <w:tc>
                <w:tcPr>
                  <w:tcW w:w="634"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500</w:t>
                  </w:r>
                </w:p>
              </w:tc>
              <w:tc>
                <w:tcPr>
                  <w:tcW w:w="650"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30</w:t>
                  </w:r>
                </w:p>
              </w:tc>
              <w:tc>
                <w:tcPr>
                  <w:tcW w:w="742"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40</w:t>
                  </w:r>
                </w:p>
              </w:tc>
              <w:tc>
                <w:tcPr>
                  <w:tcW w:w="513"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eastAsia" w:ascii="Times New Roman" w:hAnsi="Times New Roman" w:eastAsia="宋体" w:cs="Times New Roman"/>
                      <w:b w:val="0"/>
                      <w:bCs w:val="0"/>
                      <w:spacing w:val="6"/>
                      <w:sz w:val="21"/>
                      <w:szCs w:val="21"/>
                      <w:highlight w:val="none"/>
                      <w:lang w:val="en-US" w:eastAsia="zh-CN"/>
                    </w:rPr>
                    <w:t>50</w:t>
                  </w:r>
                </w:p>
              </w:tc>
              <w:tc>
                <w:tcPr>
                  <w:tcW w:w="456"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eastAsia" w:ascii="Times New Roman" w:hAnsi="Times New Roman" w:eastAsia="宋体" w:cs="Times New Roman"/>
                      <w:b w:val="0"/>
                      <w:bCs w:val="0"/>
                      <w:spacing w:val="6"/>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pct"/>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总去除率</w:t>
                  </w:r>
                </w:p>
              </w:tc>
              <w:tc>
                <w:tcPr>
                  <w:tcW w:w="642"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80.0%</w:t>
                  </w:r>
                </w:p>
              </w:tc>
              <w:tc>
                <w:tcPr>
                  <w:tcW w:w="543"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7</w:t>
                  </w:r>
                  <w:r>
                    <w:rPr>
                      <w:rFonts w:hint="eastAsia" w:ascii="Times New Roman" w:hAnsi="Times New Roman" w:eastAsia="宋体" w:cs="Times New Roman"/>
                      <w:b w:val="0"/>
                      <w:bCs w:val="0"/>
                      <w:spacing w:val="6"/>
                      <w:sz w:val="21"/>
                      <w:szCs w:val="21"/>
                      <w:highlight w:val="none"/>
                      <w:lang w:val="en-US" w:eastAsia="zh-CN"/>
                    </w:rPr>
                    <w:t>5</w:t>
                  </w:r>
                  <w:r>
                    <w:rPr>
                      <w:rFonts w:hint="default" w:ascii="Times New Roman" w:hAnsi="Times New Roman" w:eastAsia="宋体" w:cs="Times New Roman"/>
                      <w:b w:val="0"/>
                      <w:bCs w:val="0"/>
                      <w:spacing w:val="6"/>
                      <w:sz w:val="21"/>
                      <w:szCs w:val="21"/>
                      <w:highlight w:val="none"/>
                      <w:lang w:val="en-US" w:eastAsia="zh-CN"/>
                    </w:rPr>
                    <w:t>%</w:t>
                  </w:r>
                </w:p>
              </w:tc>
              <w:tc>
                <w:tcPr>
                  <w:tcW w:w="634"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eastAsia" w:ascii="Times New Roman" w:hAnsi="Times New Roman" w:eastAsia="宋体" w:cs="Times New Roman"/>
                      <w:b w:val="0"/>
                      <w:bCs w:val="0"/>
                      <w:spacing w:val="6"/>
                      <w:sz w:val="21"/>
                      <w:szCs w:val="21"/>
                      <w:highlight w:val="none"/>
                      <w:lang w:val="en-US" w:eastAsia="zh-CN"/>
                    </w:rPr>
                    <w:t>90</w:t>
                  </w:r>
                  <w:r>
                    <w:rPr>
                      <w:rFonts w:hint="default" w:ascii="Times New Roman" w:hAnsi="Times New Roman" w:eastAsia="宋体" w:cs="Times New Roman"/>
                      <w:b w:val="0"/>
                      <w:bCs w:val="0"/>
                      <w:spacing w:val="6"/>
                      <w:sz w:val="21"/>
                      <w:szCs w:val="21"/>
                      <w:highlight w:val="none"/>
                      <w:lang w:val="en-US" w:eastAsia="zh-CN"/>
                    </w:rPr>
                    <w:t>%</w:t>
                  </w:r>
                </w:p>
              </w:tc>
              <w:tc>
                <w:tcPr>
                  <w:tcW w:w="650"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75.0%</w:t>
                  </w:r>
                </w:p>
              </w:tc>
              <w:tc>
                <w:tcPr>
                  <w:tcW w:w="742"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eastAsia" w:ascii="Times New Roman" w:hAnsi="Times New Roman" w:eastAsia="宋体" w:cs="Times New Roman"/>
                      <w:b w:val="0"/>
                      <w:bCs w:val="0"/>
                      <w:spacing w:val="6"/>
                      <w:sz w:val="21"/>
                      <w:szCs w:val="21"/>
                      <w:highlight w:val="none"/>
                      <w:lang w:val="en-US" w:eastAsia="zh-CN"/>
                    </w:rPr>
                    <w:t>60</w:t>
                  </w:r>
                  <w:r>
                    <w:rPr>
                      <w:rFonts w:hint="default" w:ascii="Times New Roman" w:hAnsi="Times New Roman" w:eastAsia="宋体" w:cs="Times New Roman"/>
                      <w:b w:val="0"/>
                      <w:bCs w:val="0"/>
                      <w:spacing w:val="6"/>
                      <w:sz w:val="21"/>
                      <w:szCs w:val="21"/>
                      <w:highlight w:val="none"/>
                      <w:lang w:val="en-US" w:eastAsia="zh-CN"/>
                    </w:rPr>
                    <w:t>%</w:t>
                  </w:r>
                </w:p>
              </w:tc>
              <w:tc>
                <w:tcPr>
                  <w:tcW w:w="513"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7</w:t>
                  </w:r>
                  <w:r>
                    <w:rPr>
                      <w:rFonts w:hint="eastAsia" w:ascii="Times New Roman" w:hAnsi="Times New Roman" w:eastAsia="宋体" w:cs="Times New Roman"/>
                      <w:b w:val="0"/>
                      <w:bCs w:val="0"/>
                      <w:spacing w:val="6"/>
                      <w:sz w:val="21"/>
                      <w:szCs w:val="21"/>
                      <w:highlight w:val="none"/>
                      <w:lang w:val="en-US" w:eastAsia="zh-CN"/>
                    </w:rPr>
                    <w:t>0</w:t>
                  </w:r>
                  <w:r>
                    <w:rPr>
                      <w:rFonts w:hint="default" w:ascii="Times New Roman" w:hAnsi="Times New Roman" w:eastAsia="宋体" w:cs="Times New Roman"/>
                      <w:b w:val="0"/>
                      <w:bCs w:val="0"/>
                      <w:spacing w:val="6"/>
                      <w:sz w:val="21"/>
                      <w:szCs w:val="21"/>
                      <w:highlight w:val="none"/>
                      <w:lang w:val="en-US" w:eastAsia="zh-CN"/>
                    </w:rPr>
                    <w:t>.0%</w:t>
                  </w:r>
                </w:p>
              </w:tc>
              <w:tc>
                <w:tcPr>
                  <w:tcW w:w="456"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eastAsia" w:ascii="Times New Roman" w:hAnsi="Times New Roman" w:eastAsia="宋体" w:cs="Times New Roman"/>
                      <w:b w:val="0"/>
                      <w:bCs w:val="0"/>
                      <w:spacing w:val="6"/>
                      <w:sz w:val="21"/>
                      <w:szCs w:val="21"/>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pct"/>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出水水质（mg/L）</w:t>
                  </w:r>
                </w:p>
              </w:tc>
              <w:tc>
                <w:tcPr>
                  <w:tcW w:w="642"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120</w:t>
                  </w:r>
                </w:p>
              </w:tc>
              <w:tc>
                <w:tcPr>
                  <w:tcW w:w="543"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87.5</w:t>
                  </w:r>
                </w:p>
              </w:tc>
              <w:tc>
                <w:tcPr>
                  <w:tcW w:w="634"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50</w:t>
                  </w:r>
                </w:p>
              </w:tc>
              <w:tc>
                <w:tcPr>
                  <w:tcW w:w="650"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7.5</w:t>
                  </w:r>
                </w:p>
              </w:tc>
              <w:tc>
                <w:tcPr>
                  <w:tcW w:w="742"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1</w:t>
                  </w:r>
                  <w:r>
                    <w:rPr>
                      <w:rFonts w:hint="eastAsia" w:ascii="Times New Roman" w:hAnsi="Times New Roman" w:eastAsia="宋体" w:cs="Times New Roman"/>
                      <w:b w:val="0"/>
                      <w:bCs w:val="0"/>
                      <w:spacing w:val="6"/>
                      <w:sz w:val="21"/>
                      <w:szCs w:val="21"/>
                      <w:highlight w:val="none"/>
                      <w:lang w:val="en-US" w:eastAsia="zh-CN"/>
                    </w:rPr>
                    <w:t>6</w:t>
                  </w:r>
                </w:p>
              </w:tc>
              <w:tc>
                <w:tcPr>
                  <w:tcW w:w="513"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15</w:t>
                  </w:r>
                </w:p>
              </w:tc>
              <w:tc>
                <w:tcPr>
                  <w:tcW w:w="456"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pct"/>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排放标准</w:t>
                  </w:r>
                </w:p>
              </w:tc>
              <w:tc>
                <w:tcPr>
                  <w:tcW w:w="642" w:type="pct"/>
                  <w:shd w:val="clear" w:color="auto" w:fill="auto"/>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≤500</w:t>
                  </w:r>
                </w:p>
              </w:tc>
              <w:tc>
                <w:tcPr>
                  <w:tcW w:w="543" w:type="pct"/>
                  <w:shd w:val="clear" w:color="auto" w:fill="auto"/>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≤350</w:t>
                  </w:r>
                </w:p>
              </w:tc>
              <w:tc>
                <w:tcPr>
                  <w:tcW w:w="634" w:type="pct"/>
                  <w:shd w:val="clear" w:color="auto" w:fill="auto"/>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≤400</w:t>
                  </w:r>
                </w:p>
              </w:tc>
              <w:tc>
                <w:tcPr>
                  <w:tcW w:w="650"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≤45</w:t>
                  </w:r>
                </w:p>
              </w:tc>
              <w:tc>
                <w:tcPr>
                  <w:tcW w:w="742"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≤20</w:t>
                  </w:r>
                </w:p>
              </w:tc>
              <w:tc>
                <w:tcPr>
                  <w:tcW w:w="513"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w:t>
                  </w:r>
                  <w:r>
                    <w:rPr>
                      <w:rFonts w:hint="eastAsia" w:ascii="Times New Roman" w:hAnsi="Times New Roman" w:eastAsia="宋体" w:cs="Times New Roman"/>
                      <w:b w:val="0"/>
                      <w:bCs w:val="0"/>
                      <w:spacing w:val="6"/>
                      <w:sz w:val="21"/>
                      <w:szCs w:val="21"/>
                      <w:highlight w:val="none"/>
                      <w:lang w:val="en-US" w:eastAsia="zh-CN"/>
                    </w:rPr>
                    <w:t>70</w:t>
                  </w:r>
                </w:p>
              </w:tc>
              <w:tc>
                <w:tcPr>
                  <w:tcW w:w="456"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w:t>
                  </w:r>
                  <w:r>
                    <w:rPr>
                      <w:rFonts w:hint="eastAsia" w:ascii="Times New Roman" w:hAnsi="Times New Roman" w:eastAsia="宋体" w:cs="Times New Roman"/>
                      <w:b w:val="0"/>
                      <w:bCs w:val="0"/>
                      <w:spacing w:val="6"/>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pct"/>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eastAsia" w:ascii="Times New Roman" w:hAnsi="Times New Roman" w:eastAsia="宋体" w:cs="Times New Roman"/>
                      <w:b w:val="0"/>
                      <w:bCs w:val="0"/>
                      <w:spacing w:val="6"/>
                      <w:sz w:val="21"/>
                      <w:szCs w:val="21"/>
                      <w:highlight w:val="none"/>
                      <w:lang w:val="en-US" w:eastAsia="zh-CN"/>
                    </w:rPr>
                    <w:t>排放量（t/a）</w:t>
                  </w:r>
                </w:p>
              </w:tc>
              <w:tc>
                <w:tcPr>
                  <w:tcW w:w="642" w:type="pct"/>
                  <w:shd w:val="clear" w:color="auto" w:fill="auto"/>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 xml:space="preserve">0.456 </w:t>
                  </w:r>
                </w:p>
              </w:tc>
              <w:tc>
                <w:tcPr>
                  <w:tcW w:w="543" w:type="pct"/>
                  <w:shd w:val="clear" w:color="auto" w:fill="auto"/>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 xml:space="preserve">0.332 </w:t>
                  </w:r>
                </w:p>
              </w:tc>
              <w:tc>
                <w:tcPr>
                  <w:tcW w:w="634" w:type="pct"/>
                  <w:shd w:val="clear" w:color="auto" w:fill="auto"/>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 xml:space="preserve">0.190 </w:t>
                  </w:r>
                </w:p>
              </w:tc>
              <w:tc>
                <w:tcPr>
                  <w:tcW w:w="650"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 xml:space="preserve">0.028 </w:t>
                  </w:r>
                </w:p>
              </w:tc>
              <w:tc>
                <w:tcPr>
                  <w:tcW w:w="742"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 xml:space="preserve">0.061 </w:t>
                  </w:r>
                </w:p>
              </w:tc>
              <w:tc>
                <w:tcPr>
                  <w:tcW w:w="513"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 xml:space="preserve">0.057 </w:t>
                  </w:r>
                </w:p>
              </w:tc>
              <w:tc>
                <w:tcPr>
                  <w:tcW w:w="456" w:type="pct"/>
                  <w:vAlign w:val="center"/>
                </w:tcPr>
                <w:p>
                  <w:pPr>
                    <w:spacing w:line="310" w:lineRule="exact"/>
                    <w:jc w:val="center"/>
                    <w:rPr>
                      <w:rFonts w:hint="default" w:ascii="Times New Roman" w:hAnsi="Times New Roman" w:eastAsia="宋体" w:cs="Times New Roman"/>
                      <w:b w:val="0"/>
                      <w:bCs w:val="0"/>
                      <w:spacing w:val="6"/>
                      <w:sz w:val="21"/>
                      <w:szCs w:val="21"/>
                      <w:highlight w:val="none"/>
                      <w:lang w:val="en-US" w:eastAsia="zh-CN"/>
                    </w:rPr>
                  </w:pPr>
                  <w:r>
                    <w:rPr>
                      <w:rFonts w:hint="default" w:ascii="Times New Roman" w:hAnsi="Times New Roman" w:eastAsia="宋体" w:cs="Times New Roman"/>
                      <w:b w:val="0"/>
                      <w:bCs w:val="0"/>
                      <w:spacing w:val="6"/>
                      <w:sz w:val="21"/>
                      <w:szCs w:val="21"/>
                      <w:highlight w:val="none"/>
                      <w:lang w:val="en-US" w:eastAsia="zh-CN"/>
                    </w:rPr>
                    <w:t xml:space="preserve">0.023 </w:t>
                  </w:r>
                </w:p>
              </w:tc>
            </w:tr>
          </w:tbl>
          <w:p>
            <w:pPr>
              <w:keepNext w:val="0"/>
              <w:keepLines w:val="0"/>
              <w:pageBreakBefore w:val="0"/>
              <w:widowControl/>
              <w:kinsoku/>
              <w:wordWrap/>
              <w:overflowPunct/>
              <w:topLinePunct w:val="0"/>
              <w:autoSpaceDE/>
              <w:autoSpaceDN/>
              <w:bidi w:val="0"/>
              <w:adjustRightInd/>
              <w:snapToGrid/>
              <w:spacing w:line="460" w:lineRule="atLeast"/>
              <w:ind w:left="0" w:leftChars="0" w:right="0" w:rightChars="0"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污水处理</w:t>
            </w:r>
            <w:r>
              <w:rPr>
                <w:rFonts w:hint="default" w:ascii="Times New Roman" w:hAnsi="Times New Roman" w:eastAsia="宋体" w:cs="Times New Roman"/>
                <w:bCs/>
                <w:color w:val="auto"/>
                <w:sz w:val="24"/>
                <w:szCs w:val="24"/>
                <w:highlight w:val="none"/>
                <w:lang w:val="en-US" w:eastAsia="zh-CN"/>
              </w:rPr>
              <w:t>工艺流程简介如下：</w:t>
            </w:r>
          </w:p>
          <w:p>
            <w:pPr>
              <w:keepNext w:val="0"/>
              <w:keepLines w:val="0"/>
              <w:pageBreakBefore w:val="0"/>
              <w:widowControl w:val="0"/>
              <w:kinsoku/>
              <w:wordWrap/>
              <w:overflowPunct/>
              <w:topLinePunct w:val="0"/>
              <w:autoSpaceDE/>
              <w:autoSpaceDN/>
              <w:bidi w:val="0"/>
              <w:adjustRightInd/>
              <w:snapToGrid/>
              <w:spacing w:line="460" w:lineRule="atLeast"/>
              <w:ind w:firstLine="480" w:firstLineChars="200"/>
              <w:jc w:val="left"/>
              <w:textAlignment w:val="auto"/>
              <w:rPr>
                <w:rFonts w:hint="default" w:ascii="Times New Roman" w:hAnsi="Times New Roman" w:eastAsia="宋体" w:cs="Times New Roman"/>
                <w:sz w:val="24"/>
                <w:szCs w:val="32"/>
                <w:lang w:val="en-US" w:eastAsia="zh-CN" w:bidi="ar-SA"/>
              </w:rPr>
            </w:pPr>
            <w:r>
              <w:rPr>
                <w:rFonts w:hint="default" w:ascii="Times New Roman" w:hAnsi="Times New Roman" w:eastAsia="宋体" w:cs="Times New Roman"/>
                <w:sz w:val="24"/>
                <w:szCs w:val="32"/>
                <w:lang w:val="en-US" w:eastAsia="zh-CN" w:bidi="ar-SA"/>
              </w:rPr>
              <w:t>a格栅：污水中含有一定量的悬浮物或漂浮物，所以在处理系统前设置格栅，以截留这些悬浮物和漂浮物，防止堵塞后续处理系统。设在调节池前段，拦截污水中较大的呈悬浮或漂浮状态的固体污染物。</w:t>
            </w:r>
          </w:p>
          <w:p>
            <w:pPr>
              <w:keepNext w:val="0"/>
              <w:keepLines w:val="0"/>
              <w:pageBreakBefore w:val="0"/>
              <w:widowControl w:val="0"/>
              <w:kinsoku/>
              <w:wordWrap/>
              <w:overflowPunct/>
              <w:topLinePunct w:val="0"/>
              <w:autoSpaceDE/>
              <w:autoSpaceDN/>
              <w:bidi w:val="0"/>
              <w:adjustRightInd/>
              <w:snapToGrid/>
              <w:spacing w:line="460" w:lineRule="atLeast"/>
              <w:ind w:firstLine="480" w:firstLineChars="200"/>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bidi="ar-SA"/>
              </w:rPr>
              <w:t>b调节：污水的水量和水质随生产设施的变化幅度较大，为了保障后续处理设施的正常运行，需对污水的水质和水量进行调节，调节池设在整个处理系统的最前端，调节来水水量、均化水质，保证后续生化处理系统水量、水质的均衡、稳定，并可增设预曝气系统，用于充氧搅拌，以防止污水中悬浮颗粒沉淀而发臭，又对污水中有机物起到一定的降解功效，同时可抑制后续生化池内因曝气而产生的大量悬浮泡沫，降低阴离子活性剂，提高整个系统的抗冲击性能和处理效果。</w:t>
            </w:r>
          </w:p>
          <w:p>
            <w:pPr>
              <w:keepNext w:val="0"/>
              <w:keepLines w:val="0"/>
              <w:pageBreakBefore w:val="0"/>
              <w:widowControl w:val="0"/>
              <w:kinsoku/>
              <w:wordWrap/>
              <w:overflowPunct/>
              <w:topLinePunct w:val="0"/>
              <w:autoSpaceDE/>
              <w:autoSpaceDN/>
              <w:bidi w:val="0"/>
              <w:adjustRightInd/>
              <w:snapToGrid/>
              <w:spacing w:line="460" w:lineRule="atLeast"/>
              <w:ind w:firstLine="480" w:firstLineChars="200"/>
              <w:jc w:val="left"/>
              <w:textAlignment w:val="auto"/>
              <w:rPr>
                <w:rFonts w:hint="default" w:ascii="Times New Roman" w:hAnsi="Times New Roman" w:eastAsia="宋体" w:cs="Times New Roman"/>
                <w:sz w:val="24"/>
                <w:szCs w:val="32"/>
                <w:lang w:val="en-US" w:eastAsia="zh-CN" w:bidi="ar-SA"/>
              </w:rPr>
            </w:pPr>
            <w:r>
              <w:rPr>
                <w:rFonts w:hint="default" w:ascii="Times New Roman" w:hAnsi="Times New Roman" w:eastAsia="宋体" w:cs="Times New Roman"/>
                <w:sz w:val="24"/>
                <w:szCs w:val="32"/>
                <w:lang w:val="en-US" w:eastAsia="zh-CN" w:bidi="ar-SA"/>
              </w:rPr>
              <w:t>c水解酸化：水解酸化池中装有组合填料，填料表面生长着生物膜，池内生长着兼性厌氧菌将不溶性有机物转化成可溶性有机物，将大分子有机物分解成小分子有机物。为了不使废水中的悬浮物在水解酸化池中沉淀，在该池中装有潜水搅拌机。</w:t>
            </w:r>
          </w:p>
          <w:p>
            <w:pPr>
              <w:keepNext w:val="0"/>
              <w:keepLines w:val="0"/>
              <w:pageBreakBefore w:val="0"/>
              <w:widowControl w:val="0"/>
              <w:kinsoku/>
              <w:wordWrap/>
              <w:overflowPunct/>
              <w:topLinePunct w:val="0"/>
              <w:autoSpaceDE/>
              <w:autoSpaceDN/>
              <w:bidi w:val="0"/>
              <w:adjustRightInd/>
              <w:snapToGrid/>
              <w:spacing w:line="460" w:lineRule="atLeast"/>
              <w:ind w:firstLine="480" w:firstLineChars="200"/>
              <w:jc w:val="left"/>
              <w:textAlignment w:val="auto"/>
              <w:rPr>
                <w:rFonts w:hint="default" w:ascii="Times New Roman" w:hAnsi="Times New Roman" w:eastAsia="宋体" w:cs="Times New Roman"/>
                <w:sz w:val="24"/>
                <w:szCs w:val="32"/>
                <w:lang w:val="en-US" w:eastAsia="zh-CN" w:bidi="ar-SA"/>
              </w:rPr>
            </w:pPr>
            <w:r>
              <w:rPr>
                <w:rFonts w:hint="default" w:ascii="Times New Roman" w:hAnsi="Times New Roman" w:eastAsia="宋体" w:cs="Times New Roman"/>
                <w:sz w:val="24"/>
                <w:szCs w:val="32"/>
                <w:lang w:val="en-US" w:eastAsia="zh-CN" w:bidi="ar-SA"/>
              </w:rPr>
              <w:t>d接触氧化：通过大量不同种属的微生物群落共同参与下的生化降解和吸附作用，去除污水中的各种有机物质，使污水中的有机物含量大幅度降低。后段在有机负荷较低的情况下，通过硝化菌的作用，在氧量充足的条件下降解污水中的氨氮，同时也使污水中的CODcr值降低到更低的水平。</w:t>
            </w:r>
          </w:p>
          <w:p>
            <w:pPr>
              <w:keepNext w:val="0"/>
              <w:keepLines w:val="0"/>
              <w:pageBreakBefore w:val="0"/>
              <w:widowControl w:val="0"/>
              <w:kinsoku/>
              <w:wordWrap/>
              <w:overflowPunct/>
              <w:topLinePunct w:val="0"/>
              <w:autoSpaceDE/>
              <w:autoSpaceDN/>
              <w:bidi w:val="0"/>
              <w:adjustRightInd/>
              <w:snapToGrid/>
              <w:spacing w:line="460" w:lineRule="atLeast"/>
              <w:ind w:firstLine="480" w:firstLineChars="200"/>
              <w:jc w:val="left"/>
              <w:textAlignment w:val="auto"/>
              <w:rPr>
                <w:rFonts w:hint="default" w:ascii="Times New Roman" w:hAnsi="Times New Roman" w:eastAsia="宋体" w:cs="Times New Roman"/>
                <w:b/>
                <w:bCs/>
                <w:sz w:val="24"/>
                <w:szCs w:val="32"/>
                <w:lang w:val="en-US" w:eastAsia="zh-CN" w:bidi="ar-SA"/>
              </w:rPr>
            </w:pPr>
            <w:r>
              <w:rPr>
                <w:rFonts w:hint="default" w:ascii="Times New Roman" w:hAnsi="Times New Roman" w:eastAsia="宋体" w:cs="Times New Roman"/>
                <w:sz w:val="24"/>
                <w:szCs w:val="32"/>
                <w:lang w:val="en-US" w:eastAsia="zh-CN" w:bidi="ar-SA"/>
              </w:rPr>
              <w:t>e沉淀：设置竖流沉淀池</w:t>
            </w:r>
            <w:r>
              <w:rPr>
                <w:rFonts w:hint="default" w:ascii="Times New Roman" w:hAnsi="Times New Roman" w:eastAsia="宋体" w:cs="Times New Roman"/>
                <w:color w:val="000000"/>
                <w:sz w:val="24"/>
                <w:szCs w:val="24"/>
                <w:lang w:val="yo-NG" w:eastAsia="zh-CN" w:bidi="ar-SA"/>
              </w:rPr>
              <w:t>，</w:t>
            </w:r>
            <w:r>
              <w:rPr>
                <w:rFonts w:hint="default" w:ascii="Times New Roman" w:hAnsi="Times New Roman" w:eastAsia="宋体" w:cs="Times New Roman"/>
                <w:color w:val="000000"/>
                <w:sz w:val="24"/>
                <w:szCs w:val="24"/>
                <w:lang w:val="en-US" w:eastAsia="zh-CN" w:bidi="ar-SA"/>
              </w:rPr>
              <w:t>生物接触氧化池脱落的有机物以及混合液在此进行分离，通过重力作用实现悬浮物和水的分离，</w:t>
            </w:r>
            <w:r>
              <w:rPr>
                <w:rFonts w:hint="default" w:ascii="Times New Roman" w:hAnsi="Times New Roman" w:eastAsia="宋体" w:cs="Times New Roman"/>
                <w:sz w:val="24"/>
                <w:szCs w:val="32"/>
                <w:lang w:val="en-US" w:eastAsia="zh-CN" w:bidi="ar-SA"/>
              </w:rPr>
              <w:t>竖流式沉淀池中，水由设在池中的进水管自上而下进入池内，管下设伞形挡板使废水在池中均匀分布后沿整个过水断面缓慢上升，悬浮物沉降进入池底锥形沉泥斗中，澄清水从池四周沿周边溢流堰流出。堰前设挡板及浮渣槽以截留浮渣保证出水水质。池的一边靠池壁设排泥管，靠静水压将泥定期排出。水流方向与颗粒沉淀方向相反，其截留速度与水流上升速度相等，上升速度等于沉降速度的颗粒将悬浮在混合液中形成一层悬浮层，对上升的颗粒进行拦截和过滤。</w:t>
            </w:r>
          </w:p>
          <w:p>
            <w:pPr>
              <w:keepNext w:val="0"/>
              <w:keepLines w:val="0"/>
              <w:pageBreakBefore w:val="0"/>
              <w:widowControl w:val="0"/>
              <w:kinsoku/>
              <w:wordWrap/>
              <w:overflowPunct/>
              <w:topLinePunct w:val="0"/>
              <w:autoSpaceDE/>
              <w:autoSpaceDN/>
              <w:bidi w:val="0"/>
              <w:adjustRightInd/>
              <w:snapToGrid/>
              <w:spacing w:line="460" w:lineRule="atLeast"/>
              <w:ind w:firstLine="480" w:firstLineChars="200"/>
              <w:jc w:val="left"/>
              <w:textAlignment w:val="auto"/>
              <w:rPr>
                <w:rFonts w:hint="default" w:ascii="Times New Roman" w:hAnsi="Times New Roman" w:eastAsia="宋体" w:cs="Times New Roman"/>
                <w:sz w:val="24"/>
                <w:szCs w:val="32"/>
                <w:lang w:val="en-US" w:eastAsia="zh-CN" w:bidi="ar-SA"/>
              </w:rPr>
            </w:pPr>
          </w:p>
          <w:p>
            <w:pPr>
              <w:widowControl/>
              <w:spacing w:line="360" w:lineRule="auto"/>
              <w:ind w:firstLine="422" w:firstLineChars="200"/>
              <w:jc w:val="left"/>
              <w:rPr>
                <w:rFonts w:ascii="宋体" w:hAnsi="Times New Roman" w:eastAsia="宋体" w:cs="Times New Roman"/>
                <w:b/>
                <w:bCs/>
                <w:snapToGrid w:val="0"/>
                <w:sz w:val="21"/>
                <w:szCs w:val="21"/>
              </w:rPr>
            </w:pPr>
          </w:p>
          <w:p>
            <w:pPr>
              <w:pStyle w:val="2"/>
              <w:rPr>
                <w:rFonts w:ascii="宋体" w:hAnsi="Times New Roman" w:eastAsia="宋体" w:cs="Times New Roman"/>
                <w:b/>
                <w:bCs/>
                <w:snapToGrid w:val="0"/>
                <w:sz w:val="21"/>
                <w:szCs w:val="21"/>
              </w:rPr>
            </w:pPr>
          </w:p>
          <w:p>
            <w:pPr>
              <w:pStyle w:val="4"/>
              <w:rPr>
                <w:rFonts w:ascii="宋体" w:hAnsi="Times New Roman" w:eastAsia="宋体" w:cs="Times New Roman"/>
                <w:b/>
                <w:bCs/>
                <w:snapToGrid w:val="0"/>
                <w:sz w:val="21"/>
                <w:szCs w:val="21"/>
              </w:rPr>
            </w:pPr>
          </w:p>
          <w:p/>
          <w:p>
            <w:pPr>
              <w:spacing w:line="360" w:lineRule="auto"/>
              <w:ind w:firstLine="316" w:firstLineChars="150"/>
              <w:jc w:val="center"/>
              <w:rPr>
                <w:rFonts w:hint="eastAsia" w:ascii="宋体" w:hAnsi="Times New Roman" w:eastAsia="宋体" w:cs="Times New Roman"/>
                <w:b/>
                <w:bCs/>
                <w:snapToGrid w:val="0"/>
                <w:sz w:val="21"/>
                <w:szCs w:val="21"/>
              </w:rPr>
            </w:pPr>
          </w:p>
          <w:p>
            <w:pPr>
              <w:spacing w:line="360" w:lineRule="auto"/>
              <w:ind w:firstLine="316" w:firstLineChars="150"/>
              <w:jc w:val="center"/>
              <w:rPr>
                <w:rFonts w:hint="eastAsia" w:ascii="宋体" w:hAnsi="Times New Roman" w:eastAsia="宋体" w:cs="Times New Roman"/>
                <w:b/>
                <w:bCs/>
                <w:snapToGrid w:val="0"/>
                <w:sz w:val="21"/>
                <w:szCs w:val="21"/>
              </w:rPr>
            </w:pPr>
          </w:p>
          <w:p>
            <w:pPr>
              <w:spacing w:line="360" w:lineRule="auto"/>
              <w:ind w:firstLine="316" w:firstLineChars="150"/>
              <w:jc w:val="center"/>
              <w:rPr>
                <w:rFonts w:hint="eastAsia" w:ascii="宋体" w:hAnsi="Times New Roman" w:eastAsia="宋体" w:cs="Times New Roman"/>
                <w:b/>
                <w:bCs/>
                <w:snapToGrid w:val="0"/>
                <w:sz w:val="21"/>
                <w:szCs w:val="21"/>
              </w:rPr>
            </w:pPr>
          </w:p>
          <w:p>
            <w:pPr>
              <w:spacing w:line="360" w:lineRule="auto"/>
              <w:ind w:firstLine="316" w:firstLineChars="150"/>
              <w:jc w:val="center"/>
              <w:rPr>
                <w:rFonts w:hint="eastAsia" w:ascii="宋体" w:hAnsi="Times New Roman" w:eastAsia="宋体" w:cs="Times New Roman"/>
                <w:b/>
                <w:bCs/>
                <w:snapToGrid w:val="0"/>
                <w:sz w:val="21"/>
                <w:szCs w:val="21"/>
              </w:rPr>
            </w:pPr>
          </w:p>
          <w:p>
            <w:pPr>
              <w:spacing w:line="360" w:lineRule="auto"/>
              <w:ind w:firstLine="316" w:firstLineChars="150"/>
              <w:jc w:val="center"/>
              <w:rPr>
                <w:rFonts w:hint="eastAsia" w:ascii="宋体" w:hAnsi="Times New Roman" w:eastAsia="宋体" w:cs="Times New Roman"/>
                <w:b/>
                <w:bCs/>
                <w:snapToGrid w:val="0"/>
                <w:sz w:val="21"/>
                <w:szCs w:val="21"/>
              </w:rPr>
            </w:pPr>
          </w:p>
          <w:p>
            <w:pPr>
              <w:spacing w:line="360" w:lineRule="auto"/>
              <w:ind w:firstLine="316" w:firstLineChars="150"/>
              <w:jc w:val="center"/>
              <w:rPr>
                <w:rFonts w:hint="eastAsia" w:ascii="宋体" w:hAnsi="Times New Roman" w:eastAsia="宋体" w:cs="Times New Roman"/>
                <w:b/>
                <w:bCs/>
                <w:snapToGrid w:val="0"/>
                <w:sz w:val="21"/>
                <w:szCs w:val="21"/>
              </w:rPr>
            </w:pPr>
          </w:p>
          <w:p>
            <w:pPr>
              <w:spacing w:line="360" w:lineRule="auto"/>
              <w:ind w:firstLine="316" w:firstLineChars="150"/>
              <w:jc w:val="center"/>
              <w:rPr>
                <w:rFonts w:hint="eastAsia" w:ascii="宋体" w:hAnsi="Times New Roman" w:eastAsia="宋体" w:cs="Times New Roman"/>
                <w:b/>
                <w:bCs/>
                <w:snapToGrid w:val="0"/>
                <w:sz w:val="21"/>
                <w:szCs w:val="21"/>
              </w:rPr>
            </w:pPr>
          </w:p>
          <w:p>
            <w:pPr>
              <w:spacing w:line="360" w:lineRule="auto"/>
              <w:ind w:firstLine="316" w:firstLineChars="150"/>
              <w:jc w:val="center"/>
              <w:rPr>
                <w:rFonts w:hint="eastAsia" w:ascii="宋体" w:hAnsi="Times New Roman" w:eastAsia="宋体" w:cs="Times New Roman"/>
                <w:b/>
                <w:bCs/>
                <w:snapToGrid w:val="0"/>
                <w:sz w:val="21"/>
                <w:szCs w:val="21"/>
              </w:rPr>
            </w:pPr>
          </w:p>
          <w:p>
            <w:pPr>
              <w:spacing w:line="360" w:lineRule="auto"/>
              <w:ind w:firstLine="316" w:firstLineChars="150"/>
              <w:jc w:val="center"/>
              <w:rPr>
                <w:rFonts w:hint="eastAsia" w:ascii="宋体" w:hAnsi="Times New Roman" w:eastAsia="宋体" w:cs="Times New Roman"/>
                <w:b/>
                <w:bCs/>
                <w:snapToGrid w:val="0"/>
                <w:sz w:val="21"/>
                <w:szCs w:val="21"/>
              </w:rPr>
            </w:pPr>
          </w:p>
          <w:p>
            <w:pPr>
              <w:spacing w:line="360" w:lineRule="auto"/>
              <w:ind w:firstLine="316" w:firstLineChars="150"/>
              <w:jc w:val="center"/>
              <w:rPr>
                <w:rFonts w:hint="eastAsia" w:ascii="宋体" w:hAnsi="Times New Roman" w:eastAsia="宋体" w:cs="Times New Roman"/>
                <w:b/>
                <w:bCs/>
                <w:snapToGrid w:val="0"/>
                <w:sz w:val="21"/>
                <w:szCs w:val="21"/>
              </w:rPr>
            </w:pPr>
          </w:p>
          <w:p>
            <w:pPr>
              <w:spacing w:line="360" w:lineRule="auto"/>
              <w:ind w:firstLine="316" w:firstLineChars="150"/>
              <w:jc w:val="center"/>
              <w:rPr>
                <w:rFonts w:hint="eastAsia" w:ascii="宋体" w:hAnsi="Times New Roman" w:eastAsia="宋体" w:cs="Times New Roman"/>
                <w:b/>
                <w:bCs/>
                <w:snapToGrid w:val="0"/>
                <w:sz w:val="21"/>
                <w:szCs w:val="21"/>
              </w:rPr>
            </w:pPr>
          </w:p>
          <w:p>
            <w:pPr>
              <w:spacing w:line="360" w:lineRule="auto"/>
              <w:ind w:firstLine="360" w:firstLineChars="150"/>
              <w:jc w:val="center"/>
              <w:rPr>
                <w:rFonts w:hint="eastAsia" w:ascii="宋体" w:hAnsi="Times New Roman" w:eastAsia="宋体" w:cs="Times New Roman"/>
                <w:b/>
                <w:bCs/>
                <w:snapToGrid w:val="0"/>
                <w:sz w:val="21"/>
                <w:szCs w:val="21"/>
              </w:rPr>
            </w:pPr>
            <w:r>
              <w:rPr>
                <w:rFonts w:ascii="Times New Roman" w:hAnsi="Times New Roman" w:eastAsia="宋体" w:cs="Times New Roman"/>
                <w:snapToGrid w:val="0"/>
                <w:sz w:val="24"/>
              </w:rPr>
              <w:pict>
                <v:shape id="_x0000_s1109" o:spid="_x0000_s1109" o:spt="75" type="#_x0000_t75" style="position:absolute;left:0pt;margin-left:16.5pt;margin-top:5.85pt;height:302.4pt;width:372.6pt;z-index:-251645952;mso-width-relative:page;mso-height-relative:page;" o:ole="t" filled="f" o:preferrelative="t" stroked="f" coordsize="21600,21600">
                  <v:path/>
                  <v:fill on="f" focussize="0,0"/>
                  <v:stroke on="f"/>
                  <v:imagedata r:id="rId19" o:title=""/>
                  <o:lock v:ext="edit" aspectratio="f"/>
                </v:shape>
                <o:OLEObject Type="Embed" ProgID="Visio.Drawing.11" ShapeID="_x0000_s1109" DrawAspect="Content" ObjectID="_1468075727" r:id="rId18">
                  <o:LockedField>false</o:LockedField>
                </o:OLEObject>
              </w:pict>
            </w:r>
          </w:p>
          <w:p>
            <w:pPr>
              <w:spacing w:line="360" w:lineRule="auto"/>
              <w:ind w:firstLine="316" w:firstLineChars="150"/>
              <w:jc w:val="center"/>
              <w:rPr>
                <w:rFonts w:hint="eastAsia" w:ascii="宋体" w:hAnsi="Times New Roman" w:eastAsia="宋体" w:cs="Times New Roman"/>
                <w:b/>
                <w:bCs/>
                <w:snapToGrid w:val="0"/>
                <w:sz w:val="21"/>
                <w:szCs w:val="21"/>
              </w:rPr>
            </w:pPr>
          </w:p>
          <w:p>
            <w:pPr>
              <w:spacing w:line="360" w:lineRule="auto"/>
              <w:ind w:firstLine="316" w:firstLineChars="150"/>
              <w:jc w:val="center"/>
              <w:rPr>
                <w:rFonts w:hint="eastAsia" w:ascii="宋体" w:hAnsi="Times New Roman" w:eastAsia="宋体" w:cs="Times New Roman"/>
                <w:b/>
                <w:bCs/>
                <w:snapToGrid w:val="0"/>
                <w:sz w:val="21"/>
                <w:szCs w:val="21"/>
              </w:rPr>
            </w:pPr>
          </w:p>
          <w:p>
            <w:pPr>
              <w:spacing w:line="360" w:lineRule="auto"/>
              <w:ind w:firstLine="316" w:firstLineChars="150"/>
              <w:jc w:val="center"/>
              <w:rPr>
                <w:rFonts w:hint="eastAsia" w:ascii="宋体" w:hAnsi="Times New Roman" w:eastAsia="宋体" w:cs="Times New Roman"/>
                <w:b/>
                <w:bCs/>
                <w:snapToGrid w:val="0"/>
                <w:sz w:val="21"/>
                <w:szCs w:val="21"/>
              </w:rPr>
            </w:pPr>
          </w:p>
          <w:p>
            <w:pPr>
              <w:spacing w:line="360" w:lineRule="auto"/>
              <w:ind w:firstLine="316" w:firstLineChars="150"/>
              <w:jc w:val="center"/>
              <w:rPr>
                <w:rFonts w:hint="eastAsia" w:ascii="宋体" w:hAnsi="Times New Roman" w:eastAsia="宋体" w:cs="Times New Roman"/>
                <w:b/>
                <w:bCs/>
                <w:snapToGrid w:val="0"/>
                <w:sz w:val="21"/>
                <w:szCs w:val="21"/>
              </w:rPr>
            </w:pPr>
          </w:p>
          <w:p>
            <w:pPr>
              <w:spacing w:line="360" w:lineRule="auto"/>
              <w:ind w:firstLine="316" w:firstLineChars="150"/>
              <w:jc w:val="center"/>
              <w:rPr>
                <w:rFonts w:hint="eastAsia" w:ascii="宋体" w:hAnsi="Times New Roman" w:eastAsia="宋体" w:cs="Times New Roman"/>
                <w:b/>
                <w:bCs/>
                <w:snapToGrid w:val="0"/>
                <w:sz w:val="21"/>
                <w:szCs w:val="21"/>
              </w:rPr>
            </w:pPr>
          </w:p>
          <w:p>
            <w:pPr>
              <w:jc w:val="center"/>
              <w:rPr>
                <w:rFonts w:hint="eastAsia" w:ascii="Times New Roman" w:hAnsi="Times New Roman" w:eastAsia="宋体" w:cs="Times New Roman"/>
                <w:b/>
                <w:color w:val="auto"/>
                <w:sz w:val="21"/>
                <w:highlight w:val="none"/>
              </w:rPr>
            </w:pPr>
          </w:p>
          <w:p>
            <w:pPr>
              <w:jc w:val="center"/>
              <w:rPr>
                <w:rFonts w:hint="eastAsia" w:ascii="Times New Roman" w:hAnsi="Times New Roman" w:eastAsia="宋体" w:cs="Times New Roman"/>
                <w:b/>
                <w:color w:val="auto"/>
                <w:sz w:val="21"/>
                <w:highlight w:val="none"/>
              </w:rPr>
            </w:pPr>
          </w:p>
          <w:p>
            <w:pPr>
              <w:jc w:val="center"/>
              <w:rPr>
                <w:rFonts w:hint="eastAsia" w:ascii="Times New Roman" w:hAnsi="Times New Roman" w:eastAsia="宋体" w:cs="Times New Roman"/>
                <w:b/>
                <w:color w:val="auto"/>
                <w:sz w:val="21"/>
                <w:highlight w:val="none"/>
              </w:rPr>
            </w:pPr>
          </w:p>
          <w:p>
            <w:pPr>
              <w:jc w:val="center"/>
              <w:rPr>
                <w:rFonts w:hint="eastAsia" w:ascii="Times New Roman" w:hAnsi="Times New Roman" w:eastAsia="宋体" w:cs="Times New Roman"/>
                <w:b/>
                <w:color w:val="auto"/>
                <w:sz w:val="21"/>
                <w:highlight w:val="none"/>
              </w:rPr>
            </w:pPr>
          </w:p>
          <w:p>
            <w:pPr>
              <w:jc w:val="center"/>
              <w:rPr>
                <w:rFonts w:hint="eastAsia" w:ascii="Times New Roman" w:hAnsi="Times New Roman" w:eastAsia="宋体" w:cs="Times New Roman"/>
                <w:b/>
                <w:color w:val="auto"/>
                <w:sz w:val="21"/>
                <w:highlight w:val="none"/>
              </w:rPr>
            </w:pPr>
          </w:p>
          <w:p>
            <w:pPr>
              <w:jc w:val="center"/>
              <w:rPr>
                <w:rFonts w:hint="eastAsia" w:ascii="Times New Roman" w:hAnsi="Times New Roman" w:eastAsia="宋体" w:cs="Times New Roman"/>
                <w:b/>
                <w:color w:val="auto"/>
                <w:sz w:val="21"/>
                <w:highlight w:val="none"/>
              </w:rPr>
            </w:pPr>
          </w:p>
          <w:p>
            <w:pPr>
              <w:jc w:val="center"/>
              <w:rPr>
                <w:rFonts w:hint="eastAsia" w:ascii="Times New Roman" w:hAnsi="Times New Roman" w:eastAsia="宋体" w:cs="Times New Roman"/>
                <w:b/>
                <w:color w:val="auto"/>
                <w:sz w:val="21"/>
                <w:highlight w:val="none"/>
              </w:rPr>
            </w:pPr>
          </w:p>
          <w:p>
            <w:pPr>
              <w:jc w:val="center"/>
              <w:rPr>
                <w:rFonts w:hint="eastAsia" w:ascii="Times New Roman" w:hAnsi="Times New Roman" w:eastAsia="宋体" w:cs="Times New Roman"/>
                <w:b/>
                <w:color w:val="auto"/>
                <w:sz w:val="21"/>
                <w:highlight w:val="none"/>
              </w:rPr>
            </w:pPr>
          </w:p>
          <w:p>
            <w:pPr>
              <w:jc w:val="center"/>
              <w:rPr>
                <w:rFonts w:hint="eastAsia" w:ascii="Times New Roman" w:hAnsi="Times New Roman" w:eastAsia="宋体" w:cs="Times New Roman"/>
                <w:b/>
                <w:color w:val="auto"/>
                <w:sz w:val="21"/>
                <w:highlight w:val="none"/>
              </w:rPr>
            </w:pPr>
          </w:p>
          <w:p>
            <w:pPr>
              <w:jc w:val="center"/>
              <w:rPr>
                <w:rFonts w:hint="eastAsia" w:ascii="Times New Roman" w:hAnsi="Times New Roman" w:eastAsia="宋体" w:cs="Times New Roman"/>
                <w:b/>
                <w:color w:val="auto"/>
                <w:sz w:val="21"/>
                <w:highlight w:val="none"/>
              </w:rPr>
            </w:pPr>
          </w:p>
          <w:p>
            <w:pPr>
              <w:jc w:val="center"/>
              <w:rPr>
                <w:rFonts w:hint="eastAsia" w:ascii="Times New Roman" w:hAnsi="Times New Roman" w:eastAsia="宋体" w:cs="Times New Roman"/>
                <w:b/>
                <w:color w:val="auto"/>
                <w:sz w:val="21"/>
                <w:highlight w:val="none"/>
              </w:rPr>
            </w:pPr>
          </w:p>
          <w:p>
            <w:pPr>
              <w:jc w:val="center"/>
              <w:rPr>
                <w:rFonts w:hint="eastAsia" w:ascii="Times New Roman" w:hAnsi="Times New Roman" w:eastAsia="宋体" w:cs="Times New Roman"/>
                <w:b/>
                <w:color w:val="auto"/>
                <w:sz w:val="21"/>
                <w:highlight w:val="none"/>
              </w:rPr>
            </w:pPr>
          </w:p>
          <w:p>
            <w:pPr>
              <w:jc w:val="center"/>
              <w:rPr>
                <w:rFonts w:hint="eastAsia" w:ascii="Times New Roman" w:hAnsi="Times New Roman" w:eastAsia="宋体" w:cs="Times New Roman"/>
                <w:b/>
                <w:color w:val="auto"/>
                <w:sz w:val="21"/>
                <w:highlight w:val="none"/>
              </w:rPr>
            </w:pPr>
          </w:p>
          <w:p>
            <w:pPr>
              <w:jc w:val="center"/>
              <w:rPr>
                <w:rFonts w:hint="eastAsia" w:ascii="Times New Roman" w:hAnsi="Times New Roman" w:eastAsia="宋体" w:cs="Times New Roman"/>
                <w:b/>
                <w:color w:val="auto"/>
                <w:sz w:val="21"/>
                <w:highlight w:val="none"/>
              </w:rPr>
            </w:pPr>
          </w:p>
          <w:p>
            <w:pPr>
              <w:jc w:val="center"/>
              <w:rPr>
                <w:rFonts w:hint="eastAsia" w:ascii="Times New Roman" w:hAnsi="Times New Roman" w:eastAsia="宋体" w:cs="Times New Roman"/>
                <w:b/>
                <w:color w:val="auto"/>
                <w:sz w:val="21"/>
                <w:highlight w:val="none"/>
              </w:rPr>
            </w:pPr>
          </w:p>
          <w:p>
            <w:pPr>
              <w:jc w:val="center"/>
              <w:rPr>
                <w:rFonts w:hint="eastAsia" w:ascii="Times New Roman" w:hAnsi="Times New Roman" w:eastAsia="宋体" w:cs="Times New Roman"/>
                <w:b/>
                <w:color w:val="auto"/>
                <w:sz w:val="21"/>
                <w:highlight w:val="none"/>
              </w:rPr>
            </w:pPr>
          </w:p>
          <w:p>
            <w:pPr>
              <w:jc w:val="center"/>
              <w:rPr>
                <w:rFonts w:hint="eastAsia" w:ascii="Times New Roman" w:hAnsi="Times New Roman" w:eastAsia="宋体" w:cs="Times New Roman"/>
                <w:b/>
                <w:color w:val="auto"/>
                <w:sz w:val="21"/>
                <w:highlight w:val="none"/>
              </w:rPr>
            </w:pPr>
            <w:r>
              <w:rPr>
                <w:rFonts w:hint="eastAsia" w:ascii="Times New Roman" w:hAnsi="Times New Roman" w:eastAsia="宋体" w:cs="Times New Roman"/>
                <w:b/>
                <w:color w:val="auto"/>
                <w:sz w:val="21"/>
                <w:highlight w:val="none"/>
              </w:rPr>
              <w:t>图4-1  污水处理站工艺流程</w:t>
            </w:r>
          </w:p>
          <w:p>
            <w:pPr>
              <w:keepNext w:val="0"/>
              <w:keepLines w:val="0"/>
              <w:pageBreakBefore w:val="0"/>
              <w:widowControl w:val="0"/>
              <w:kinsoku/>
              <w:wordWrap/>
              <w:overflowPunct/>
              <w:topLinePunct w:val="0"/>
              <w:autoSpaceDE/>
              <w:autoSpaceDN/>
              <w:bidi w:val="0"/>
              <w:snapToGrid w:val="0"/>
              <w:spacing w:line="460" w:lineRule="atLeast"/>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2.2</w:t>
            </w:r>
            <w:r>
              <w:rPr>
                <w:rFonts w:hint="default" w:ascii="Times New Roman" w:hAnsi="Times New Roman" w:cs="Times New Roman"/>
                <w:b/>
                <w:bCs/>
                <w:sz w:val="24"/>
                <w:szCs w:val="24"/>
              </w:rPr>
              <w:t>依托污水处理设施的环境可行性评价</w:t>
            </w:r>
          </w:p>
          <w:p>
            <w:pPr>
              <w:keepNext w:val="0"/>
              <w:keepLines w:val="0"/>
              <w:pageBreakBefore w:val="0"/>
              <w:widowControl w:val="0"/>
              <w:kinsoku/>
              <w:wordWrap/>
              <w:overflowPunct/>
              <w:topLinePunct w:val="0"/>
              <w:autoSpaceDE/>
              <w:autoSpaceDN/>
              <w:bidi w:val="0"/>
              <w:adjustRightInd/>
              <w:snapToGrid w:val="0"/>
              <w:spacing w:line="460" w:lineRule="atLeast"/>
              <w:ind w:firstLine="480" w:firstLineChars="200"/>
              <w:jc w:val="both"/>
              <w:textAlignment w:val="auto"/>
              <w:rPr>
                <w:rFonts w:hint="default" w:ascii="Times New Roman" w:hAnsi="Times New Roman" w:eastAsia="宋体u" w:cs="Times New Roman"/>
                <w:color w:val="000000"/>
                <w:sz w:val="24"/>
                <w:szCs w:val="24"/>
              </w:rPr>
            </w:pPr>
            <w:r>
              <w:rPr>
                <w:rFonts w:hint="default" w:ascii="Times New Roman" w:hAnsi="Times New Roman" w:cs="Times New Roman"/>
                <w:color w:val="auto"/>
                <w:sz w:val="24"/>
                <w:highlight w:val="none"/>
                <w:lang w:val="en-US" w:eastAsia="zh-CN"/>
              </w:rPr>
              <w:t>通过调查可知，</w:t>
            </w:r>
            <w:r>
              <w:rPr>
                <w:rFonts w:hint="default" w:ascii="Times New Roman" w:hAnsi="Times New Roman" w:cs="Times New Roman"/>
                <w:color w:val="auto"/>
                <w:sz w:val="24"/>
                <w:szCs w:val="24"/>
                <w:highlight w:val="none"/>
                <w:lang w:val="en-US" w:eastAsia="zh-CN"/>
              </w:rPr>
              <w:t>翼城县润灏水务有限公司</w:t>
            </w:r>
            <w:r>
              <w:rPr>
                <w:rFonts w:hint="default" w:ascii="Times New Roman" w:hAnsi="Times New Roman" w:eastAsia="宋体u" w:cs="Times New Roman"/>
                <w:color w:val="000000"/>
                <w:sz w:val="24"/>
                <w:szCs w:val="24"/>
                <w:lang w:val="en-US" w:eastAsia="zh-CN"/>
              </w:rPr>
              <w:t>设计污水处理规模为40000m</w:t>
            </w:r>
            <w:r>
              <w:rPr>
                <w:rFonts w:hint="default" w:ascii="Times New Roman" w:hAnsi="Times New Roman" w:eastAsia="宋体u" w:cs="Times New Roman"/>
                <w:color w:val="000000"/>
                <w:sz w:val="24"/>
                <w:szCs w:val="24"/>
                <w:vertAlign w:val="superscript"/>
                <w:lang w:val="en-US" w:eastAsia="zh-CN"/>
              </w:rPr>
              <w:t>3</w:t>
            </w:r>
            <w:r>
              <w:rPr>
                <w:rFonts w:hint="default" w:ascii="Times New Roman" w:hAnsi="Times New Roman" w:eastAsia="宋体u" w:cs="Times New Roman"/>
                <w:color w:val="000000"/>
                <w:sz w:val="24"/>
                <w:szCs w:val="24"/>
                <w:lang w:val="en-US" w:eastAsia="zh-CN"/>
              </w:rPr>
              <w:t>/d，采用“A2/O+A/O+移动床生物膜反应池+深度处理工艺”</w:t>
            </w:r>
            <w:r>
              <w:rPr>
                <w:rFonts w:hint="default" w:ascii="Times New Roman" w:hAnsi="Times New Roman" w:eastAsia="宋体u" w:cs="Times New Roman"/>
                <w:color w:val="000000"/>
                <w:sz w:val="24"/>
                <w:szCs w:val="24"/>
              </w:rPr>
              <w:t>工艺</w:t>
            </w:r>
            <w:r>
              <w:rPr>
                <w:rFonts w:hint="default" w:ascii="Times New Roman" w:hAnsi="Times New Roman" w:eastAsia="宋体u" w:cs="Times New Roman"/>
                <w:color w:val="000000"/>
                <w:sz w:val="24"/>
                <w:szCs w:val="24"/>
                <w:lang w:val="en-US" w:eastAsia="zh-CN"/>
              </w:rPr>
              <w:t>，现实际处理量达到18050m</w:t>
            </w:r>
            <w:r>
              <w:rPr>
                <w:rFonts w:hint="default" w:ascii="Times New Roman" w:hAnsi="Times New Roman" w:eastAsia="宋体u" w:cs="Times New Roman"/>
                <w:color w:val="000000"/>
                <w:sz w:val="24"/>
                <w:szCs w:val="24"/>
                <w:vertAlign w:val="superscript"/>
                <w:lang w:val="en-US" w:eastAsia="zh-CN"/>
              </w:rPr>
              <w:t>3</w:t>
            </w:r>
            <w:r>
              <w:rPr>
                <w:rFonts w:hint="default" w:ascii="Times New Roman" w:hAnsi="Times New Roman" w:eastAsia="宋体u" w:cs="Times New Roman"/>
                <w:color w:val="000000"/>
                <w:sz w:val="24"/>
                <w:szCs w:val="24"/>
                <w:lang w:val="en-US" w:eastAsia="zh-CN"/>
              </w:rPr>
              <w:t>/d，剩余处理能力可满足本项目使用</w:t>
            </w:r>
            <w:r>
              <w:rPr>
                <w:rFonts w:hint="default" w:ascii="Times New Roman" w:hAnsi="Times New Roman" w:eastAsia="宋体u" w:cs="Times New Roman"/>
                <w:color w:val="000000"/>
                <w:sz w:val="24"/>
                <w:szCs w:val="24"/>
              </w:rPr>
              <w:t>。</w:t>
            </w:r>
          </w:p>
          <w:p>
            <w:pPr>
              <w:pStyle w:val="107"/>
              <w:keepNext w:val="0"/>
              <w:keepLines w:val="0"/>
              <w:pageBreakBefore w:val="0"/>
              <w:widowControl w:val="0"/>
              <w:kinsoku/>
              <w:wordWrap/>
              <w:overflowPunct/>
              <w:topLinePunct w:val="0"/>
              <w:autoSpaceDE/>
              <w:autoSpaceDN/>
              <w:bidi w:val="0"/>
              <w:adjustRightInd/>
              <w:spacing w:line="460" w:lineRule="atLeast"/>
              <w:textAlignment w:val="auto"/>
              <w:rPr>
                <w:rFonts w:hint="default" w:ascii="Times New Roman" w:hAnsi="Times New Roman" w:cs="Times New Roman"/>
                <w:color w:val="auto"/>
                <w:sz w:val="24"/>
                <w:szCs w:val="24"/>
              </w:rPr>
            </w:pPr>
            <w:r>
              <w:rPr>
                <w:rFonts w:hint="default" w:ascii="Times New Roman" w:hAnsi="Times New Roman" w:cs="Times New Roman"/>
                <w:sz w:val="24"/>
                <w:szCs w:val="24"/>
              </w:rPr>
              <w:t>本项目</w:t>
            </w:r>
            <w:r>
              <w:rPr>
                <w:rFonts w:hint="default" w:ascii="Times New Roman" w:hAnsi="Times New Roman" w:cs="Times New Roman"/>
                <w:color w:val="auto"/>
                <w:sz w:val="24"/>
                <w:szCs w:val="24"/>
              </w:rPr>
              <w:t>水质简单，适合</w:t>
            </w:r>
            <w:r>
              <w:rPr>
                <w:rFonts w:hint="default" w:ascii="Times New Roman" w:hAnsi="Times New Roman" w:cs="Times New Roman"/>
                <w:color w:val="auto"/>
                <w:sz w:val="24"/>
                <w:szCs w:val="24"/>
                <w:highlight w:val="none"/>
                <w:lang w:val="en-US" w:eastAsia="zh-CN"/>
              </w:rPr>
              <w:t>翼城县润灏水务有限公司</w:t>
            </w:r>
            <w:r>
              <w:rPr>
                <w:rFonts w:hint="default" w:ascii="Times New Roman" w:hAnsi="Times New Roman" w:cs="Times New Roman"/>
                <w:color w:val="auto"/>
                <w:kern w:val="0"/>
                <w:sz w:val="24"/>
                <w:highlight w:val="none"/>
                <w:lang w:val="en-US" w:eastAsia="zh-CN"/>
              </w:rPr>
              <w:t>污水处理厂</w:t>
            </w:r>
            <w:r>
              <w:rPr>
                <w:rFonts w:hint="default" w:ascii="Times New Roman" w:hAnsi="Times New Roman" w:cs="Times New Roman"/>
                <w:color w:val="auto"/>
                <w:sz w:val="24"/>
                <w:szCs w:val="24"/>
              </w:rPr>
              <w:t>污水处理工艺，不会对</w:t>
            </w:r>
            <w:r>
              <w:rPr>
                <w:rFonts w:hint="default" w:ascii="Times New Roman" w:hAnsi="Times New Roman" w:cs="Times New Roman"/>
                <w:color w:val="auto"/>
                <w:sz w:val="24"/>
                <w:szCs w:val="24"/>
                <w:lang w:val="en-GB"/>
              </w:rPr>
              <w:t>污水处理厂</w:t>
            </w:r>
            <w:r>
              <w:rPr>
                <w:rFonts w:hint="default" w:ascii="Times New Roman" w:hAnsi="Times New Roman" w:cs="Times New Roman"/>
                <w:color w:val="auto"/>
                <w:sz w:val="24"/>
                <w:szCs w:val="24"/>
              </w:rPr>
              <w:t xml:space="preserve">正常运行造成影响。因此本项目满足依托污水处理设施的环境可行性要求。 </w:t>
            </w:r>
          </w:p>
          <w:p>
            <w:pPr>
              <w:keepNext w:val="0"/>
              <w:keepLines w:val="0"/>
              <w:pageBreakBefore w:val="0"/>
              <w:kinsoku/>
              <w:wordWrap/>
              <w:overflowPunct/>
              <w:topLinePunct w:val="0"/>
              <w:autoSpaceDE/>
              <w:autoSpaceDN/>
              <w:bidi w:val="0"/>
              <w:adjustRightInd w:val="0"/>
              <w:snapToGrid w:val="0"/>
              <w:spacing w:line="460" w:lineRule="atLeast"/>
              <w:textAlignment w:val="auto"/>
              <w:rPr>
                <w:rFonts w:ascii="Times New Roman" w:hAnsi="Times New Roman" w:eastAsia="宋体" w:cs="Times New Roman"/>
                <w:b/>
                <w:sz w:val="24"/>
              </w:rPr>
            </w:pPr>
            <w:r>
              <w:rPr>
                <w:rFonts w:ascii="Times New Roman" w:hAnsi="Times New Roman" w:eastAsia="宋体" w:cs="Times New Roman"/>
                <w:b/>
                <w:sz w:val="24"/>
              </w:rPr>
              <w:t>2.</w:t>
            </w:r>
            <w:r>
              <w:rPr>
                <w:rFonts w:hint="eastAsia" w:ascii="Times New Roman" w:hAnsi="Times New Roman" w:eastAsia="宋体" w:cs="Times New Roman"/>
                <w:b/>
                <w:sz w:val="24"/>
                <w:lang w:val="en-US" w:eastAsia="zh-CN"/>
              </w:rPr>
              <w:t>3</w:t>
            </w:r>
            <w:r>
              <w:rPr>
                <w:rFonts w:ascii="Times New Roman" w:hAnsi="Times New Roman" w:eastAsia="宋体" w:cs="Times New Roman"/>
                <w:b/>
                <w:sz w:val="24"/>
              </w:rPr>
              <w:t>水环境影响分析</w:t>
            </w:r>
          </w:p>
          <w:p>
            <w:pPr>
              <w:keepNext w:val="0"/>
              <w:keepLines w:val="0"/>
              <w:pageBreakBefore w:val="0"/>
              <w:widowControl/>
              <w:kinsoku/>
              <w:wordWrap/>
              <w:overflowPunct/>
              <w:topLinePunct w:val="0"/>
              <w:autoSpaceDE/>
              <w:autoSpaceDN/>
              <w:bidi w:val="0"/>
              <w:adjustRightInd w:val="0"/>
              <w:snapToGrid w:val="0"/>
              <w:spacing w:line="460" w:lineRule="atLeast"/>
              <w:ind w:firstLine="480" w:firstLineChars="200"/>
              <w:textAlignment w:val="auto"/>
              <w:rPr>
                <w:rFonts w:ascii="Times New Roman" w:hAnsi="Times New Roman" w:eastAsia="宋体" w:cs="Times New Roman"/>
                <w:sz w:val="24"/>
              </w:rPr>
            </w:pPr>
            <w:r>
              <w:rPr>
                <w:rFonts w:ascii="Times New Roman" w:hAnsi="Times New Roman" w:eastAsia="宋体" w:cs="Times New Roman"/>
                <w:sz w:val="24"/>
              </w:rPr>
              <w:t>综上所述，正常情况下，</w:t>
            </w:r>
            <w:r>
              <w:rPr>
                <w:rFonts w:ascii="Times New Roman" w:hAnsi="Times New Roman" w:eastAsia="宋体" w:cs="Times New Roman"/>
                <w:sz w:val="24"/>
                <w:szCs w:val="24"/>
              </w:rPr>
              <w:t>本项目产生的污水先经自建的污水处理站处理，</w:t>
            </w:r>
            <w:r>
              <w:rPr>
                <w:rFonts w:hint="eastAsia" w:ascii="Times New Roman" w:hAnsi="Times New Roman" w:eastAsia="宋体" w:cs="Times New Roman"/>
                <w:sz w:val="24"/>
                <w:szCs w:val="24"/>
                <w:lang w:val="en-US" w:eastAsia="zh-CN"/>
              </w:rPr>
              <w:t>后由罐车每天拉至市政污水管网排放点，进入翼城县润灏水务有限公司后续深度处理</w:t>
            </w:r>
            <w:r>
              <w:rPr>
                <w:rFonts w:hint="eastAsia" w:ascii="Times New Roman" w:hAnsi="Times New Roman" w:eastAsia="宋体" w:cs="Times New Roman"/>
                <w:sz w:val="24"/>
              </w:rPr>
              <w:t>，</w:t>
            </w:r>
            <w:r>
              <w:rPr>
                <w:rFonts w:ascii="Times New Roman" w:hAnsi="Times New Roman" w:eastAsia="宋体" w:cs="Times New Roman"/>
                <w:sz w:val="24"/>
              </w:rPr>
              <w:t>运营期内全厂无废水直接外排，不会对区域水环境造成不利影响。</w:t>
            </w:r>
          </w:p>
          <w:p>
            <w:pPr>
              <w:keepNext w:val="0"/>
              <w:keepLines w:val="0"/>
              <w:pageBreakBefore w:val="0"/>
              <w:widowControl w:val="0"/>
              <w:kinsoku/>
              <w:wordWrap/>
              <w:overflowPunct/>
              <w:topLinePunct w:val="0"/>
              <w:autoSpaceDE/>
              <w:autoSpaceDN/>
              <w:bidi w:val="0"/>
              <w:spacing w:line="460" w:lineRule="atLeast"/>
              <w:ind w:firstLine="0" w:firstLineChars="0"/>
              <w:jc w:val="both"/>
              <w:textAlignment w:val="auto"/>
              <w:rPr>
                <w:rFonts w:ascii="Times New Roman" w:hAnsi="Times New Roman" w:eastAsia="宋体" w:cs="Times New Roman"/>
                <w:b/>
                <w:bCs/>
                <w:iCs/>
                <w:kern w:val="11"/>
                <w:sz w:val="24"/>
                <w:szCs w:val="24"/>
                <w:highlight w:val="none"/>
                <w:lang w:val="en-US" w:eastAsia="zh-CN" w:bidi="ar-SA"/>
              </w:rPr>
            </w:pPr>
            <w:r>
              <w:rPr>
                <w:rFonts w:hint="eastAsia" w:ascii="Times New Roman" w:hAnsi="Times New Roman" w:eastAsia="宋体" w:cs="Times New Roman"/>
                <w:b/>
                <w:bCs/>
                <w:iCs/>
                <w:kern w:val="11"/>
                <w:sz w:val="24"/>
                <w:szCs w:val="24"/>
                <w:lang w:val="en-US" w:eastAsia="zh-CN" w:bidi="ar-SA"/>
              </w:rPr>
              <w:t>2.4</w:t>
            </w:r>
            <w:r>
              <w:rPr>
                <w:rFonts w:ascii="Times New Roman" w:hAnsi="Times New Roman" w:eastAsia="宋体" w:cs="Times New Roman"/>
                <w:b/>
                <w:bCs/>
                <w:iCs/>
                <w:kern w:val="11"/>
                <w:sz w:val="24"/>
                <w:szCs w:val="24"/>
                <w:highlight w:val="none"/>
                <w:lang w:val="en-US" w:eastAsia="zh-CN" w:bidi="ar-SA"/>
              </w:rPr>
              <w:t>废水监测计划</w:t>
            </w:r>
          </w:p>
          <w:p>
            <w:pPr>
              <w:keepNext w:val="0"/>
              <w:keepLines w:val="0"/>
              <w:pageBreakBefore w:val="0"/>
              <w:widowControl w:val="0"/>
              <w:kinsoku/>
              <w:wordWrap/>
              <w:overflowPunct/>
              <w:topLinePunct w:val="0"/>
              <w:autoSpaceDE/>
              <w:autoSpaceDN/>
              <w:bidi w:val="0"/>
              <w:spacing w:line="460" w:lineRule="atLeast"/>
              <w:ind w:firstLine="480" w:firstLineChars="200"/>
              <w:jc w:val="left"/>
              <w:textAlignment w:val="auto"/>
              <w:rPr>
                <w:rFonts w:ascii="Times New Roman" w:hAnsi="Times New Roman" w:eastAsia="黑体" w:cs="Times New Roman"/>
                <w:bCs/>
                <w:iCs/>
                <w:kern w:val="11"/>
                <w:sz w:val="24"/>
                <w:szCs w:val="24"/>
                <w:highlight w:val="none"/>
                <w:lang w:val="en-US" w:eastAsia="zh-CN" w:bidi="ar"/>
              </w:rPr>
            </w:pPr>
            <w:r>
              <w:rPr>
                <w:rFonts w:ascii="Times New Roman" w:hAnsi="Times New Roman" w:eastAsia="宋体" w:cs="Times New Roman"/>
                <w:iCs/>
                <w:kern w:val="11"/>
                <w:sz w:val="24"/>
                <w:szCs w:val="24"/>
                <w:highlight w:val="none"/>
                <w:lang w:val="en-US" w:eastAsia="zh-CN" w:bidi="ar-SA"/>
              </w:rPr>
              <w:t>本厂区内不设环境监测机构，</w:t>
            </w:r>
            <w:r>
              <w:rPr>
                <w:rFonts w:hint="eastAsia" w:ascii="Times New Roman" w:hAnsi="Times New Roman" w:eastAsia="宋体" w:cs="Times New Roman"/>
                <w:iCs/>
                <w:kern w:val="11"/>
                <w:sz w:val="24"/>
                <w:szCs w:val="24"/>
                <w:highlight w:val="none"/>
                <w:lang w:val="en-US" w:eastAsia="zh-CN" w:bidi="ar-SA"/>
              </w:rPr>
              <w:t>企业应</w:t>
            </w:r>
            <w:r>
              <w:rPr>
                <w:rFonts w:ascii="Times New Roman" w:hAnsi="Times New Roman" w:eastAsia="宋体" w:cs="Times New Roman"/>
                <w:iCs/>
                <w:kern w:val="11"/>
                <w:sz w:val="24"/>
                <w:szCs w:val="24"/>
                <w:highlight w:val="none"/>
                <w:lang w:val="en-US" w:eastAsia="zh-CN" w:bidi="ar-SA"/>
              </w:rPr>
              <w:t>委托当地有资质的环境检测单位进行定期监测，根据《排污单位自行监测技术指南</w:t>
            </w:r>
            <w:r>
              <w:rPr>
                <w:rFonts w:ascii="Times New Roman" w:hAnsi="Times New Roman" w:eastAsia="TimesNewRomanPSMT" w:cs="Times New Roman"/>
                <w:iCs/>
                <w:kern w:val="11"/>
                <w:sz w:val="24"/>
                <w:szCs w:val="24"/>
                <w:highlight w:val="none"/>
                <w:lang w:val="en-US" w:eastAsia="zh-CN" w:bidi="ar-SA"/>
              </w:rPr>
              <w:t xml:space="preserve"> </w:t>
            </w:r>
            <w:r>
              <w:rPr>
                <w:rFonts w:ascii="Times New Roman" w:hAnsi="Times New Roman" w:eastAsia="宋体" w:cs="Times New Roman"/>
                <w:iCs/>
                <w:kern w:val="11"/>
                <w:sz w:val="24"/>
                <w:szCs w:val="24"/>
                <w:highlight w:val="none"/>
                <w:lang w:val="en-US" w:eastAsia="zh-CN" w:bidi="ar-SA"/>
              </w:rPr>
              <w:t>总则》（</w:t>
            </w:r>
            <w:r>
              <w:rPr>
                <w:rFonts w:ascii="Times New Roman" w:hAnsi="Times New Roman" w:eastAsia="TimesNewRomanPSMT" w:cs="Times New Roman"/>
                <w:iCs/>
                <w:kern w:val="11"/>
                <w:sz w:val="24"/>
                <w:szCs w:val="24"/>
                <w:highlight w:val="none"/>
                <w:lang w:val="en-US" w:eastAsia="zh-CN" w:bidi="ar-SA"/>
              </w:rPr>
              <w:t>HJ819-2017</w:t>
            </w:r>
            <w:r>
              <w:rPr>
                <w:rFonts w:ascii="Times New Roman" w:hAnsi="Times New Roman" w:eastAsia="宋体" w:cs="Times New Roman"/>
                <w:iCs/>
                <w:kern w:val="11"/>
                <w:sz w:val="24"/>
                <w:szCs w:val="24"/>
                <w:highlight w:val="none"/>
                <w:lang w:val="en-US" w:eastAsia="zh-CN" w:bidi="ar-SA"/>
              </w:rPr>
              <w:t>）、</w:t>
            </w:r>
            <w:r>
              <w:rPr>
                <w:rFonts w:hint="default" w:ascii="Times New Roman" w:hAnsi="Times New Roman" w:eastAsia="宋体" w:cs="Times New Roman"/>
                <w:iCs/>
                <w:kern w:val="11"/>
                <w:sz w:val="24"/>
                <w:szCs w:val="24"/>
                <w:highlight w:val="none"/>
                <w:lang w:val="en-US" w:eastAsia="zh-CN" w:bidi="ar-SA"/>
              </w:rPr>
              <w:t>《排污单位自行监测技术指南 火力发电及锅炉》（HJ 280—2017）</w:t>
            </w:r>
            <w:r>
              <w:rPr>
                <w:rFonts w:hint="eastAsia" w:ascii="Times New Roman" w:hAnsi="Times New Roman" w:eastAsia="宋体" w:cs="Times New Roman"/>
                <w:iCs/>
                <w:kern w:val="11"/>
                <w:sz w:val="24"/>
                <w:szCs w:val="24"/>
                <w:highlight w:val="none"/>
                <w:lang w:val="en-US" w:eastAsia="zh-CN" w:bidi="ar-SA"/>
              </w:rPr>
              <w:t>的</w:t>
            </w:r>
            <w:r>
              <w:rPr>
                <w:rFonts w:ascii="Times New Roman" w:hAnsi="Times New Roman" w:eastAsia="宋体" w:cs="Times New Roman"/>
                <w:iCs/>
                <w:kern w:val="11"/>
                <w:sz w:val="24"/>
                <w:szCs w:val="24"/>
                <w:highlight w:val="none"/>
                <w:lang w:val="en-US" w:eastAsia="zh-CN" w:bidi="ar-SA"/>
              </w:rPr>
              <w:t>要求，企业废水污染源监测计划见</w:t>
            </w:r>
            <w:r>
              <w:rPr>
                <w:rFonts w:hint="eastAsia" w:ascii="Times New Roman" w:hAnsi="Times New Roman" w:eastAsia="宋体" w:cs="Times New Roman"/>
                <w:iCs/>
                <w:kern w:val="11"/>
                <w:sz w:val="24"/>
                <w:szCs w:val="24"/>
                <w:highlight w:val="none"/>
                <w:lang w:val="en-US" w:eastAsia="zh-CN" w:bidi="ar-SA"/>
              </w:rPr>
              <w:t>下表：</w:t>
            </w:r>
          </w:p>
          <w:p>
            <w:pPr>
              <w:keepNext w:val="0"/>
              <w:keepLines w:val="0"/>
              <w:pageBreakBefore w:val="0"/>
              <w:widowControl w:val="0"/>
              <w:kinsoku/>
              <w:wordWrap/>
              <w:overflowPunct/>
              <w:topLinePunct w:val="0"/>
              <w:autoSpaceDE/>
              <w:autoSpaceDN/>
              <w:bidi w:val="0"/>
              <w:spacing w:line="460" w:lineRule="atLeast"/>
              <w:ind w:firstLine="422" w:firstLineChars="200"/>
              <w:jc w:val="center"/>
              <w:textAlignment w:val="auto"/>
              <w:rPr>
                <w:rFonts w:ascii="Times New Roman" w:hAnsi="Times New Roman" w:eastAsia="宋体" w:cs="Times New Roman"/>
                <w:b/>
                <w:bCs/>
                <w:sz w:val="21"/>
                <w:szCs w:val="21"/>
                <w:highlight w:val="none"/>
                <w:lang w:val="en-US" w:eastAsia="zh-CN" w:bidi="ar-SA"/>
              </w:rPr>
            </w:pPr>
            <w:r>
              <w:rPr>
                <w:rFonts w:ascii="Times New Roman" w:hAnsi="Times New Roman" w:eastAsia="宋体" w:cs="Times New Roman"/>
                <w:b/>
                <w:bCs/>
                <w:sz w:val="21"/>
                <w:szCs w:val="21"/>
                <w:highlight w:val="none"/>
                <w:lang w:val="en-US" w:eastAsia="zh-CN" w:bidi="ar-SA"/>
              </w:rPr>
              <w:t>表</w:t>
            </w:r>
            <w:r>
              <w:rPr>
                <w:rFonts w:hint="eastAsia" w:ascii="Times New Roman" w:hAnsi="Times New Roman" w:eastAsia="宋体" w:cs="Times New Roman"/>
                <w:b/>
                <w:bCs/>
                <w:sz w:val="21"/>
                <w:szCs w:val="21"/>
                <w:highlight w:val="none"/>
                <w:lang w:val="en-US" w:eastAsia="zh-CN" w:bidi="ar-SA"/>
              </w:rPr>
              <w:t>4-5</w:t>
            </w:r>
            <w:r>
              <w:rPr>
                <w:rFonts w:ascii="Times New Roman" w:hAnsi="Times New Roman" w:eastAsia="宋体" w:cs="Times New Roman"/>
                <w:b/>
                <w:bCs/>
                <w:sz w:val="21"/>
                <w:szCs w:val="21"/>
                <w:highlight w:val="none"/>
                <w:lang w:val="en-US" w:eastAsia="zh-CN" w:bidi="ar-SA"/>
              </w:rPr>
              <w:t xml:space="preserve">  废水污染源监测计划</w:t>
            </w:r>
          </w:p>
          <w:tbl>
            <w:tblPr>
              <w:tblStyle w:val="38"/>
              <w:tblW w:w="802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3113"/>
              <w:gridCol w:w="1327"/>
              <w:gridCol w:w="22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299" w:type="dxa"/>
                  <w:vAlign w:val="center"/>
                </w:tcPr>
                <w:p>
                  <w:pPr>
                    <w:spacing w:line="310" w:lineRule="exact"/>
                    <w:jc w:val="center"/>
                    <w:rPr>
                      <w:rFonts w:ascii="Times New Roman" w:hAnsi="Times New Roman" w:eastAsia="宋体" w:cs="Times New Roman"/>
                      <w:b/>
                      <w:bCs/>
                      <w:spacing w:val="6"/>
                      <w:sz w:val="21"/>
                      <w:szCs w:val="21"/>
                      <w:highlight w:val="none"/>
                    </w:rPr>
                  </w:pPr>
                  <w:r>
                    <w:rPr>
                      <w:rFonts w:ascii="Times New Roman" w:hAnsi="Times New Roman" w:eastAsia="宋体" w:cs="Times New Roman"/>
                      <w:b/>
                      <w:bCs/>
                      <w:spacing w:val="6"/>
                      <w:sz w:val="21"/>
                      <w:szCs w:val="21"/>
                      <w:highlight w:val="none"/>
                    </w:rPr>
                    <w:t>监测点位</w:t>
                  </w:r>
                </w:p>
              </w:tc>
              <w:tc>
                <w:tcPr>
                  <w:tcW w:w="3113" w:type="dxa"/>
                  <w:vAlign w:val="center"/>
                </w:tcPr>
                <w:p>
                  <w:pPr>
                    <w:spacing w:line="310" w:lineRule="exact"/>
                    <w:jc w:val="center"/>
                    <w:rPr>
                      <w:rFonts w:ascii="Times New Roman" w:hAnsi="Times New Roman" w:eastAsia="宋体" w:cs="Times New Roman"/>
                      <w:b/>
                      <w:bCs/>
                      <w:spacing w:val="6"/>
                      <w:sz w:val="21"/>
                      <w:szCs w:val="21"/>
                      <w:highlight w:val="none"/>
                    </w:rPr>
                  </w:pPr>
                  <w:r>
                    <w:rPr>
                      <w:rFonts w:ascii="Times New Roman" w:hAnsi="Times New Roman" w:eastAsia="宋体" w:cs="Times New Roman"/>
                      <w:b/>
                      <w:bCs/>
                      <w:spacing w:val="6"/>
                      <w:sz w:val="21"/>
                      <w:szCs w:val="21"/>
                      <w:highlight w:val="none"/>
                    </w:rPr>
                    <w:t>监测指标</w:t>
                  </w:r>
                </w:p>
              </w:tc>
              <w:tc>
                <w:tcPr>
                  <w:tcW w:w="1327" w:type="dxa"/>
                  <w:vAlign w:val="center"/>
                </w:tcPr>
                <w:p>
                  <w:pPr>
                    <w:spacing w:line="310" w:lineRule="exact"/>
                    <w:jc w:val="center"/>
                    <w:rPr>
                      <w:rFonts w:ascii="Times New Roman" w:hAnsi="Times New Roman" w:eastAsia="宋体" w:cs="Times New Roman"/>
                      <w:b/>
                      <w:bCs/>
                      <w:spacing w:val="6"/>
                      <w:sz w:val="21"/>
                      <w:szCs w:val="21"/>
                      <w:highlight w:val="none"/>
                    </w:rPr>
                  </w:pPr>
                  <w:r>
                    <w:rPr>
                      <w:rFonts w:ascii="Times New Roman" w:hAnsi="Times New Roman" w:eastAsia="宋体" w:cs="Times New Roman"/>
                      <w:b/>
                      <w:bCs/>
                      <w:spacing w:val="6"/>
                      <w:sz w:val="21"/>
                      <w:szCs w:val="21"/>
                      <w:highlight w:val="none"/>
                    </w:rPr>
                    <w:t>监测频次</w:t>
                  </w:r>
                </w:p>
              </w:tc>
              <w:tc>
                <w:tcPr>
                  <w:tcW w:w="2281" w:type="dxa"/>
                  <w:vAlign w:val="center"/>
                </w:tcPr>
                <w:p>
                  <w:pPr>
                    <w:spacing w:line="310" w:lineRule="exact"/>
                    <w:jc w:val="center"/>
                    <w:rPr>
                      <w:rFonts w:ascii="Times New Roman" w:hAnsi="Times New Roman" w:eastAsia="宋体" w:cs="Times New Roman"/>
                      <w:b/>
                      <w:bCs/>
                      <w:spacing w:val="6"/>
                      <w:sz w:val="21"/>
                      <w:szCs w:val="21"/>
                      <w:highlight w:val="none"/>
                    </w:rPr>
                  </w:pPr>
                  <w:r>
                    <w:rPr>
                      <w:rFonts w:ascii="Times New Roman" w:hAnsi="Times New Roman" w:eastAsia="宋体" w:cs="Times New Roman"/>
                      <w:b/>
                      <w:bCs/>
                      <w:spacing w:val="6"/>
                      <w:sz w:val="21"/>
                      <w:szCs w:val="21"/>
                      <w:highlight w:val="none"/>
                    </w:rPr>
                    <w:t>污染物排放执</w:t>
                  </w:r>
                  <w:r>
                    <w:rPr>
                      <w:rFonts w:hint="eastAsia" w:ascii="Times New Roman" w:cs="Times New Roman"/>
                      <w:b/>
                      <w:bCs/>
                      <w:spacing w:val="6"/>
                      <w:sz w:val="21"/>
                      <w:szCs w:val="21"/>
                      <w:highlight w:val="none"/>
                      <w:lang w:eastAsia="zh-CN"/>
                    </w:rPr>
                    <w:t>行</w:t>
                  </w:r>
                  <w:r>
                    <w:rPr>
                      <w:rFonts w:ascii="Times New Roman" w:hAnsi="Times New Roman" w:eastAsia="宋体" w:cs="Times New Roman"/>
                      <w:b/>
                      <w:bCs/>
                      <w:spacing w:val="6"/>
                      <w:sz w:val="21"/>
                      <w:szCs w:val="21"/>
                      <w:highlight w:val="none"/>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299" w:type="dxa"/>
                  <w:vAlign w:val="center"/>
                </w:tcPr>
                <w:p>
                  <w:pPr>
                    <w:spacing w:line="310" w:lineRule="exact"/>
                    <w:jc w:val="center"/>
                    <w:rPr>
                      <w:rFonts w:ascii="Times New Roman" w:hAnsi="Times New Roman" w:eastAsia="宋体" w:cs="Times New Roman"/>
                      <w:spacing w:val="6"/>
                      <w:sz w:val="21"/>
                      <w:szCs w:val="21"/>
                      <w:highlight w:val="none"/>
                    </w:rPr>
                  </w:pPr>
                  <w:r>
                    <w:rPr>
                      <w:rFonts w:hint="eastAsia" w:ascii="Times New Roman" w:hAnsi="Times New Roman" w:eastAsia="宋体" w:cs="Times New Roman"/>
                      <w:spacing w:val="6"/>
                      <w:sz w:val="21"/>
                      <w:szCs w:val="21"/>
                      <w:highlight w:val="none"/>
                      <w:lang w:val="en-US" w:eastAsia="zh-CN"/>
                    </w:rPr>
                    <w:t>污水处理站废水</w:t>
                  </w:r>
                  <w:r>
                    <w:rPr>
                      <w:rFonts w:ascii="Times New Roman" w:hAnsi="Times New Roman" w:eastAsia="宋体" w:cs="Times New Roman"/>
                      <w:spacing w:val="6"/>
                      <w:sz w:val="21"/>
                      <w:szCs w:val="21"/>
                      <w:highlight w:val="none"/>
                    </w:rPr>
                    <w:t>排</w:t>
                  </w:r>
                  <w:r>
                    <w:rPr>
                      <w:rFonts w:hint="eastAsia" w:ascii="Times New Roman" w:hAnsi="Times New Roman" w:eastAsia="宋体" w:cs="Times New Roman"/>
                      <w:spacing w:val="6"/>
                      <w:sz w:val="21"/>
                      <w:szCs w:val="21"/>
                      <w:highlight w:val="none"/>
                      <w:lang w:val="en-US" w:eastAsia="zh-CN"/>
                    </w:rPr>
                    <w:t>放</w:t>
                  </w:r>
                  <w:r>
                    <w:rPr>
                      <w:rFonts w:ascii="Times New Roman" w:hAnsi="Times New Roman" w:eastAsia="宋体" w:cs="Times New Roman"/>
                      <w:spacing w:val="6"/>
                      <w:sz w:val="21"/>
                      <w:szCs w:val="21"/>
                      <w:highlight w:val="none"/>
                    </w:rPr>
                    <w:t>口</w:t>
                  </w:r>
                </w:p>
              </w:tc>
              <w:tc>
                <w:tcPr>
                  <w:tcW w:w="3113" w:type="dxa"/>
                  <w:vAlign w:val="center"/>
                </w:tcPr>
                <w:p>
                  <w:pPr>
                    <w:spacing w:line="310" w:lineRule="exact"/>
                    <w:jc w:val="center"/>
                    <w:rPr>
                      <w:rFonts w:hint="eastAsia" w:ascii="Times New Roman" w:hAnsi="Times New Roman" w:eastAsia="宋体" w:cs="Times New Roman"/>
                      <w:spacing w:val="6"/>
                      <w:sz w:val="21"/>
                      <w:szCs w:val="21"/>
                      <w:highlight w:val="none"/>
                      <w:lang w:eastAsia="zh-CN"/>
                    </w:rPr>
                  </w:pPr>
                  <w:r>
                    <w:rPr>
                      <w:rFonts w:hint="eastAsia" w:ascii="Times New Roman" w:hAnsi="Times New Roman" w:eastAsia="宋体" w:cs="Times New Roman"/>
                      <w:spacing w:val="6"/>
                      <w:sz w:val="21"/>
                      <w:szCs w:val="21"/>
                      <w:highlight w:val="none"/>
                      <w:lang w:val="en-US" w:eastAsia="zh-CN"/>
                    </w:rPr>
                    <w:t>流量、</w:t>
                  </w:r>
                  <w:r>
                    <w:rPr>
                      <w:rFonts w:ascii="Times New Roman" w:hAnsi="Times New Roman" w:eastAsia="宋体" w:cs="Times New Roman"/>
                      <w:spacing w:val="6"/>
                      <w:sz w:val="21"/>
                      <w:szCs w:val="21"/>
                      <w:highlight w:val="none"/>
                    </w:rPr>
                    <w:t>pH值、化学需氧量、氨氮、悬浮物、五日生化需氧量、总磷、总氮</w:t>
                  </w:r>
                  <w:r>
                    <w:rPr>
                      <w:rFonts w:hint="eastAsia" w:ascii="Times New Roman" w:hAnsi="Times New Roman" w:eastAsia="宋体" w:cs="Times New Roman"/>
                      <w:spacing w:val="6"/>
                      <w:sz w:val="21"/>
                      <w:szCs w:val="21"/>
                      <w:highlight w:val="none"/>
                      <w:lang w:eastAsia="zh-CN"/>
                    </w:rPr>
                    <w:t>、</w:t>
                  </w:r>
                  <w:r>
                    <w:rPr>
                      <w:rFonts w:hint="eastAsia" w:ascii="Times New Roman" w:hAnsi="Times New Roman" w:eastAsia="宋体" w:cs="Times New Roman"/>
                      <w:spacing w:val="6"/>
                      <w:sz w:val="21"/>
                      <w:szCs w:val="21"/>
                      <w:highlight w:val="none"/>
                      <w:lang w:val="en-US" w:eastAsia="zh-CN"/>
                    </w:rPr>
                    <w:t>阴离子表面活性剂（LAS）</w:t>
                  </w:r>
                </w:p>
              </w:tc>
              <w:tc>
                <w:tcPr>
                  <w:tcW w:w="1327" w:type="dxa"/>
                  <w:vAlign w:val="center"/>
                </w:tcPr>
                <w:p>
                  <w:pPr>
                    <w:spacing w:line="310" w:lineRule="exact"/>
                    <w:jc w:val="center"/>
                    <w:rPr>
                      <w:rFonts w:ascii="Times New Roman" w:hAnsi="Times New Roman" w:eastAsia="宋体" w:cs="Times New Roman"/>
                      <w:spacing w:val="6"/>
                      <w:sz w:val="21"/>
                      <w:szCs w:val="21"/>
                      <w:highlight w:val="none"/>
                    </w:rPr>
                  </w:pPr>
                  <w:r>
                    <w:rPr>
                      <w:rFonts w:ascii="Times New Roman" w:hAnsi="Times New Roman" w:eastAsia="宋体" w:cs="Times New Roman"/>
                      <w:spacing w:val="6"/>
                      <w:sz w:val="21"/>
                      <w:szCs w:val="21"/>
                      <w:highlight w:val="none"/>
                    </w:rPr>
                    <w:t>1次/</w:t>
                  </w:r>
                  <w:r>
                    <w:rPr>
                      <w:rFonts w:hint="eastAsia" w:ascii="Times New Roman" w:hAnsi="Times New Roman" w:eastAsia="宋体" w:cs="Times New Roman"/>
                      <w:spacing w:val="6"/>
                      <w:sz w:val="21"/>
                      <w:szCs w:val="21"/>
                      <w:highlight w:val="none"/>
                    </w:rPr>
                    <w:t>年</w:t>
                  </w:r>
                </w:p>
              </w:tc>
              <w:tc>
                <w:tcPr>
                  <w:tcW w:w="2281" w:type="dxa"/>
                  <w:vAlign w:val="center"/>
                </w:tcPr>
                <w:p>
                  <w:pPr>
                    <w:spacing w:line="310" w:lineRule="exact"/>
                    <w:jc w:val="center"/>
                    <w:rPr>
                      <w:rFonts w:ascii="Times New Roman" w:hAnsi="Times New Roman" w:eastAsia="宋体" w:cs="Times New Roman"/>
                      <w:spacing w:val="6"/>
                      <w:sz w:val="21"/>
                      <w:szCs w:val="21"/>
                      <w:highlight w:val="none"/>
                    </w:rPr>
                  </w:pPr>
                  <w:r>
                    <w:rPr>
                      <w:rFonts w:ascii="Times New Roman" w:hAnsi="Times New Roman" w:eastAsia="宋体" w:cs="Times New Roman"/>
                      <w:spacing w:val="6"/>
                      <w:sz w:val="21"/>
                      <w:szCs w:val="21"/>
                      <w:highlight w:val="none"/>
                    </w:rPr>
                    <w:t>《污水排入城镇下水道水质标准》（GB/T31962-2015）中的A等级要求</w:t>
                  </w:r>
                </w:p>
              </w:tc>
            </w:tr>
          </w:tbl>
          <w:p>
            <w:pPr>
              <w:pStyle w:val="85"/>
              <w:keepNext w:val="0"/>
              <w:keepLines w:val="0"/>
              <w:pageBreakBefore w:val="0"/>
              <w:kinsoku/>
              <w:wordWrap/>
              <w:overflowPunct/>
              <w:topLinePunct w:val="0"/>
              <w:autoSpaceDE/>
              <w:autoSpaceDN/>
              <w:bidi w:val="0"/>
              <w:adjustRightInd/>
              <w:snapToGrid/>
              <w:spacing w:line="460" w:lineRule="exact"/>
              <w:ind w:left="0" w:leftChars="0" w:firstLine="0" w:firstLineChars="0"/>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三</w:t>
            </w:r>
            <w:r>
              <w:rPr>
                <w:rFonts w:hint="default" w:ascii="Times New Roman" w:hAnsi="Times New Roman" w:cs="Times New Roman"/>
                <w:b/>
                <w:bCs/>
                <w:color w:val="auto"/>
                <w:sz w:val="24"/>
                <w:highlight w:val="none"/>
              </w:rPr>
              <w:t>、噪声环境影响</w:t>
            </w:r>
            <w:r>
              <w:rPr>
                <w:rFonts w:hint="default" w:ascii="Times New Roman" w:hAnsi="Times New Roman" w:cs="Times New Roman"/>
                <w:b/>
                <w:bCs/>
                <w:color w:val="auto"/>
                <w:sz w:val="24"/>
                <w:highlight w:val="none"/>
                <w:lang w:val="en-US" w:eastAsia="zh-CN"/>
              </w:rPr>
              <w:t>评价及保护措施</w:t>
            </w:r>
          </w:p>
          <w:p>
            <w:pPr>
              <w:keepNext w:val="0"/>
              <w:keepLines w:val="0"/>
              <w:pageBreakBefore w:val="0"/>
              <w:widowControl/>
              <w:kinsoku/>
              <w:wordWrap/>
              <w:overflowPunct/>
              <w:topLinePunct w:val="0"/>
              <w:autoSpaceDE/>
              <w:autoSpaceDN/>
              <w:bidi w:val="0"/>
              <w:adjustRightInd/>
              <w:snapToGrid/>
              <w:spacing w:line="460" w:lineRule="exact"/>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cs="Times New Roman"/>
                <w:color w:val="auto"/>
                <w:kern w:val="0"/>
                <w:sz w:val="24"/>
                <w:szCs w:val="24"/>
                <w:highlight w:val="none"/>
                <w:lang w:val="en-US" w:eastAsia="zh-CN" w:bidi="ar"/>
              </w:rPr>
              <w:t>3.1</w:t>
            </w:r>
            <w:r>
              <w:rPr>
                <w:rFonts w:hint="default" w:ascii="Times New Roman" w:hAnsi="Times New Roman" w:cs="Times New Roman"/>
                <w:b/>
                <w:bCs/>
                <w:color w:val="auto"/>
                <w:sz w:val="24"/>
              </w:rPr>
              <w:t>噪声源项源强及拟采取的措施</w:t>
            </w:r>
          </w:p>
          <w:p>
            <w:pPr>
              <w:keepNext w:val="0"/>
              <w:keepLines w:val="0"/>
              <w:pageBreakBefore w:val="0"/>
              <w:widowControl/>
              <w:kinsoku/>
              <w:wordWrap/>
              <w:overflowPunct/>
              <w:topLinePunct w:val="0"/>
              <w:autoSpaceDE/>
              <w:autoSpaceDN/>
              <w:bidi w:val="0"/>
              <w:adjustRightInd/>
              <w:snapToGrid/>
              <w:spacing w:line="460" w:lineRule="exact"/>
              <w:ind w:firstLine="480" w:firstLineChars="200"/>
              <w:jc w:val="left"/>
              <w:textAlignment w:val="auto"/>
              <w:rPr>
                <w:rFonts w:hint="default" w:ascii="Times New Roman" w:hAnsi="Times New Roman" w:cs="Times New Roman"/>
                <w:color w:val="auto"/>
                <w:kern w:val="0"/>
                <w:sz w:val="24"/>
                <w:szCs w:val="24"/>
                <w:highlight w:val="none"/>
                <w:lang w:bidi="ar"/>
              </w:rPr>
            </w:pPr>
            <w:r>
              <w:rPr>
                <w:rFonts w:hint="default" w:ascii="Times New Roman" w:hAnsi="Times New Roman" w:cs="Times New Roman"/>
                <w:color w:val="auto"/>
                <w:sz w:val="24"/>
              </w:rPr>
              <w:t>本项目噪声主要来源于洗</w:t>
            </w:r>
            <w:r>
              <w:rPr>
                <w:rFonts w:hint="default" w:ascii="Times New Roman" w:hAnsi="Times New Roman" w:cs="Times New Roman"/>
                <w:color w:val="auto"/>
                <w:sz w:val="24"/>
                <w:lang w:val="en-US" w:eastAsia="zh-CN"/>
              </w:rPr>
              <w:t>衣</w:t>
            </w:r>
            <w:r>
              <w:rPr>
                <w:rFonts w:hint="default" w:ascii="Times New Roman" w:hAnsi="Times New Roman" w:cs="Times New Roman"/>
                <w:color w:val="auto"/>
                <w:sz w:val="24"/>
              </w:rPr>
              <w:t>机、烘干机、烫平机、锅炉、风机等机械噪声，噪声值约为70dB(A)~85dB(A)，本项目主要噪声源及治理后声级值情</w:t>
            </w:r>
            <w:r>
              <w:rPr>
                <w:rFonts w:hint="default" w:ascii="Times New Roman" w:hAnsi="Times New Roman" w:cs="Times New Roman"/>
                <w:color w:val="auto"/>
                <w:sz w:val="24"/>
                <w:highlight w:val="none"/>
              </w:rPr>
              <w:t>况见</w:t>
            </w:r>
            <w:r>
              <w:rPr>
                <w:rFonts w:hint="default" w:ascii="Times New Roman" w:hAnsi="Times New Roman" w:cs="Times New Roman"/>
                <w:color w:val="auto"/>
                <w:sz w:val="24"/>
                <w:highlight w:val="none"/>
                <w:lang w:val="en-US" w:eastAsia="zh-CN"/>
              </w:rPr>
              <w:t>下</w:t>
            </w:r>
            <w:r>
              <w:rPr>
                <w:rFonts w:hint="default" w:ascii="Times New Roman" w:hAnsi="Times New Roman" w:cs="Times New Roman"/>
                <w:color w:val="auto"/>
                <w:sz w:val="24"/>
                <w:highlight w:val="none"/>
              </w:rPr>
              <w:t>表。</w:t>
            </w:r>
          </w:p>
          <w:p>
            <w:pPr>
              <w:adjustRightInd w:val="0"/>
              <w:snapToGrid w:val="0"/>
              <w:spacing w:line="460" w:lineRule="exact"/>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表4-</w:t>
            </w:r>
            <w:r>
              <w:rPr>
                <w:rFonts w:hint="eastAsia" w:ascii="Times New Roman" w:cs="Times New Roman"/>
                <w:b/>
                <w:bCs/>
                <w:color w:val="auto"/>
                <w:sz w:val="21"/>
                <w:szCs w:val="21"/>
                <w:highlight w:val="none"/>
                <w:lang w:val="en-US" w:eastAsia="zh-CN"/>
              </w:rPr>
              <w:t>6</w:t>
            </w:r>
            <w:r>
              <w:rPr>
                <w:rFonts w:hint="default" w:ascii="Times New Roman" w:hAnsi="Times New Roman" w:cs="Times New Roman"/>
                <w:b/>
                <w:bCs/>
                <w:color w:val="auto"/>
                <w:sz w:val="21"/>
                <w:szCs w:val="21"/>
                <w:highlight w:val="none"/>
              </w:rPr>
              <w:t xml:space="preserve">  主要设备噪声源及处理措施</w:t>
            </w:r>
            <w:r>
              <w:rPr>
                <w:rFonts w:hint="default" w:ascii="Times New Roman" w:hAnsi="Times New Roman" w:eastAsia="宋体" w:cs="Times New Roman"/>
                <w:b/>
                <w:bCs/>
                <w:color w:val="auto"/>
                <w:kern w:val="2"/>
                <w:sz w:val="21"/>
                <w:szCs w:val="21"/>
                <w:highlight w:val="none"/>
                <w:lang w:val="en-US" w:eastAsia="zh-CN" w:bidi="ar-SA"/>
              </w:rPr>
              <w:t>（室内声源）</w:t>
            </w:r>
          </w:p>
          <w:tbl>
            <w:tblPr>
              <w:tblStyle w:val="38"/>
              <w:tblW w:w="802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04"/>
              <w:gridCol w:w="943"/>
              <w:gridCol w:w="706"/>
              <w:gridCol w:w="830"/>
              <w:gridCol w:w="536"/>
              <w:gridCol w:w="574"/>
              <w:gridCol w:w="491"/>
              <w:gridCol w:w="441"/>
              <w:gridCol w:w="530"/>
              <w:gridCol w:w="706"/>
              <w:gridCol w:w="706"/>
              <w:gridCol w:w="706"/>
              <w:gridCol w:w="4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04" w:type="dxa"/>
                  <w:vMerge w:val="restart"/>
                  <w:vAlign w:val="center"/>
                </w:tcPr>
                <w:p>
                  <w:pPr>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建筑物名称</w:t>
                  </w:r>
                </w:p>
              </w:tc>
              <w:tc>
                <w:tcPr>
                  <w:tcW w:w="943" w:type="dxa"/>
                  <w:vMerge w:val="restart"/>
                  <w:vAlign w:val="center"/>
                </w:tcPr>
                <w:p>
                  <w:pPr>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噪声源</w:t>
                  </w:r>
                </w:p>
              </w:tc>
              <w:tc>
                <w:tcPr>
                  <w:tcW w:w="706" w:type="dxa"/>
                  <w:vAlign w:val="center"/>
                </w:tcPr>
                <w:p>
                  <w:pPr>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源强</w:t>
                  </w:r>
                </w:p>
              </w:tc>
              <w:tc>
                <w:tcPr>
                  <w:tcW w:w="830" w:type="dxa"/>
                  <w:vMerge w:val="restart"/>
                  <w:vAlign w:val="center"/>
                </w:tcPr>
                <w:p>
                  <w:pPr>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治理措施</w:t>
                  </w:r>
                </w:p>
              </w:tc>
              <w:tc>
                <w:tcPr>
                  <w:tcW w:w="536" w:type="dxa"/>
                  <w:vMerge w:val="restart"/>
                  <w:vAlign w:val="center"/>
                </w:tcPr>
                <w:p>
                  <w:pPr>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运行时段</w:t>
                  </w:r>
                </w:p>
              </w:tc>
              <w:tc>
                <w:tcPr>
                  <w:tcW w:w="1506" w:type="dxa"/>
                  <w:gridSpan w:val="3"/>
                  <w:vAlign w:val="center"/>
                </w:tcPr>
                <w:p>
                  <w:pPr>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空间相对位置/m</w:t>
                  </w:r>
                </w:p>
              </w:tc>
              <w:tc>
                <w:tcPr>
                  <w:tcW w:w="530" w:type="dxa"/>
                  <w:vMerge w:val="restart"/>
                  <w:vAlign w:val="center"/>
                </w:tcPr>
                <w:p>
                  <w:pPr>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距室内边界距离/m</w:t>
                  </w:r>
                </w:p>
              </w:tc>
              <w:tc>
                <w:tcPr>
                  <w:tcW w:w="706" w:type="dxa"/>
                  <w:vMerge w:val="restart"/>
                  <w:vAlign w:val="center"/>
                </w:tcPr>
                <w:p>
                  <w:pPr>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室内边界声级/dB（A）</w:t>
                  </w:r>
                </w:p>
              </w:tc>
              <w:tc>
                <w:tcPr>
                  <w:tcW w:w="706" w:type="dxa"/>
                  <w:vMerge w:val="restart"/>
                  <w:vAlign w:val="center"/>
                </w:tcPr>
                <w:p>
                  <w:pPr>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建筑物插入损失/dB（A）</w:t>
                  </w:r>
                </w:p>
              </w:tc>
              <w:tc>
                <w:tcPr>
                  <w:tcW w:w="1162" w:type="dxa"/>
                  <w:gridSpan w:val="2"/>
                  <w:vAlign w:val="center"/>
                </w:tcPr>
                <w:p>
                  <w:pPr>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建筑物外噪声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04" w:type="dxa"/>
                  <w:vMerge w:val="continue"/>
                  <w:vAlign w:val="center"/>
                </w:tcPr>
                <w:p>
                  <w:pPr>
                    <w:snapToGrid w:val="0"/>
                    <w:spacing w:line="280" w:lineRule="exact"/>
                    <w:jc w:val="center"/>
                    <w:rPr>
                      <w:rFonts w:hint="default" w:ascii="Times New Roman" w:hAnsi="Times New Roman" w:cs="Times New Roman"/>
                      <w:color w:val="auto"/>
                      <w:sz w:val="18"/>
                      <w:szCs w:val="18"/>
                    </w:rPr>
                  </w:pPr>
                </w:p>
              </w:tc>
              <w:tc>
                <w:tcPr>
                  <w:tcW w:w="943" w:type="dxa"/>
                  <w:vMerge w:val="continue"/>
                  <w:vAlign w:val="center"/>
                </w:tcPr>
                <w:p>
                  <w:pPr>
                    <w:snapToGrid w:val="0"/>
                    <w:spacing w:line="280" w:lineRule="exact"/>
                    <w:jc w:val="center"/>
                    <w:rPr>
                      <w:rFonts w:hint="default" w:ascii="Times New Roman" w:hAnsi="Times New Roman" w:cs="Times New Roman"/>
                      <w:color w:val="auto"/>
                      <w:sz w:val="18"/>
                      <w:szCs w:val="18"/>
                    </w:rPr>
                  </w:pPr>
                </w:p>
              </w:tc>
              <w:tc>
                <w:tcPr>
                  <w:tcW w:w="706" w:type="dxa"/>
                  <w:vAlign w:val="center"/>
                </w:tcPr>
                <w:p>
                  <w:pPr>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距声源距离/（dB（A）/m）</w:t>
                  </w:r>
                </w:p>
              </w:tc>
              <w:tc>
                <w:tcPr>
                  <w:tcW w:w="830" w:type="dxa"/>
                  <w:vMerge w:val="continue"/>
                  <w:vAlign w:val="center"/>
                </w:tcPr>
                <w:p>
                  <w:pPr>
                    <w:snapToGrid w:val="0"/>
                    <w:spacing w:line="280" w:lineRule="exact"/>
                    <w:jc w:val="center"/>
                    <w:rPr>
                      <w:rFonts w:hint="default" w:ascii="Times New Roman" w:hAnsi="Times New Roman" w:cs="Times New Roman"/>
                      <w:color w:val="auto"/>
                      <w:sz w:val="18"/>
                      <w:szCs w:val="18"/>
                    </w:rPr>
                  </w:pPr>
                </w:p>
              </w:tc>
              <w:tc>
                <w:tcPr>
                  <w:tcW w:w="536" w:type="dxa"/>
                  <w:vMerge w:val="continue"/>
                  <w:vAlign w:val="center"/>
                </w:tcPr>
                <w:p>
                  <w:pPr>
                    <w:snapToGrid w:val="0"/>
                    <w:spacing w:line="280" w:lineRule="exact"/>
                    <w:jc w:val="center"/>
                    <w:rPr>
                      <w:rFonts w:hint="default" w:ascii="Times New Roman" w:hAnsi="Times New Roman" w:cs="Times New Roman"/>
                      <w:color w:val="auto"/>
                      <w:sz w:val="18"/>
                      <w:szCs w:val="18"/>
                    </w:rPr>
                  </w:pPr>
                </w:p>
              </w:tc>
              <w:tc>
                <w:tcPr>
                  <w:tcW w:w="574" w:type="dxa"/>
                  <w:vAlign w:val="center"/>
                </w:tcPr>
                <w:p>
                  <w:pPr>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X</w:t>
                  </w:r>
                </w:p>
              </w:tc>
              <w:tc>
                <w:tcPr>
                  <w:tcW w:w="491" w:type="dxa"/>
                  <w:vAlign w:val="center"/>
                </w:tcPr>
                <w:p>
                  <w:pPr>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Y</w:t>
                  </w:r>
                </w:p>
              </w:tc>
              <w:tc>
                <w:tcPr>
                  <w:tcW w:w="441" w:type="dxa"/>
                  <w:vAlign w:val="center"/>
                </w:tcPr>
                <w:p>
                  <w:pPr>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Z</w:t>
                  </w:r>
                </w:p>
              </w:tc>
              <w:tc>
                <w:tcPr>
                  <w:tcW w:w="530" w:type="dxa"/>
                  <w:vMerge w:val="continue"/>
                  <w:vAlign w:val="center"/>
                </w:tcPr>
                <w:p>
                  <w:pPr>
                    <w:snapToGrid w:val="0"/>
                    <w:spacing w:line="280" w:lineRule="exact"/>
                    <w:jc w:val="center"/>
                    <w:rPr>
                      <w:rFonts w:hint="default" w:ascii="Times New Roman" w:hAnsi="Times New Roman" w:cs="Times New Roman"/>
                      <w:color w:val="auto"/>
                      <w:sz w:val="18"/>
                      <w:szCs w:val="18"/>
                    </w:rPr>
                  </w:pPr>
                </w:p>
              </w:tc>
              <w:tc>
                <w:tcPr>
                  <w:tcW w:w="706" w:type="dxa"/>
                  <w:vMerge w:val="continue"/>
                  <w:vAlign w:val="center"/>
                </w:tcPr>
                <w:p>
                  <w:pPr>
                    <w:snapToGrid w:val="0"/>
                    <w:spacing w:line="280" w:lineRule="exact"/>
                    <w:jc w:val="center"/>
                    <w:rPr>
                      <w:rFonts w:hint="default" w:ascii="Times New Roman" w:hAnsi="Times New Roman" w:cs="Times New Roman"/>
                      <w:color w:val="auto"/>
                      <w:sz w:val="18"/>
                      <w:szCs w:val="18"/>
                    </w:rPr>
                  </w:pPr>
                </w:p>
              </w:tc>
              <w:tc>
                <w:tcPr>
                  <w:tcW w:w="706" w:type="dxa"/>
                  <w:vMerge w:val="continue"/>
                  <w:vAlign w:val="center"/>
                </w:tcPr>
                <w:p>
                  <w:pPr>
                    <w:snapToGrid w:val="0"/>
                    <w:spacing w:line="280" w:lineRule="exact"/>
                    <w:jc w:val="center"/>
                    <w:rPr>
                      <w:rFonts w:hint="default" w:ascii="Times New Roman" w:hAnsi="Times New Roman" w:cs="Times New Roman"/>
                      <w:color w:val="auto"/>
                      <w:sz w:val="18"/>
                      <w:szCs w:val="18"/>
                    </w:rPr>
                  </w:pPr>
                </w:p>
              </w:tc>
              <w:tc>
                <w:tcPr>
                  <w:tcW w:w="706" w:type="dxa"/>
                  <w:vAlign w:val="center"/>
                </w:tcPr>
                <w:p>
                  <w:pPr>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声压级/dB（A）</w:t>
                  </w:r>
                </w:p>
              </w:tc>
              <w:tc>
                <w:tcPr>
                  <w:tcW w:w="456" w:type="dxa"/>
                  <w:vAlign w:val="center"/>
                </w:tcPr>
                <w:p>
                  <w:pPr>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建筑物外距离/m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04" w:type="dxa"/>
                  <w:vMerge w:val="restart"/>
                  <w:vAlign w:val="center"/>
                </w:tcPr>
                <w:p>
                  <w:pPr>
                    <w:snapToGrid w:val="0"/>
                    <w:spacing w:line="28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生产车间</w:t>
                  </w:r>
                </w:p>
              </w:tc>
              <w:tc>
                <w:tcPr>
                  <w:tcW w:w="943" w:type="dxa"/>
                  <w:vAlign w:val="center"/>
                </w:tcPr>
                <w:p>
                  <w:pPr>
                    <w:snapToGrid w:val="0"/>
                    <w:spacing w:line="28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洗</w:t>
                  </w:r>
                  <w:r>
                    <w:rPr>
                      <w:rFonts w:hint="default" w:ascii="Times New Roman" w:hAnsi="Times New Roman" w:cs="Times New Roman"/>
                      <w:color w:val="auto"/>
                      <w:sz w:val="18"/>
                      <w:szCs w:val="18"/>
                      <w:lang w:val="en-US" w:eastAsia="zh-CN"/>
                    </w:rPr>
                    <w:t>衣</w:t>
                  </w:r>
                  <w:r>
                    <w:rPr>
                      <w:rFonts w:hint="default" w:ascii="Times New Roman" w:hAnsi="Times New Roman" w:eastAsia="宋体" w:cs="Times New Roman"/>
                      <w:color w:val="auto"/>
                      <w:sz w:val="18"/>
                      <w:szCs w:val="18"/>
                      <w:lang w:val="en-US" w:eastAsia="zh-CN"/>
                    </w:rPr>
                    <w:t>机</w:t>
                  </w:r>
                  <w:r>
                    <w:rPr>
                      <w:rFonts w:hint="default" w:ascii="Times New Roman" w:hAnsi="Times New Roman" w:cs="Times New Roman"/>
                      <w:color w:val="auto"/>
                      <w:sz w:val="18"/>
                      <w:szCs w:val="18"/>
                      <w:lang w:val="en-US" w:eastAsia="zh-CN"/>
                    </w:rPr>
                    <w:t>1</w:t>
                  </w:r>
                </w:p>
              </w:tc>
              <w:tc>
                <w:tcPr>
                  <w:tcW w:w="706" w:type="dxa"/>
                  <w:vAlign w:val="center"/>
                </w:tcPr>
                <w:p>
                  <w:pPr>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pacing w:val="4"/>
                      <w:sz w:val="18"/>
                      <w:szCs w:val="18"/>
                      <w:lang w:val="en-US" w:eastAsia="zh-CN"/>
                    </w:rPr>
                    <w:t>70</w:t>
                  </w:r>
                  <w:r>
                    <w:rPr>
                      <w:rFonts w:hint="default" w:ascii="Times New Roman" w:hAnsi="Times New Roman" w:cs="Times New Roman"/>
                      <w:color w:val="auto"/>
                      <w:spacing w:val="4"/>
                      <w:sz w:val="18"/>
                      <w:szCs w:val="18"/>
                    </w:rPr>
                    <w:t>/1</w:t>
                  </w:r>
                </w:p>
              </w:tc>
              <w:tc>
                <w:tcPr>
                  <w:tcW w:w="830" w:type="dxa"/>
                  <w:vMerge w:val="restart"/>
                  <w:vAlign w:val="center"/>
                </w:tcPr>
                <w:p>
                  <w:pPr>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置于封闭车间内，选用低噪声设备，基础减震</w:t>
                  </w:r>
                </w:p>
              </w:tc>
              <w:tc>
                <w:tcPr>
                  <w:tcW w:w="536" w:type="dxa"/>
                  <w:vMerge w:val="restart"/>
                  <w:vAlign w:val="center"/>
                </w:tcPr>
                <w:p>
                  <w:pPr>
                    <w:snapToGrid w:val="0"/>
                    <w:spacing w:line="28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昼夜</w:t>
                  </w:r>
                </w:p>
              </w:tc>
              <w:tc>
                <w:tcPr>
                  <w:tcW w:w="574" w:type="dxa"/>
                  <w:vAlign w:val="center"/>
                </w:tcPr>
                <w:p>
                  <w:pPr>
                    <w:snapToGrid w:val="0"/>
                    <w:spacing w:line="28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w:t>
                  </w:r>
                </w:p>
              </w:tc>
              <w:tc>
                <w:tcPr>
                  <w:tcW w:w="491" w:type="dxa"/>
                  <w:vAlign w:val="center"/>
                </w:tcPr>
                <w:p>
                  <w:pPr>
                    <w:snapToGrid w:val="0"/>
                    <w:spacing w:line="280" w:lineRule="exact"/>
                    <w:jc w:val="center"/>
                    <w:rPr>
                      <w:rFonts w:hint="default" w:ascii="Times New Roman" w:hAnsi="Times New Roman" w:eastAsia="宋体" w:cs="Times New Roman"/>
                      <w:color w:val="auto"/>
                      <w:sz w:val="18"/>
                      <w:szCs w:val="18"/>
                      <w:highlight w:val="none"/>
                      <w:lang w:val="en-US" w:eastAsia="zh-CN"/>
                    </w:rPr>
                  </w:pPr>
                  <w:r>
                    <w:rPr>
                      <w:rFonts w:hint="eastAsia" w:ascii="Times New Roman" w:cs="Times New Roman"/>
                      <w:color w:val="auto"/>
                      <w:sz w:val="18"/>
                      <w:szCs w:val="18"/>
                      <w:highlight w:val="none"/>
                      <w:lang w:val="en-US" w:eastAsia="zh-CN"/>
                    </w:rPr>
                    <w:t>41</w:t>
                  </w:r>
                </w:p>
              </w:tc>
              <w:tc>
                <w:tcPr>
                  <w:tcW w:w="441" w:type="dxa"/>
                  <w:vAlign w:val="center"/>
                </w:tcPr>
                <w:p>
                  <w:pPr>
                    <w:snapToGrid w:val="0"/>
                    <w:spacing w:line="28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0.5</w:t>
                  </w:r>
                </w:p>
              </w:tc>
              <w:tc>
                <w:tcPr>
                  <w:tcW w:w="530" w:type="dxa"/>
                  <w:vAlign w:val="center"/>
                </w:tcPr>
                <w:p>
                  <w:pPr>
                    <w:snapToGrid w:val="0"/>
                    <w:spacing w:line="280" w:lineRule="exact"/>
                    <w:jc w:val="center"/>
                    <w:rPr>
                      <w:rFonts w:hint="default" w:ascii="Times New Roman" w:hAnsi="Times New Roman" w:eastAsia="宋体" w:cs="Times New Roman"/>
                      <w:color w:val="auto"/>
                      <w:sz w:val="18"/>
                      <w:szCs w:val="18"/>
                      <w:highlight w:val="none"/>
                      <w:lang w:val="en-US" w:eastAsia="zh-CN"/>
                    </w:rPr>
                  </w:pPr>
                  <w:r>
                    <w:rPr>
                      <w:rFonts w:hint="eastAsia" w:ascii="Times New Roman" w:cs="Times New Roman"/>
                      <w:color w:val="auto"/>
                      <w:sz w:val="18"/>
                      <w:szCs w:val="18"/>
                      <w:highlight w:val="none"/>
                      <w:lang w:val="en-US" w:eastAsia="zh-CN"/>
                    </w:rPr>
                    <w:t>1.5</w:t>
                  </w:r>
                </w:p>
              </w:tc>
              <w:tc>
                <w:tcPr>
                  <w:tcW w:w="706"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66 </w:t>
                  </w:r>
                </w:p>
              </w:tc>
              <w:tc>
                <w:tcPr>
                  <w:tcW w:w="706"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w:t>
                  </w:r>
                </w:p>
              </w:tc>
              <w:tc>
                <w:tcPr>
                  <w:tcW w:w="706"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46 </w:t>
                  </w:r>
                </w:p>
              </w:tc>
              <w:tc>
                <w:tcPr>
                  <w:tcW w:w="456" w:type="dxa"/>
                  <w:vAlign w:val="center"/>
                </w:tcPr>
                <w:p>
                  <w:pPr>
                    <w:snapToGrid w:val="0"/>
                    <w:spacing w:line="28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04" w:type="dxa"/>
                  <w:vMerge w:val="continue"/>
                  <w:vAlign w:val="center"/>
                </w:tcPr>
                <w:p>
                  <w:pPr>
                    <w:snapToGrid w:val="0"/>
                    <w:spacing w:line="280" w:lineRule="exact"/>
                    <w:jc w:val="center"/>
                    <w:rPr>
                      <w:rFonts w:hint="default" w:ascii="Times New Roman" w:hAnsi="Times New Roman" w:cs="Times New Roman"/>
                      <w:color w:val="auto"/>
                      <w:sz w:val="18"/>
                      <w:szCs w:val="18"/>
                      <w:lang w:val="en-US" w:eastAsia="zh-CN"/>
                    </w:rPr>
                  </w:pPr>
                </w:p>
              </w:tc>
              <w:tc>
                <w:tcPr>
                  <w:tcW w:w="943" w:type="dxa"/>
                  <w:vAlign w:val="center"/>
                </w:tcPr>
                <w:p>
                  <w:pPr>
                    <w:snapToGrid w:val="0"/>
                    <w:spacing w:line="28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洗</w:t>
                  </w:r>
                  <w:r>
                    <w:rPr>
                      <w:rFonts w:hint="default" w:ascii="Times New Roman" w:hAnsi="Times New Roman" w:cs="Times New Roman"/>
                      <w:color w:val="auto"/>
                      <w:sz w:val="18"/>
                      <w:szCs w:val="18"/>
                      <w:lang w:val="en-US" w:eastAsia="zh-CN"/>
                    </w:rPr>
                    <w:t>衣</w:t>
                  </w:r>
                  <w:r>
                    <w:rPr>
                      <w:rFonts w:hint="default" w:ascii="Times New Roman" w:hAnsi="Times New Roman" w:eastAsia="宋体" w:cs="Times New Roman"/>
                      <w:color w:val="auto"/>
                      <w:sz w:val="18"/>
                      <w:szCs w:val="18"/>
                      <w:lang w:val="en-US" w:eastAsia="zh-CN"/>
                    </w:rPr>
                    <w:t>机</w:t>
                  </w:r>
                  <w:r>
                    <w:rPr>
                      <w:rFonts w:hint="default" w:ascii="Times New Roman" w:hAnsi="Times New Roman" w:cs="Times New Roman"/>
                      <w:color w:val="auto"/>
                      <w:sz w:val="18"/>
                      <w:szCs w:val="18"/>
                      <w:lang w:val="en-US" w:eastAsia="zh-CN"/>
                    </w:rPr>
                    <w:t>2</w:t>
                  </w:r>
                </w:p>
              </w:tc>
              <w:tc>
                <w:tcPr>
                  <w:tcW w:w="706" w:type="dxa"/>
                  <w:vAlign w:val="center"/>
                </w:tcPr>
                <w:p>
                  <w:pPr>
                    <w:snapToGrid w:val="0"/>
                    <w:spacing w:line="280" w:lineRule="exact"/>
                    <w:jc w:val="center"/>
                    <w:rPr>
                      <w:rFonts w:hint="default" w:ascii="Times New Roman" w:hAnsi="Times New Roman" w:cs="Times New Roman"/>
                      <w:color w:val="auto"/>
                      <w:spacing w:val="4"/>
                      <w:sz w:val="18"/>
                      <w:szCs w:val="18"/>
                      <w:lang w:val="en-US" w:eastAsia="zh-CN"/>
                    </w:rPr>
                  </w:pPr>
                  <w:r>
                    <w:rPr>
                      <w:rFonts w:hint="default" w:ascii="Times New Roman" w:hAnsi="Times New Roman" w:cs="Times New Roman"/>
                      <w:color w:val="auto"/>
                      <w:spacing w:val="4"/>
                      <w:sz w:val="18"/>
                      <w:szCs w:val="18"/>
                      <w:lang w:val="en-US" w:eastAsia="zh-CN"/>
                    </w:rPr>
                    <w:t>70</w:t>
                  </w:r>
                  <w:r>
                    <w:rPr>
                      <w:rFonts w:hint="default" w:ascii="Times New Roman" w:hAnsi="Times New Roman" w:cs="Times New Roman"/>
                      <w:color w:val="auto"/>
                      <w:spacing w:val="4"/>
                      <w:sz w:val="18"/>
                      <w:szCs w:val="18"/>
                    </w:rPr>
                    <w:t>/1</w:t>
                  </w:r>
                </w:p>
              </w:tc>
              <w:tc>
                <w:tcPr>
                  <w:tcW w:w="830" w:type="dxa"/>
                  <w:vMerge w:val="continue"/>
                  <w:vAlign w:val="center"/>
                </w:tcPr>
                <w:p>
                  <w:pPr>
                    <w:snapToGrid w:val="0"/>
                    <w:spacing w:line="280" w:lineRule="exact"/>
                    <w:jc w:val="center"/>
                    <w:rPr>
                      <w:rFonts w:hint="default" w:ascii="Times New Roman" w:hAnsi="Times New Roman" w:cs="Times New Roman"/>
                      <w:color w:val="auto"/>
                      <w:sz w:val="18"/>
                      <w:szCs w:val="18"/>
                    </w:rPr>
                  </w:pPr>
                </w:p>
              </w:tc>
              <w:tc>
                <w:tcPr>
                  <w:tcW w:w="536" w:type="dxa"/>
                  <w:vMerge w:val="continue"/>
                  <w:vAlign w:val="center"/>
                </w:tcPr>
                <w:p>
                  <w:pPr>
                    <w:snapToGrid w:val="0"/>
                    <w:spacing w:line="280" w:lineRule="exact"/>
                    <w:jc w:val="center"/>
                    <w:rPr>
                      <w:rFonts w:hint="default" w:ascii="Times New Roman" w:hAnsi="Times New Roman" w:cs="Times New Roman"/>
                      <w:color w:val="auto"/>
                      <w:sz w:val="18"/>
                      <w:szCs w:val="18"/>
                      <w:lang w:val="en-US" w:eastAsia="zh-CN"/>
                    </w:rPr>
                  </w:pPr>
                </w:p>
              </w:tc>
              <w:tc>
                <w:tcPr>
                  <w:tcW w:w="574"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w:t>
                  </w:r>
                </w:p>
              </w:tc>
              <w:tc>
                <w:tcPr>
                  <w:tcW w:w="491"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cs="Times New Roman"/>
                      <w:color w:val="auto"/>
                      <w:sz w:val="18"/>
                      <w:szCs w:val="18"/>
                      <w:highlight w:val="none"/>
                      <w:lang w:val="en-US" w:eastAsia="zh-CN"/>
                    </w:rPr>
                    <w:t>41</w:t>
                  </w:r>
                </w:p>
              </w:tc>
              <w:tc>
                <w:tcPr>
                  <w:tcW w:w="441"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0.5</w:t>
                  </w:r>
                </w:p>
              </w:tc>
              <w:tc>
                <w:tcPr>
                  <w:tcW w:w="530"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cs="Times New Roman"/>
                      <w:color w:val="auto"/>
                      <w:sz w:val="18"/>
                      <w:szCs w:val="18"/>
                      <w:highlight w:val="none"/>
                      <w:lang w:val="en-US" w:eastAsia="zh-CN"/>
                    </w:rPr>
                    <w:t>1.5</w:t>
                  </w:r>
                </w:p>
              </w:tc>
              <w:tc>
                <w:tcPr>
                  <w:tcW w:w="706"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66 </w:t>
                  </w:r>
                </w:p>
              </w:tc>
              <w:tc>
                <w:tcPr>
                  <w:tcW w:w="706"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w:t>
                  </w:r>
                </w:p>
              </w:tc>
              <w:tc>
                <w:tcPr>
                  <w:tcW w:w="706"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46 </w:t>
                  </w:r>
                </w:p>
              </w:tc>
              <w:tc>
                <w:tcPr>
                  <w:tcW w:w="456" w:type="dxa"/>
                  <w:vAlign w:val="center"/>
                </w:tcPr>
                <w:p>
                  <w:pPr>
                    <w:snapToGrid w:val="0"/>
                    <w:spacing w:line="28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04" w:type="dxa"/>
                  <w:vMerge w:val="continue"/>
                  <w:vAlign w:val="center"/>
                </w:tcPr>
                <w:p>
                  <w:pPr>
                    <w:snapToGrid w:val="0"/>
                    <w:spacing w:line="280" w:lineRule="exact"/>
                    <w:jc w:val="center"/>
                    <w:rPr>
                      <w:rFonts w:hint="default" w:ascii="Times New Roman" w:hAnsi="Times New Roman" w:cs="Times New Roman"/>
                      <w:color w:val="auto"/>
                      <w:sz w:val="18"/>
                      <w:szCs w:val="18"/>
                      <w:lang w:val="en-US" w:eastAsia="zh-CN"/>
                    </w:rPr>
                  </w:pPr>
                </w:p>
              </w:tc>
              <w:tc>
                <w:tcPr>
                  <w:tcW w:w="943" w:type="dxa"/>
                  <w:vAlign w:val="center"/>
                </w:tcPr>
                <w:p>
                  <w:pPr>
                    <w:snapToGrid w:val="0"/>
                    <w:spacing w:line="28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洗</w:t>
                  </w:r>
                  <w:r>
                    <w:rPr>
                      <w:rFonts w:hint="default" w:ascii="Times New Roman" w:hAnsi="Times New Roman" w:cs="Times New Roman"/>
                      <w:color w:val="auto"/>
                      <w:sz w:val="18"/>
                      <w:szCs w:val="18"/>
                      <w:lang w:val="en-US" w:eastAsia="zh-CN"/>
                    </w:rPr>
                    <w:t>衣</w:t>
                  </w:r>
                  <w:r>
                    <w:rPr>
                      <w:rFonts w:hint="default" w:ascii="Times New Roman" w:hAnsi="Times New Roman" w:eastAsia="宋体" w:cs="Times New Roman"/>
                      <w:color w:val="auto"/>
                      <w:sz w:val="18"/>
                      <w:szCs w:val="18"/>
                      <w:lang w:val="en-US" w:eastAsia="zh-CN"/>
                    </w:rPr>
                    <w:t>机</w:t>
                  </w:r>
                  <w:r>
                    <w:rPr>
                      <w:rFonts w:hint="default" w:ascii="Times New Roman" w:hAnsi="Times New Roman" w:cs="Times New Roman"/>
                      <w:color w:val="auto"/>
                      <w:sz w:val="18"/>
                      <w:szCs w:val="18"/>
                      <w:lang w:val="en-US" w:eastAsia="zh-CN"/>
                    </w:rPr>
                    <w:t>3</w:t>
                  </w:r>
                </w:p>
              </w:tc>
              <w:tc>
                <w:tcPr>
                  <w:tcW w:w="706" w:type="dxa"/>
                  <w:vAlign w:val="center"/>
                </w:tcPr>
                <w:p>
                  <w:pPr>
                    <w:snapToGrid w:val="0"/>
                    <w:spacing w:line="280" w:lineRule="exact"/>
                    <w:jc w:val="center"/>
                    <w:rPr>
                      <w:rFonts w:hint="default" w:ascii="Times New Roman" w:hAnsi="Times New Roman" w:cs="Times New Roman"/>
                      <w:color w:val="auto"/>
                      <w:spacing w:val="4"/>
                      <w:sz w:val="18"/>
                      <w:szCs w:val="18"/>
                      <w:lang w:val="en-US" w:eastAsia="zh-CN"/>
                    </w:rPr>
                  </w:pPr>
                  <w:r>
                    <w:rPr>
                      <w:rFonts w:hint="default" w:ascii="Times New Roman" w:hAnsi="Times New Roman" w:cs="Times New Roman"/>
                      <w:color w:val="auto"/>
                      <w:spacing w:val="4"/>
                      <w:sz w:val="18"/>
                      <w:szCs w:val="18"/>
                      <w:lang w:val="en-US" w:eastAsia="zh-CN"/>
                    </w:rPr>
                    <w:t>70</w:t>
                  </w:r>
                  <w:r>
                    <w:rPr>
                      <w:rFonts w:hint="default" w:ascii="Times New Roman" w:hAnsi="Times New Roman" w:cs="Times New Roman"/>
                      <w:color w:val="auto"/>
                      <w:spacing w:val="4"/>
                      <w:sz w:val="18"/>
                      <w:szCs w:val="18"/>
                    </w:rPr>
                    <w:t>/1</w:t>
                  </w:r>
                </w:p>
              </w:tc>
              <w:tc>
                <w:tcPr>
                  <w:tcW w:w="830" w:type="dxa"/>
                  <w:vMerge w:val="continue"/>
                  <w:vAlign w:val="center"/>
                </w:tcPr>
                <w:p>
                  <w:pPr>
                    <w:snapToGrid w:val="0"/>
                    <w:spacing w:line="280" w:lineRule="exact"/>
                    <w:jc w:val="center"/>
                    <w:rPr>
                      <w:rFonts w:hint="default" w:ascii="Times New Roman" w:hAnsi="Times New Roman" w:cs="Times New Roman"/>
                      <w:color w:val="auto"/>
                      <w:sz w:val="18"/>
                      <w:szCs w:val="18"/>
                    </w:rPr>
                  </w:pPr>
                </w:p>
              </w:tc>
              <w:tc>
                <w:tcPr>
                  <w:tcW w:w="536" w:type="dxa"/>
                  <w:vMerge w:val="continue"/>
                  <w:vAlign w:val="center"/>
                </w:tcPr>
                <w:p>
                  <w:pPr>
                    <w:snapToGrid w:val="0"/>
                    <w:spacing w:line="280" w:lineRule="exact"/>
                    <w:jc w:val="center"/>
                    <w:rPr>
                      <w:rFonts w:hint="default" w:ascii="Times New Roman" w:hAnsi="Times New Roman" w:cs="Times New Roman"/>
                      <w:color w:val="auto"/>
                      <w:sz w:val="18"/>
                      <w:szCs w:val="18"/>
                      <w:lang w:val="en-US" w:eastAsia="zh-CN"/>
                    </w:rPr>
                  </w:pPr>
                </w:p>
              </w:tc>
              <w:tc>
                <w:tcPr>
                  <w:tcW w:w="574"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w:t>
                  </w:r>
                </w:p>
              </w:tc>
              <w:tc>
                <w:tcPr>
                  <w:tcW w:w="491"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cs="Times New Roman"/>
                      <w:color w:val="auto"/>
                      <w:sz w:val="18"/>
                      <w:szCs w:val="18"/>
                      <w:highlight w:val="none"/>
                      <w:lang w:val="en-US" w:eastAsia="zh-CN"/>
                    </w:rPr>
                    <w:t>41</w:t>
                  </w:r>
                </w:p>
              </w:tc>
              <w:tc>
                <w:tcPr>
                  <w:tcW w:w="441"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0.5</w:t>
                  </w:r>
                </w:p>
              </w:tc>
              <w:tc>
                <w:tcPr>
                  <w:tcW w:w="530"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cs="Times New Roman"/>
                      <w:color w:val="auto"/>
                      <w:sz w:val="18"/>
                      <w:szCs w:val="18"/>
                      <w:highlight w:val="none"/>
                      <w:lang w:val="en-US" w:eastAsia="zh-CN"/>
                    </w:rPr>
                    <w:t>1.5</w:t>
                  </w:r>
                </w:p>
              </w:tc>
              <w:tc>
                <w:tcPr>
                  <w:tcW w:w="706"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66 </w:t>
                  </w:r>
                </w:p>
              </w:tc>
              <w:tc>
                <w:tcPr>
                  <w:tcW w:w="706"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w:t>
                  </w:r>
                </w:p>
              </w:tc>
              <w:tc>
                <w:tcPr>
                  <w:tcW w:w="706"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46 </w:t>
                  </w:r>
                </w:p>
              </w:tc>
              <w:tc>
                <w:tcPr>
                  <w:tcW w:w="456" w:type="dxa"/>
                  <w:vAlign w:val="center"/>
                </w:tcPr>
                <w:p>
                  <w:pPr>
                    <w:snapToGrid w:val="0"/>
                    <w:spacing w:line="28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04" w:type="dxa"/>
                  <w:vMerge w:val="continue"/>
                  <w:vAlign w:val="center"/>
                </w:tcPr>
                <w:p>
                  <w:pPr>
                    <w:snapToGrid w:val="0"/>
                    <w:spacing w:line="280" w:lineRule="exact"/>
                    <w:jc w:val="center"/>
                    <w:rPr>
                      <w:rFonts w:hint="default" w:ascii="Times New Roman" w:hAnsi="Times New Roman" w:cs="Times New Roman"/>
                      <w:color w:val="auto"/>
                      <w:sz w:val="18"/>
                      <w:szCs w:val="18"/>
                      <w:lang w:val="en-US" w:eastAsia="zh-CN"/>
                    </w:rPr>
                  </w:pPr>
                </w:p>
              </w:tc>
              <w:tc>
                <w:tcPr>
                  <w:tcW w:w="943" w:type="dxa"/>
                  <w:vAlign w:val="center"/>
                </w:tcPr>
                <w:p>
                  <w:pPr>
                    <w:snapToGrid w:val="0"/>
                    <w:spacing w:line="28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洗</w:t>
                  </w:r>
                  <w:r>
                    <w:rPr>
                      <w:rFonts w:hint="default" w:ascii="Times New Roman" w:hAnsi="Times New Roman" w:cs="Times New Roman"/>
                      <w:color w:val="auto"/>
                      <w:sz w:val="18"/>
                      <w:szCs w:val="18"/>
                      <w:lang w:val="en-US" w:eastAsia="zh-CN"/>
                    </w:rPr>
                    <w:t>衣</w:t>
                  </w:r>
                  <w:r>
                    <w:rPr>
                      <w:rFonts w:hint="default" w:ascii="Times New Roman" w:hAnsi="Times New Roman" w:eastAsia="宋体" w:cs="Times New Roman"/>
                      <w:color w:val="auto"/>
                      <w:sz w:val="18"/>
                      <w:szCs w:val="18"/>
                      <w:lang w:val="en-US" w:eastAsia="zh-CN"/>
                    </w:rPr>
                    <w:t>机</w:t>
                  </w:r>
                  <w:r>
                    <w:rPr>
                      <w:rFonts w:hint="default" w:ascii="Times New Roman" w:hAnsi="Times New Roman" w:cs="Times New Roman"/>
                      <w:color w:val="auto"/>
                      <w:sz w:val="18"/>
                      <w:szCs w:val="18"/>
                      <w:lang w:val="en-US" w:eastAsia="zh-CN"/>
                    </w:rPr>
                    <w:t>4</w:t>
                  </w:r>
                </w:p>
              </w:tc>
              <w:tc>
                <w:tcPr>
                  <w:tcW w:w="706" w:type="dxa"/>
                  <w:vAlign w:val="center"/>
                </w:tcPr>
                <w:p>
                  <w:pPr>
                    <w:snapToGrid w:val="0"/>
                    <w:spacing w:line="280" w:lineRule="exact"/>
                    <w:jc w:val="center"/>
                    <w:rPr>
                      <w:rFonts w:hint="default" w:ascii="Times New Roman" w:hAnsi="Times New Roman" w:cs="Times New Roman"/>
                      <w:color w:val="auto"/>
                      <w:spacing w:val="4"/>
                      <w:sz w:val="18"/>
                      <w:szCs w:val="18"/>
                      <w:lang w:val="en-US" w:eastAsia="zh-CN"/>
                    </w:rPr>
                  </w:pPr>
                  <w:r>
                    <w:rPr>
                      <w:rFonts w:hint="default" w:ascii="Times New Roman" w:hAnsi="Times New Roman" w:cs="Times New Roman"/>
                      <w:color w:val="auto"/>
                      <w:spacing w:val="4"/>
                      <w:sz w:val="18"/>
                      <w:szCs w:val="18"/>
                      <w:lang w:val="en-US" w:eastAsia="zh-CN"/>
                    </w:rPr>
                    <w:t>70</w:t>
                  </w:r>
                  <w:r>
                    <w:rPr>
                      <w:rFonts w:hint="default" w:ascii="Times New Roman" w:hAnsi="Times New Roman" w:cs="Times New Roman"/>
                      <w:color w:val="auto"/>
                      <w:spacing w:val="4"/>
                      <w:sz w:val="18"/>
                      <w:szCs w:val="18"/>
                    </w:rPr>
                    <w:t>/1</w:t>
                  </w:r>
                </w:p>
              </w:tc>
              <w:tc>
                <w:tcPr>
                  <w:tcW w:w="830" w:type="dxa"/>
                  <w:vMerge w:val="continue"/>
                  <w:vAlign w:val="center"/>
                </w:tcPr>
                <w:p>
                  <w:pPr>
                    <w:snapToGrid w:val="0"/>
                    <w:spacing w:line="280" w:lineRule="exact"/>
                    <w:jc w:val="center"/>
                    <w:rPr>
                      <w:rFonts w:hint="default" w:ascii="Times New Roman" w:hAnsi="Times New Roman" w:cs="Times New Roman"/>
                      <w:color w:val="auto"/>
                      <w:sz w:val="18"/>
                      <w:szCs w:val="18"/>
                    </w:rPr>
                  </w:pPr>
                </w:p>
              </w:tc>
              <w:tc>
                <w:tcPr>
                  <w:tcW w:w="536" w:type="dxa"/>
                  <w:vMerge w:val="continue"/>
                  <w:vAlign w:val="center"/>
                </w:tcPr>
                <w:p>
                  <w:pPr>
                    <w:snapToGrid w:val="0"/>
                    <w:spacing w:line="280" w:lineRule="exact"/>
                    <w:jc w:val="center"/>
                    <w:rPr>
                      <w:rFonts w:hint="default" w:ascii="Times New Roman" w:hAnsi="Times New Roman" w:cs="Times New Roman"/>
                      <w:color w:val="auto"/>
                      <w:sz w:val="18"/>
                      <w:szCs w:val="18"/>
                      <w:lang w:val="en-US" w:eastAsia="zh-CN"/>
                    </w:rPr>
                  </w:pPr>
                </w:p>
              </w:tc>
              <w:tc>
                <w:tcPr>
                  <w:tcW w:w="574"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6</w:t>
                  </w:r>
                </w:p>
              </w:tc>
              <w:tc>
                <w:tcPr>
                  <w:tcW w:w="491"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cs="Times New Roman"/>
                      <w:color w:val="auto"/>
                      <w:sz w:val="18"/>
                      <w:szCs w:val="18"/>
                      <w:highlight w:val="none"/>
                      <w:lang w:val="en-US" w:eastAsia="zh-CN"/>
                    </w:rPr>
                    <w:t>41</w:t>
                  </w:r>
                </w:p>
              </w:tc>
              <w:tc>
                <w:tcPr>
                  <w:tcW w:w="441"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0.5</w:t>
                  </w:r>
                </w:p>
              </w:tc>
              <w:tc>
                <w:tcPr>
                  <w:tcW w:w="530"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cs="Times New Roman"/>
                      <w:color w:val="auto"/>
                      <w:sz w:val="18"/>
                      <w:szCs w:val="18"/>
                      <w:highlight w:val="none"/>
                      <w:lang w:val="en-US" w:eastAsia="zh-CN"/>
                    </w:rPr>
                    <w:t>1.5</w:t>
                  </w:r>
                </w:p>
              </w:tc>
              <w:tc>
                <w:tcPr>
                  <w:tcW w:w="706"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66 </w:t>
                  </w:r>
                </w:p>
              </w:tc>
              <w:tc>
                <w:tcPr>
                  <w:tcW w:w="706"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w:t>
                  </w:r>
                </w:p>
              </w:tc>
              <w:tc>
                <w:tcPr>
                  <w:tcW w:w="706"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46 </w:t>
                  </w:r>
                </w:p>
              </w:tc>
              <w:tc>
                <w:tcPr>
                  <w:tcW w:w="456" w:type="dxa"/>
                  <w:vAlign w:val="center"/>
                </w:tcPr>
                <w:p>
                  <w:pPr>
                    <w:snapToGrid w:val="0"/>
                    <w:spacing w:line="28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04" w:type="dxa"/>
                  <w:vMerge w:val="continue"/>
                  <w:vAlign w:val="center"/>
                </w:tcPr>
                <w:p>
                  <w:pPr>
                    <w:snapToGrid w:val="0"/>
                    <w:spacing w:line="280" w:lineRule="exact"/>
                    <w:jc w:val="center"/>
                    <w:rPr>
                      <w:rFonts w:hint="default" w:ascii="Times New Roman" w:hAnsi="Times New Roman" w:cs="Times New Roman"/>
                      <w:color w:val="auto"/>
                      <w:sz w:val="18"/>
                      <w:szCs w:val="18"/>
                    </w:rPr>
                  </w:pPr>
                </w:p>
              </w:tc>
              <w:tc>
                <w:tcPr>
                  <w:tcW w:w="943" w:type="dxa"/>
                  <w:vAlign w:val="center"/>
                </w:tcPr>
                <w:p>
                  <w:pPr>
                    <w:snapToGrid w:val="0"/>
                    <w:spacing w:line="280" w:lineRule="exact"/>
                    <w:jc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洗</w:t>
                  </w:r>
                  <w:r>
                    <w:rPr>
                      <w:rFonts w:hint="default" w:ascii="Times New Roman" w:hAnsi="Times New Roman" w:cs="Times New Roman"/>
                      <w:color w:val="auto"/>
                      <w:sz w:val="18"/>
                      <w:szCs w:val="18"/>
                      <w:lang w:val="en-US" w:eastAsia="zh-CN"/>
                    </w:rPr>
                    <w:t>衣</w:t>
                  </w:r>
                  <w:r>
                    <w:rPr>
                      <w:rFonts w:hint="default" w:ascii="Times New Roman" w:hAnsi="Times New Roman" w:eastAsia="宋体" w:cs="Times New Roman"/>
                      <w:color w:val="auto"/>
                      <w:sz w:val="18"/>
                      <w:szCs w:val="18"/>
                      <w:lang w:val="en-US" w:eastAsia="zh-CN"/>
                    </w:rPr>
                    <w:t>机</w:t>
                  </w:r>
                  <w:r>
                    <w:rPr>
                      <w:rFonts w:hint="default" w:ascii="Times New Roman" w:hAnsi="Times New Roman" w:cs="Times New Roman"/>
                      <w:color w:val="auto"/>
                      <w:sz w:val="18"/>
                      <w:szCs w:val="18"/>
                      <w:lang w:val="en-US" w:eastAsia="zh-CN"/>
                    </w:rPr>
                    <w:t>5</w:t>
                  </w:r>
                </w:p>
              </w:tc>
              <w:tc>
                <w:tcPr>
                  <w:tcW w:w="706" w:type="dxa"/>
                  <w:vAlign w:val="center"/>
                </w:tcPr>
                <w:p>
                  <w:pPr>
                    <w:snapToGrid w:val="0"/>
                    <w:spacing w:line="280" w:lineRule="exact"/>
                    <w:jc w:val="center"/>
                    <w:rPr>
                      <w:rFonts w:hint="default" w:ascii="Times New Roman" w:hAnsi="Times New Roman" w:cs="Times New Roman"/>
                      <w:color w:val="auto"/>
                      <w:spacing w:val="4"/>
                      <w:sz w:val="18"/>
                      <w:szCs w:val="18"/>
                      <w:lang w:val="en-US" w:eastAsia="zh-CN"/>
                    </w:rPr>
                  </w:pPr>
                  <w:r>
                    <w:rPr>
                      <w:rFonts w:hint="default" w:ascii="Times New Roman" w:hAnsi="Times New Roman" w:cs="Times New Roman"/>
                      <w:color w:val="auto"/>
                      <w:spacing w:val="4"/>
                      <w:sz w:val="18"/>
                      <w:szCs w:val="18"/>
                      <w:lang w:val="en-US" w:eastAsia="zh-CN"/>
                    </w:rPr>
                    <w:t>70</w:t>
                  </w:r>
                  <w:r>
                    <w:rPr>
                      <w:rFonts w:hint="default" w:ascii="Times New Roman" w:hAnsi="Times New Roman" w:cs="Times New Roman"/>
                      <w:color w:val="auto"/>
                      <w:spacing w:val="4"/>
                      <w:sz w:val="18"/>
                      <w:szCs w:val="18"/>
                    </w:rPr>
                    <w:t>/1</w:t>
                  </w:r>
                </w:p>
              </w:tc>
              <w:tc>
                <w:tcPr>
                  <w:tcW w:w="830" w:type="dxa"/>
                  <w:vMerge w:val="continue"/>
                  <w:vAlign w:val="center"/>
                </w:tcPr>
                <w:p>
                  <w:pPr>
                    <w:snapToGrid w:val="0"/>
                    <w:spacing w:line="280" w:lineRule="exact"/>
                    <w:jc w:val="center"/>
                    <w:rPr>
                      <w:rFonts w:hint="default" w:ascii="Times New Roman" w:hAnsi="Times New Roman" w:cs="Times New Roman"/>
                      <w:color w:val="auto"/>
                      <w:sz w:val="18"/>
                      <w:szCs w:val="18"/>
                    </w:rPr>
                  </w:pPr>
                </w:p>
              </w:tc>
              <w:tc>
                <w:tcPr>
                  <w:tcW w:w="536" w:type="dxa"/>
                  <w:vMerge w:val="continue"/>
                  <w:vAlign w:val="center"/>
                </w:tcPr>
                <w:p>
                  <w:pPr>
                    <w:snapToGrid w:val="0"/>
                    <w:spacing w:line="280" w:lineRule="exact"/>
                    <w:jc w:val="center"/>
                    <w:rPr>
                      <w:rFonts w:hint="default" w:ascii="Times New Roman" w:hAnsi="Times New Roman" w:cs="Times New Roman"/>
                      <w:color w:val="auto"/>
                      <w:sz w:val="18"/>
                      <w:szCs w:val="18"/>
                      <w:lang w:val="en-US" w:eastAsia="zh-CN"/>
                    </w:rPr>
                  </w:pPr>
                </w:p>
              </w:tc>
              <w:tc>
                <w:tcPr>
                  <w:tcW w:w="574"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w:t>
                  </w:r>
                </w:p>
              </w:tc>
              <w:tc>
                <w:tcPr>
                  <w:tcW w:w="491"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cs="Times New Roman"/>
                      <w:color w:val="auto"/>
                      <w:sz w:val="18"/>
                      <w:szCs w:val="18"/>
                      <w:highlight w:val="none"/>
                      <w:lang w:val="en-US" w:eastAsia="zh-CN"/>
                    </w:rPr>
                    <w:t>41</w:t>
                  </w:r>
                </w:p>
              </w:tc>
              <w:tc>
                <w:tcPr>
                  <w:tcW w:w="441"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0.5</w:t>
                  </w:r>
                </w:p>
              </w:tc>
              <w:tc>
                <w:tcPr>
                  <w:tcW w:w="530"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cs="Times New Roman"/>
                      <w:color w:val="auto"/>
                      <w:sz w:val="18"/>
                      <w:szCs w:val="18"/>
                      <w:highlight w:val="none"/>
                      <w:lang w:val="en-US" w:eastAsia="zh-CN"/>
                    </w:rPr>
                    <w:t>1.5</w:t>
                  </w:r>
                </w:p>
              </w:tc>
              <w:tc>
                <w:tcPr>
                  <w:tcW w:w="706"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66 </w:t>
                  </w:r>
                </w:p>
              </w:tc>
              <w:tc>
                <w:tcPr>
                  <w:tcW w:w="706"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w:t>
                  </w:r>
                </w:p>
              </w:tc>
              <w:tc>
                <w:tcPr>
                  <w:tcW w:w="706"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46 </w:t>
                  </w:r>
                </w:p>
              </w:tc>
              <w:tc>
                <w:tcPr>
                  <w:tcW w:w="456" w:type="dxa"/>
                  <w:vAlign w:val="center"/>
                </w:tcPr>
                <w:p>
                  <w:pPr>
                    <w:snapToGrid w:val="0"/>
                    <w:spacing w:line="28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04" w:type="dxa"/>
                  <w:vMerge w:val="continue"/>
                  <w:vAlign w:val="center"/>
                </w:tcPr>
                <w:p>
                  <w:pPr>
                    <w:snapToGrid w:val="0"/>
                    <w:spacing w:line="280" w:lineRule="exact"/>
                    <w:jc w:val="center"/>
                    <w:rPr>
                      <w:rFonts w:hint="default" w:ascii="Times New Roman" w:hAnsi="Times New Roman" w:cs="Times New Roman"/>
                      <w:color w:val="auto"/>
                      <w:sz w:val="18"/>
                      <w:szCs w:val="18"/>
                    </w:rPr>
                  </w:pPr>
                </w:p>
              </w:tc>
              <w:tc>
                <w:tcPr>
                  <w:tcW w:w="943" w:type="dxa"/>
                  <w:vAlign w:val="center"/>
                </w:tcPr>
                <w:p>
                  <w:pPr>
                    <w:snapToGrid w:val="0"/>
                    <w:spacing w:line="280" w:lineRule="exact"/>
                    <w:jc w:val="center"/>
                    <w:rPr>
                      <w:rFonts w:hint="default" w:ascii="Times New Roman" w:hAnsi="Times New Roman"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洗</w:t>
                  </w:r>
                  <w:r>
                    <w:rPr>
                      <w:rFonts w:hint="default" w:ascii="Times New Roman" w:hAnsi="Times New Roman" w:cs="Times New Roman"/>
                      <w:color w:val="auto"/>
                      <w:sz w:val="18"/>
                      <w:szCs w:val="18"/>
                      <w:lang w:val="en-US" w:eastAsia="zh-CN"/>
                    </w:rPr>
                    <w:t>衣</w:t>
                  </w:r>
                  <w:r>
                    <w:rPr>
                      <w:rFonts w:hint="default" w:ascii="Times New Roman" w:hAnsi="Times New Roman" w:eastAsia="宋体" w:cs="Times New Roman"/>
                      <w:color w:val="auto"/>
                      <w:sz w:val="18"/>
                      <w:szCs w:val="18"/>
                      <w:lang w:val="en-US" w:eastAsia="zh-CN"/>
                    </w:rPr>
                    <w:t>机</w:t>
                  </w:r>
                  <w:r>
                    <w:rPr>
                      <w:rFonts w:hint="eastAsia" w:ascii="Times New Roman" w:hAnsi="Times New Roman" w:cs="Times New Roman"/>
                      <w:color w:val="auto"/>
                      <w:sz w:val="18"/>
                      <w:szCs w:val="18"/>
                      <w:lang w:val="en-US" w:eastAsia="zh-CN"/>
                    </w:rPr>
                    <w:t>6</w:t>
                  </w:r>
                </w:p>
              </w:tc>
              <w:tc>
                <w:tcPr>
                  <w:tcW w:w="706" w:type="dxa"/>
                  <w:vAlign w:val="center"/>
                </w:tcPr>
                <w:p>
                  <w:pPr>
                    <w:snapToGrid w:val="0"/>
                    <w:spacing w:line="280" w:lineRule="exact"/>
                    <w:jc w:val="center"/>
                    <w:rPr>
                      <w:rFonts w:hint="default" w:ascii="Times New Roman" w:hAnsi="Times New Roman" w:cs="Times New Roman"/>
                      <w:color w:val="auto"/>
                      <w:spacing w:val="4"/>
                      <w:sz w:val="18"/>
                      <w:szCs w:val="18"/>
                      <w:lang w:val="en-US" w:eastAsia="zh-CN"/>
                    </w:rPr>
                  </w:pPr>
                  <w:r>
                    <w:rPr>
                      <w:rFonts w:hint="default" w:ascii="Times New Roman" w:hAnsi="Times New Roman" w:cs="Times New Roman"/>
                      <w:color w:val="auto"/>
                      <w:spacing w:val="4"/>
                      <w:sz w:val="18"/>
                      <w:szCs w:val="18"/>
                      <w:lang w:val="en-US" w:eastAsia="zh-CN"/>
                    </w:rPr>
                    <w:t>70</w:t>
                  </w:r>
                  <w:r>
                    <w:rPr>
                      <w:rFonts w:hint="default" w:ascii="Times New Roman" w:hAnsi="Times New Roman" w:cs="Times New Roman"/>
                      <w:color w:val="auto"/>
                      <w:spacing w:val="4"/>
                      <w:sz w:val="18"/>
                      <w:szCs w:val="18"/>
                    </w:rPr>
                    <w:t>/1</w:t>
                  </w:r>
                </w:p>
              </w:tc>
              <w:tc>
                <w:tcPr>
                  <w:tcW w:w="830" w:type="dxa"/>
                  <w:vMerge w:val="continue"/>
                  <w:vAlign w:val="center"/>
                </w:tcPr>
                <w:p>
                  <w:pPr>
                    <w:snapToGrid w:val="0"/>
                    <w:spacing w:line="280" w:lineRule="exact"/>
                    <w:jc w:val="center"/>
                    <w:rPr>
                      <w:rFonts w:hint="default" w:ascii="Times New Roman" w:hAnsi="Times New Roman" w:cs="Times New Roman"/>
                      <w:color w:val="auto"/>
                      <w:sz w:val="18"/>
                      <w:szCs w:val="18"/>
                    </w:rPr>
                  </w:pPr>
                </w:p>
              </w:tc>
              <w:tc>
                <w:tcPr>
                  <w:tcW w:w="536" w:type="dxa"/>
                  <w:vMerge w:val="continue"/>
                  <w:vAlign w:val="center"/>
                </w:tcPr>
                <w:p>
                  <w:pPr>
                    <w:snapToGrid w:val="0"/>
                    <w:spacing w:line="280" w:lineRule="exact"/>
                    <w:jc w:val="center"/>
                    <w:rPr>
                      <w:rFonts w:hint="default" w:ascii="Times New Roman" w:hAnsi="Times New Roman" w:cs="Times New Roman"/>
                      <w:color w:val="auto"/>
                      <w:sz w:val="18"/>
                      <w:szCs w:val="18"/>
                      <w:lang w:val="en-US" w:eastAsia="zh-CN"/>
                    </w:rPr>
                  </w:pPr>
                </w:p>
              </w:tc>
              <w:tc>
                <w:tcPr>
                  <w:tcW w:w="574"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cs="Times New Roman"/>
                      <w:color w:val="auto"/>
                      <w:sz w:val="18"/>
                      <w:szCs w:val="18"/>
                      <w:highlight w:val="none"/>
                      <w:lang w:val="en-US" w:eastAsia="zh-CN"/>
                    </w:rPr>
                    <w:t>8</w:t>
                  </w:r>
                </w:p>
              </w:tc>
              <w:tc>
                <w:tcPr>
                  <w:tcW w:w="491"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cs="Times New Roman"/>
                      <w:color w:val="auto"/>
                      <w:sz w:val="18"/>
                      <w:szCs w:val="18"/>
                      <w:highlight w:val="none"/>
                      <w:lang w:val="en-US" w:eastAsia="zh-CN"/>
                    </w:rPr>
                    <w:t>41</w:t>
                  </w:r>
                </w:p>
              </w:tc>
              <w:tc>
                <w:tcPr>
                  <w:tcW w:w="441"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cs="Times New Roman"/>
                      <w:color w:val="auto"/>
                      <w:sz w:val="18"/>
                      <w:szCs w:val="18"/>
                      <w:highlight w:val="none"/>
                      <w:lang w:val="en-US" w:eastAsia="zh-CN"/>
                    </w:rPr>
                    <w:t>0.5</w:t>
                  </w:r>
                </w:p>
              </w:tc>
              <w:tc>
                <w:tcPr>
                  <w:tcW w:w="530"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cs="Times New Roman"/>
                      <w:color w:val="auto"/>
                      <w:sz w:val="18"/>
                      <w:szCs w:val="18"/>
                      <w:highlight w:val="none"/>
                      <w:lang w:val="en-US" w:eastAsia="zh-CN"/>
                    </w:rPr>
                    <w:t>1.5</w:t>
                  </w:r>
                </w:p>
              </w:tc>
              <w:tc>
                <w:tcPr>
                  <w:tcW w:w="706" w:type="dxa"/>
                  <w:shd w:val="clear" w:color="auto" w:fill="auto"/>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66 </w:t>
                  </w:r>
                </w:p>
              </w:tc>
              <w:tc>
                <w:tcPr>
                  <w:tcW w:w="706" w:type="dxa"/>
                  <w:shd w:val="clear" w:color="auto" w:fill="auto"/>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w:t>
                  </w:r>
                </w:p>
              </w:tc>
              <w:tc>
                <w:tcPr>
                  <w:tcW w:w="706" w:type="dxa"/>
                  <w:shd w:val="clear" w:color="auto" w:fill="auto"/>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46 </w:t>
                  </w:r>
                </w:p>
              </w:tc>
              <w:tc>
                <w:tcPr>
                  <w:tcW w:w="456" w:type="dxa"/>
                  <w:vAlign w:val="center"/>
                </w:tcPr>
                <w:p>
                  <w:pPr>
                    <w:snapToGrid w:val="0"/>
                    <w:spacing w:line="280" w:lineRule="exact"/>
                    <w:jc w:val="center"/>
                    <w:rPr>
                      <w:rFonts w:hint="default" w:ascii="Times New Roman" w:hAnsi="Times New Roman" w:cs="Times New Roman"/>
                      <w:color w:val="auto"/>
                      <w:sz w:val="18"/>
                      <w:szCs w:val="18"/>
                      <w:lang w:val="en-US" w:eastAsia="zh-CN"/>
                    </w:rPr>
                  </w:pPr>
                  <w:r>
                    <w:rPr>
                      <w:rFonts w:hint="eastAsia" w:ascii="Times New Roman" w:cs="Times New Roman"/>
                      <w:color w:val="auto"/>
                      <w:sz w:val="18"/>
                      <w:szCs w:val="18"/>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04" w:type="dxa"/>
                  <w:vMerge w:val="continue"/>
                  <w:vAlign w:val="center"/>
                </w:tcPr>
                <w:p>
                  <w:pPr>
                    <w:snapToGrid w:val="0"/>
                    <w:spacing w:line="280" w:lineRule="exact"/>
                    <w:jc w:val="center"/>
                    <w:rPr>
                      <w:rFonts w:hint="default" w:ascii="Times New Roman" w:hAnsi="Times New Roman" w:cs="Times New Roman"/>
                      <w:color w:val="auto"/>
                      <w:sz w:val="18"/>
                      <w:szCs w:val="18"/>
                    </w:rPr>
                  </w:pPr>
                </w:p>
              </w:tc>
              <w:tc>
                <w:tcPr>
                  <w:tcW w:w="943" w:type="dxa"/>
                  <w:vAlign w:val="center"/>
                </w:tcPr>
                <w:p>
                  <w:pPr>
                    <w:snapToGrid w:val="0"/>
                    <w:spacing w:line="28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烘干机1</w:t>
                  </w:r>
                </w:p>
              </w:tc>
              <w:tc>
                <w:tcPr>
                  <w:tcW w:w="706" w:type="dxa"/>
                  <w:vAlign w:val="center"/>
                </w:tcPr>
                <w:p>
                  <w:pPr>
                    <w:snapToGrid w:val="0"/>
                    <w:spacing w:line="280" w:lineRule="exact"/>
                    <w:jc w:val="center"/>
                    <w:rPr>
                      <w:rFonts w:hint="default" w:ascii="Times New Roman" w:hAnsi="Times New Roman" w:cs="Times New Roman"/>
                      <w:color w:val="auto"/>
                      <w:spacing w:val="4"/>
                      <w:sz w:val="18"/>
                      <w:szCs w:val="18"/>
                      <w:lang w:val="en-US" w:eastAsia="zh-CN"/>
                    </w:rPr>
                  </w:pPr>
                  <w:r>
                    <w:rPr>
                      <w:rFonts w:hint="default" w:ascii="Times New Roman" w:hAnsi="Times New Roman" w:cs="Times New Roman"/>
                      <w:color w:val="auto"/>
                      <w:spacing w:val="4"/>
                      <w:sz w:val="18"/>
                      <w:szCs w:val="18"/>
                      <w:lang w:val="en-US" w:eastAsia="zh-CN"/>
                    </w:rPr>
                    <w:t>75</w:t>
                  </w:r>
                  <w:r>
                    <w:rPr>
                      <w:rFonts w:hint="default" w:ascii="Times New Roman" w:hAnsi="Times New Roman" w:cs="Times New Roman"/>
                      <w:color w:val="auto"/>
                      <w:spacing w:val="4"/>
                      <w:sz w:val="18"/>
                      <w:szCs w:val="18"/>
                    </w:rPr>
                    <w:t>/1</w:t>
                  </w:r>
                </w:p>
              </w:tc>
              <w:tc>
                <w:tcPr>
                  <w:tcW w:w="830" w:type="dxa"/>
                  <w:vMerge w:val="continue"/>
                  <w:vAlign w:val="center"/>
                </w:tcPr>
                <w:p>
                  <w:pPr>
                    <w:snapToGrid w:val="0"/>
                    <w:spacing w:line="280" w:lineRule="exact"/>
                    <w:jc w:val="center"/>
                    <w:rPr>
                      <w:rFonts w:hint="default" w:ascii="Times New Roman" w:hAnsi="Times New Roman" w:cs="Times New Roman"/>
                      <w:color w:val="auto"/>
                      <w:sz w:val="18"/>
                      <w:szCs w:val="18"/>
                    </w:rPr>
                  </w:pPr>
                </w:p>
              </w:tc>
              <w:tc>
                <w:tcPr>
                  <w:tcW w:w="536" w:type="dxa"/>
                  <w:vMerge w:val="continue"/>
                  <w:vAlign w:val="center"/>
                </w:tcPr>
                <w:p>
                  <w:pPr>
                    <w:snapToGrid w:val="0"/>
                    <w:spacing w:line="280" w:lineRule="exact"/>
                    <w:jc w:val="center"/>
                    <w:rPr>
                      <w:rFonts w:hint="default" w:ascii="Times New Roman" w:hAnsi="Times New Roman" w:cs="Times New Roman"/>
                      <w:color w:val="auto"/>
                      <w:sz w:val="18"/>
                      <w:szCs w:val="18"/>
                      <w:lang w:val="en-US" w:eastAsia="zh-CN"/>
                    </w:rPr>
                  </w:pPr>
                </w:p>
              </w:tc>
              <w:tc>
                <w:tcPr>
                  <w:tcW w:w="574"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cs="Times New Roman"/>
                      <w:color w:val="auto"/>
                      <w:sz w:val="18"/>
                      <w:szCs w:val="18"/>
                      <w:highlight w:val="none"/>
                      <w:lang w:val="en-US" w:eastAsia="zh-CN"/>
                    </w:rPr>
                    <w:t>9</w:t>
                  </w:r>
                </w:p>
              </w:tc>
              <w:tc>
                <w:tcPr>
                  <w:tcW w:w="491"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cs="Times New Roman"/>
                      <w:color w:val="auto"/>
                      <w:sz w:val="18"/>
                      <w:szCs w:val="18"/>
                      <w:highlight w:val="none"/>
                      <w:lang w:val="en-US" w:eastAsia="zh-CN"/>
                    </w:rPr>
                    <w:t>40</w:t>
                  </w:r>
                </w:p>
              </w:tc>
              <w:tc>
                <w:tcPr>
                  <w:tcW w:w="441"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530"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r>
                    <w:rPr>
                      <w:rFonts w:hint="eastAsia" w:ascii="Times New Roman" w:cs="Times New Roman"/>
                      <w:color w:val="auto"/>
                      <w:sz w:val="18"/>
                      <w:szCs w:val="18"/>
                      <w:highlight w:val="none"/>
                      <w:lang w:val="en-US" w:eastAsia="zh-CN"/>
                    </w:rPr>
                    <w:t>.5</w:t>
                  </w:r>
                </w:p>
              </w:tc>
              <w:tc>
                <w:tcPr>
                  <w:tcW w:w="706"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67 </w:t>
                  </w:r>
                </w:p>
              </w:tc>
              <w:tc>
                <w:tcPr>
                  <w:tcW w:w="706"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w:t>
                  </w:r>
                </w:p>
              </w:tc>
              <w:tc>
                <w:tcPr>
                  <w:tcW w:w="706"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47 </w:t>
                  </w:r>
                </w:p>
              </w:tc>
              <w:tc>
                <w:tcPr>
                  <w:tcW w:w="456" w:type="dxa"/>
                  <w:vAlign w:val="center"/>
                </w:tcPr>
                <w:p>
                  <w:pPr>
                    <w:snapToGrid w:val="0"/>
                    <w:spacing w:line="28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04" w:type="dxa"/>
                  <w:vMerge w:val="continue"/>
                  <w:vAlign w:val="center"/>
                </w:tcPr>
                <w:p>
                  <w:pPr>
                    <w:snapToGrid w:val="0"/>
                    <w:spacing w:line="280" w:lineRule="exact"/>
                    <w:jc w:val="center"/>
                    <w:rPr>
                      <w:rFonts w:hint="default" w:ascii="Times New Roman" w:hAnsi="Times New Roman" w:cs="Times New Roman"/>
                      <w:color w:val="auto"/>
                      <w:sz w:val="18"/>
                      <w:szCs w:val="18"/>
                    </w:rPr>
                  </w:pPr>
                </w:p>
              </w:tc>
              <w:tc>
                <w:tcPr>
                  <w:tcW w:w="943" w:type="dxa"/>
                  <w:vAlign w:val="center"/>
                </w:tcPr>
                <w:p>
                  <w:pPr>
                    <w:snapToGrid w:val="0"/>
                    <w:spacing w:line="28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烘干机2</w:t>
                  </w:r>
                </w:p>
              </w:tc>
              <w:tc>
                <w:tcPr>
                  <w:tcW w:w="706" w:type="dxa"/>
                  <w:vAlign w:val="center"/>
                </w:tcPr>
                <w:p>
                  <w:pPr>
                    <w:snapToGrid w:val="0"/>
                    <w:spacing w:line="280" w:lineRule="exact"/>
                    <w:jc w:val="center"/>
                    <w:rPr>
                      <w:rFonts w:hint="default" w:ascii="Times New Roman" w:hAnsi="Times New Roman" w:cs="Times New Roman"/>
                      <w:color w:val="auto"/>
                      <w:spacing w:val="4"/>
                      <w:sz w:val="18"/>
                      <w:szCs w:val="18"/>
                      <w:lang w:val="en-US" w:eastAsia="zh-CN"/>
                    </w:rPr>
                  </w:pPr>
                  <w:r>
                    <w:rPr>
                      <w:rFonts w:hint="default" w:ascii="Times New Roman" w:hAnsi="Times New Roman" w:cs="Times New Roman"/>
                      <w:color w:val="auto"/>
                      <w:spacing w:val="4"/>
                      <w:sz w:val="18"/>
                      <w:szCs w:val="18"/>
                      <w:lang w:val="en-US" w:eastAsia="zh-CN"/>
                    </w:rPr>
                    <w:t>75</w:t>
                  </w:r>
                  <w:r>
                    <w:rPr>
                      <w:rFonts w:hint="default" w:ascii="Times New Roman" w:hAnsi="Times New Roman" w:cs="Times New Roman"/>
                      <w:color w:val="auto"/>
                      <w:spacing w:val="4"/>
                      <w:sz w:val="18"/>
                      <w:szCs w:val="18"/>
                    </w:rPr>
                    <w:t>/1</w:t>
                  </w:r>
                </w:p>
              </w:tc>
              <w:tc>
                <w:tcPr>
                  <w:tcW w:w="830" w:type="dxa"/>
                  <w:vMerge w:val="continue"/>
                  <w:vAlign w:val="center"/>
                </w:tcPr>
                <w:p>
                  <w:pPr>
                    <w:snapToGrid w:val="0"/>
                    <w:spacing w:line="280" w:lineRule="exact"/>
                    <w:jc w:val="center"/>
                    <w:rPr>
                      <w:rFonts w:hint="default" w:ascii="Times New Roman" w:hAnsi="Times New Roman" w:cs="Times New Roman"/>
                      <w:color w:val="auto"/>
                      <w:sz w:val="18"/>
                      <w:szCs w:val="18"/>
                    </w:rPr>
                  </w:pPr>
                </w:p>
              </w:tc>
              <w:tc>
                <w:tcPr>
                  <w:tcW w:w="536" w:type="dxa"/>
                  <w:vMerge w:val="continue"/>
                  <w:vAlign w:val="center"/>
                </w:tcPr>
                <w:p>
                  <w:pPr>
                    <w:snapToGrid w:val="0"/>
                    <w:spacing w:line="280" w:lineRule="exact"/>
                    <w:jc w:val="center"/>
                    <w:rPr>
                      <w:rFonts w:hint="default" w:ascii="Times New Roman" w:hAnsi="Times New Roman" w:cs="Times New Roman"/>
                      <w:color w:val="auto"/>
                      <w:sz w:val="18"/>
                      <w:szCs w:val="18"/>
                      <w:lang w:val="en-US" w:eastAsia="zh-CN"/>
                    </w:rPr>
                  </w:pPr>
                </w:p>
              </w:tc>
              <w:tc>
                <w:tcPr>
                  <w:tcW w:w="574"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cs="Times New Roman"/>
                      <w:color w:val="auto"/>
                      <w:sz w:val="18"/>
                      <w:szCs w:val="18"/>
                      <w:highlight w:val="none"/>
                      <w:lang w:val="en-US" w:eastAsia="zh-CN"/>
                    </w:rPr>
                    <w:t>10</w:t>
                  </w:r>
                </w:p>
              </w:tc>
              <w:tc>
                <w:tcPr>
                  <w:tcW w:w="491"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cs="Times New Roman"/>
                      <w:color w:val="auto"/>
                      <w:sz w:val="18"/>
                      <w:szCs w:val="18"/>
                      <w:highlight w:val="none"/>
                      <w:lang w:val="en-US" w:eastAsia="zh-CN"/>
                    </w:rPr>
                    <w:t>40</w:t>
                  </w:r>
                </w:p>
              </w:tc>
              <w:tc>
                <w:tcPr>
                  <w:tcW w:w="441"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530"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w:t>
                  </w:r>
                  <w:r>
                    <w:rPr>
                      <w:rFonts w:hint="eastAsia" w:ascii="Times New Roman" w:cs="Times New Roman"/>
                      <w:color w:val="auto"/>
                      <w:sz w:val="18"/>
                      <w:szCs w:val="18"/>
                      <w:highlight w:val="none"/>
                      <w:lang w:val="en-US" w:eastAsia="zh-CN"/>
                    </w:rPr>
                    <w:t>.5</w:t>
                  </w:r>
                </w:p>
              </w:tc>
              <w:tc>
                <w:tcPr>
                  <w:tcW w:w="706"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67 </w:t>
                  </w:r>
                </w:p>
              </w:tc>
              <w:tc>
                <w:tcPr>
                  <w:tcW w:w="706"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w:t>
                  </w:r>
                </w:p>
              </w:tc>
              <w:tc>
                <w:tcPr>
                  <w:tcW w:w="706"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47 </w:t>
                  </w:r>
                </w:p>
              </w:tc>
              <w:tc>
                <w:tcPr>
                  <w:tcW w:w="456" w:type="dxa"/>
                  <w:vAlign w:val="center"/>
                </w:tcPr>
                <w:p>
                  <w:pPr>
                    <w:snapToGrid w:val="0"/>
                    <w:spacing w:line="28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04" w:type="dxa"/>
                  <w:vMerge w:val="continue"/>
                  <w:vAlign w:val="center"/>
                </w:tcPr>
                <w:p>
                  <w:pPr>
                    <w:snapToGrid w:val="0"/>
                    <w:spacing w:line="280" w:lineRule="exact"/>
                    <w:jc w:val="center"/>
                    <w:rPr>
                      <w:rFonts w:hint="default" w:ascii="Times New Roman" w:hAnsi="Times New Roman" w:cs="Times New Roman"/>
                      <w:color w:val="auto"/>
                      <w:sz w:val="18"/>
                      <w:szCs w:val="18"/>
                    </w:rPr>
                  </w:pPr>
                </w:p>
              </w:tc>
              <w:tc>
                <w:tcPr>
                  <w:tcW w:w="943" w:type="dxa"/>
                  <w:vAlign w:val="center"/>
                </w:tcPr>
                <w:p>
                  <w:pPr>
                    <w:snapToGrid w:val="0"/>
                    <w:spacing w:line="28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烫平机</w:t>
                  </w:r>
                </w:p>
              </w:tc>
              <w:tc>
                <w:tcPr>
                  <w:tcW w:w="706" w:type="dxa"/>
                  <w:vAlign w:val="center"/>
                </w:tcPr>
                <w:p>
                  <w:pPr>
                    <w:snapToGrid w:val="0"/>
                    <w:spacing w:line="280" w:lineRule="exact"/>
                    <w:jc w:val="center"/>
                    <w:rPr>
                      <w:rFonts w:hint="default" w:ascii="Times New Roman" w:hAnsi="Times New Roman" w:cs="Times New Roman"/>
                      <w:color w:val="auto"/>
                      <w:spacing w:val="4"/>
                      <w:sz w:val="18"/>
                      <w:szCs w:val="18"/>
                      <w:lang w:val="en-US" w:eastAsia="zh-CN"/>
                    </w:rPr>
                  </w:pPr>
                  <w:r>
                    <w:rPr>
                      <w:rFonts w:hint="default" w:ascii="Times New Roman" w:hAnsi="Times New Roman" w:cs="Times New Roman"/>
                      <w:color w:val="auto"/>
                      <w:spacing w:val="4"/>
                      <w:sz w:val="18"/>
                      <w:szCs w:val="18"/>
                      <w:lang w:val="en-US" w:eastAsia="zh-CN"/>
                    </w:rPr>
                    <w:t>70</w:t>
                  </w:r>
                  <w:r>
                    <w:rPr>
                      <w:rFonts w:hint="default" w:ascii="Times New Roman" w:hAnsi="Times New Roman" w:cs="Times New Roman"/>
                      <w:color w:val="auto"/>
                      <w:spacing w:val="4"/>
                      <w:sz w:val="18"/>
                      <w:szCs w:val="18"/>
                    </w:rPr>
                    <w:t>/1</w:t>
                  </w:r>
                </w:p>
              </w:tc>
              <w:tc>
                <w:tcPr>
                  <w:tcW w:w="830" w:type="dxa"/>
                  <w:vMerge w:val="continue"/>
                  <w:vAlign w:val="center"/>
                </w:tcPr>
                <w:p>
                  <w:pPr>
                    <w:snapToGrid w:val="0"/>
                    <w:spacing w:line="280" w:lineRule="exact"/>
                    <w:jc w:val="center"/>
                    <w:rPr>
                      <w:rFonts w:hint="default" w:ascii="Times New Roman" w:hAnsi="Times New Roman" w:cs="Times New Roman"/>
                      <w:color w:val="auto"/>
                      <w:sz w:val="18"/>
                      <w:szCs w:val="18"/>
                    </w:rPr>
                  </w:pPr>
                </w:p>
              </w:tc>
              <w:tc>
                <w:tcPr>
                  <w:tcW w:w="536" w:type="dxa"/>
                  <w:vMerge w:val="continue"/>
                  <w:vAlign w:val="center"/>
                </w:tcPr>
                <w:p>
                  <w:pPr>
                    <w:snapToGrid w:val="0"/>
                    <w:spacing w:line="280" w:lineRule="exact"/>
                    <w:jc w:val="center"/>
                    <w:rPr>
                      <w:rFonts w:hint="default" w:ascii="Times New Roman" w:hAnsi="Times New Roman" w:cs="Times New Roman"/>
                      <w:color w:val="auto"/>
                      <w:sz w:val="18"/>
                      <w:szCs w:val="18"/>
                      <w:lang w:val="en-US" w:eastAsia="zh-CN"/>
                    </w:rPr>
                  </w:pPr>
                </w:p>
              </w:tc>
              <w:tc>
                <w:tcPr>
                  <w:tcW w:w="574"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cs="Times New Roman"/>
                      <w:color w:val="auto"/>
                      <w:sz w:val="18"/>
                      <w:szCs w:val="18"/>
                      <w:highlight w:val="none"/>
                      <w:lang w:val="en-US" w:eastAsia="zh-CN"/>
                    </w:rPr>
                    <w:t>12</w:t>
                  </w:r>
                </w:p>
              </w:tc>
              <w:tc>
                <w:tcPr>
                  <w:tcW w:w="491"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cs="Times New Roman"/>
                      <w:color w:val="auto"/>
                      <w:sz w:val="18"/>
                      <w:szCs w:val="18"/>
                      <w:highlight w:val="none"/>
                      <w:lang w:val="en-US" w:eastAsia="zh-CN"/>
                    </w:rPr>
                    <w:t>39</w:t>
                  </w:r>
                </w:p>
              </w:tc>
              <w:tc>
                <w:tcPr>
                  <w:tcW w:w="441"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w:t>
                  </w:r>
                </w:p>
              </w:tc>
              <w:tc>
                <w:tcPr>
                  <w:tcW w:w="530"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w:t>
                  </w:r>
                  <w:r>
                    <w:rPr>
                      <w:rFonts w:hint="eastAsia" w:ascii="Times New Roman" w:cs="Times New Roman"/>
                      <w:color w:val="auto"/>
                      <w:sz w:val="18"/>
                      <w:szCs w:val="18"/>
                      <w:highlight w:val="none"/>
                      <w:lang w:val="en-US" w:eastAsia="zh-CN"/>
                    </w:rPr>
                    <w:t>.5</w:t>
                  </w:r>
                </w:p>
              </w:tc>
              <w:tc>
                <w:tcPr>
                  <w:tcW w:w="706"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59 </w:t>
                  </w:r>
                </w:p>
              </w:tc>
              <w:tc>
                <w:tcPr>
                  <w:tcW w:w="706"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w:t>
                  </w:r>
                </w:p>
              </w:tc>
              <w:tc>
                <w:tcPr>
                  <w:tcW w:w="706"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 xml:space="preserve">39 </w:t>
                  </w:r>
                </w:p>
              </w:tc>
              <w:tc>
                <w:tcPr>
                  <w:tcW w:w="456" w:type="dxa"/>
                  <w:vAlign w:val="center"/>
                </w:tcPr>
                <w:p>
                  <w:pPr>
                    <w:snapToGrid w:val="0"/>
                    <w:spacing w:line="280" w:lineRule="exac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404" w:type="dxa"/>
                  <w:vAlign w:val="center"/>
                </w:tcPr>
                <w:p>
                  <w:pPr>
                    <w:spacing w:line="280" w:lineRule="exact"/>
                    <w:jc w:val="center"/>
                    <w:rPr>
                      <w:rFonts w:hint="default" w:ascii="Times New Roman" w:hAnsi="Times New Roman" w:cs="Times New Roman"/>
                      <w:color w:val="auto"/>
                      <w:spacing w:val="4"/>
                      <w:sz w:val="18"/>
                      <w:szCs w:val="18"/>
                      <w:highlight w:val="none"/>
                    </w:rPr>
                  </w:pPr>
                  <w:r>
                    <w:rPr>
                      <w:rFonts w:hint="default" w:ascii="Times New Roman" w:hAnsi="Times New Roman" w:cs="Times New Roman"/>
                      <w:color w:val="auto"/>
                      <w:spacing w:val="4"/>
                      <w:sz w:val="18"/>
                      <w:szCs w:val="18"/>
                      <w:highlight w:val="none"/>
                      <w:lang w:val="en-US" w:eastAsia="zh-CN"/>
                    </w:rPr>
                    <w:t>锅炉房</w:t>
                  </w:r>
                </w:p>
              </w:tc>
              <w:tc>
                <w:tcPr>
                  <w:tcW w:w="943" w:type="dxa"/>
                  <w:vAlign w:val="center"/>
                </w:tcPr>
                <w:p>
                  <w:pPr>
                    <w:spacing w:line="280" w:lineRule="exact"/>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sz w:val="18"/>
                      <w:szCs w:val="18"/>
                      <w:highlight w:val="none"/>
                      <w:lang w:val="en-US" w:eastAsia="zh-CN"/>
                    </w:rPr>
                    <w:t>生物质锅炉</w:t>
                  </w:r>
                </w:p>
              </w:tc>
              <w:tc>
                <w:tcPr>
                  <w:tcW w:w="706" w:type="dxa"/>
                  <w:vAlign w:val="center"/>
                </w:tcPr>
                <w:p>
                  <w:pPr>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pacing w:val="4"/>
                      <w:sz w:val="18"/>
                      <w:szCs w:val="18"/>
                      <w:lang w:val="en-US" w:eastAsia="zh-CN"/>
                    </w:rPr>
                    <w:t>85</w:t>
                  </w:r>
                  <w:r>
                    <w:rPr>
                      <w:rFonts w:hint="default" w:ascii="Times New Roman" w:hAnsi="Times New Roman" w:cs="Times New Roman"/>
                      <w:color w:val="auto"/>
                      <w:spacing w:val="4"/>
                      <w:sz w:val="18"/>
                      <w:szCs w:val="18"/>
                    </w:rPr>
                    <w:t>/1</w:t>
                  </w:r>
                </w:p>
              </w:tc>
              <w:tc>
                <w:tcPr>
                  <w:tcW w:w="830" w:type="dxa"/>
                  <w:vAlign w:val="center"/>
                </w:tcPr>
                <w:p>
                  <w:pPr>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置于封闭车间内，选用低噪声设备，基础减震</w:t>
                  </w:r>
                </w:p>
              </w:tc>
              <w:tc>
                <w:tcPr>
                  <w:tcW w:w="536" w:type="dxa"/>
                  <w:vAlign w:val="center"/>
                </w:tcPr>
                <w:p>
                  <w:pPr>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w:t>
                  </w:r>
                  <w:r>
                    <w:rPr>
                      <w:rFonts w:hint="default" w:ascii="Times New Roman" w:hAnsi="Times New Roman" w:cs="Times New Roman"/>
                      <w:color w:val="auto"/>
                      <w:sz w:val="18"/>
                      <w:szCs w:val="18"/>
                      <w:lang w:val="en-US" w:eastAsia="zh-CN"/>
                    </w:rPr>
                    <w:t>夜</w:t>
                  </w:r>
                </w:p>
              </w:tc>
              <w:tc>
                <w:tcPr>
                  <w:tcW w:w="574" w:type="dxa"/>
                  <w:vAlign w:val="center"/>
                </w:tcPr>
                <w:p>
                  <w:pPr>
                    <w:snapToGrid w:val="0"/>
                    <w:spacing w:line="280" w:lineRule="exact"/>
                    <w:jc w:val="center"/>
                    <w:rPr>
                      <w:rFonts w:hint="default" w:ascii="Times New Roman" w:hAnsi="Times New Roman" w:eastAsia="宋体" w:cs="Times New Roman"/>
                      <w:color w:val="auto"/>
                      <w:sz w:val="18"/>
                      <w:szCs w:val="18"/>
                      <w:highlight w:val="none"/>
                      <w:lang w:eastAsia="zh-CN"/>
                    </w:rPr>
                  </w:pPr>
                  <w:r>
                    <w:rPr>
                      <w:rFonts w:hint="eastAsia" w:ascii="Times New Roman" w:cs="Times New Roman"/>
                      <w:color w:val="auto"/>
                      <w:sz w:val="18"/>
                      <w:szCs w:val="18"/>
                      <w:highlight w:val="none"/>
                      <w:lang w:val="en-US" w:eastAsia="zh-CN"/>
                    </w:rPr>
                    <w:t>5</w:t>
                  </w:r>
                  <w:r>
                    <w:rPr>
                      <w:rFonts w:hint="default" w:ascii="Times New Roman" w:hAnsi="Times New Roman" w:cs="Times New Roman"/>
                      <w:color w:val="auto"/>
                      <w:sz w:val="18"/>
                      <w:szCs w:val="18"/>
                      <w:highlight w:val="none"/>
                      <w:lang w:val="en-US" w:eastAsia="zh-CN"/>
                    </w:rPr>
                    <w:t>5</w:t>
                  </w:r>
                </w:p>
              </w:tc>
              <w:tc>
                <w:tcPr>
                  <w:tcW w:w="491" w:type="dxa"/>
                  <w:vAlign w:val="center"/>
                </w:tcPr>
                <w:p>
                  <w:pPr>
                    <w:snapToGrid w:val="0"/>
                    <w:spacing w:line="280" w:lineRule="exact"/>
                    <w:jc w:val="center"/>
                    <w:rPr>
                      <w:rFonts w:hint="default" w:ascii="Times New Roman" w:hAnsi="Times New Roman" w:eastAsia="宋体" w:cs="Times New Roman"/>
                      <w:color w:val="auto"/>
                      <w:sz w:val="18"/>
                      <w:szCs w:val="18"/>
                      <w:highlight w:val="none"/>
                      <w:lang w:val="en-US" w:eastAsia="zh-CN"/>
                    </w:rPr>
                  </w:pPr>
                  <w:r>
                    <w:rPr>
                      <w:rFonts w:hint="eastAsia" w:ascii="Times New Roman" w:cs="Times New Roman"/>
                      <w:color w:val="auto"/>
                      <w:sz w:val="18"/>
                      <w:szCs w:val="18"/>
                      <w:highlight w:val="none"/>
                      <w:lang w:val="en-US" w:eastAsia="zh-CN"/>
                    </w:rPr>
                    <w:t>38</w:t>
                  </w:r>
                </w:p>
              </w:tc>
              <w:tc>
                <w:tcPr>
                  <w:tcW w:w="441" w:type="dxa"/>
                  <w:vAlign w:val="center"/>
                </w:tcPr>
                <w:p>
                  <w:pPr>
                    <w:snapToGrid w:val="0"/>
                    <w:spacing w:line="28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530" w:type="dxa"/>
                  <w:vAlign w:val="center"/>
                </w:tcPr>
                <w:p>
                  <w:pPr>
                    <w:snapToGrid w:val="0"/>
                    <w:spacing w:line="280" w:lineRule="exact"/>
                    <w:jc w:val="center"/>
                    <w:rPr>
                      <w:rFonts w:hint="default" w:ascii="Times New Roman" w:hAnsi="Times New Roman" w:eastAsia="宋体" w:cs="Times New Roman"/>
                      <w:color w:val="auto"/>
                      <w:sz w:val="18"/>
                      <w:szCs w:val="18"/>
                      <w:highlight w:val="none"/>
                      <w:lang w:val="en-US" w:eastAsia="zh-CN"/>
                    </w:rPr>
                  </w:pPr>
                  <w:r>
                    <w:rPr>
                      <w:rFonts w:hint="eastAsia" w:ascii="Times New Roman" w:cs="Times New Roman"/>
                      <w:color w:val="auto"/>
                      <w:sz w:val="18"/>
                      <w:szCs w:val="18"/>
                      <w:highlight w:val="none"/>
                      <w:lang w:val="en-US" w:eastAsia="zh-CN"/>
                    </w:rPr>
                    <w:t>4.5</w:t>
                  </w:r>
                </w:p>
              </w:tc>
              <w:tc>
                <w:tcPr>
                  <w:tcW w:w="706"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w:t>
                  </w:r>
                  <w:r>
                    <w:rPr>
                      <w:rFonts w:hint="eastAsia" w:ascii="Times New Roman" w:hAnsi="Times New Roman" w:cs="Times New Roman"/>
                      <w:color w:val="auto"/>
                      <w:sz w:val="18"/>
                      <w:szCs w:val="18"/>
                      <w:highlight w:val="none"/>
                      <w:lang w:val="en-US" w:eastAsia="zh-CN"/>
                    </w:rPr>
                    <w:t>2</w:t>
                  </w:r>
                </w:p>
              </w:tc>
              <w:tc>
                <w:tcPr>
                  <w:tcW w:w="706"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w:t>
                  </w:r>
                </w:p>
              </w:tc>
              <w:tc>
                <w:tcPr>
                  <w:tcW w:w="706" w:type="dxa"/>
                  <w:vAlign w:val="center"/>
                </w:tcPr>
                <w:p>
                  <w:pPr>
                    <w:snapToGrid w:val="0"/>
                    <w:spacing w:line="280" w:lineRule="exact"/>
                    <w:jc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w:t>
                  </w:r>
                  <w:r>
                    <w:rPr>
                      <w:rFonts w:hint="eastAsia" w:ascii="Times New Roman" w:hAnsi="Times New Roman" w:cs="Times New Roman"/>
                      <w:color w:val="auto"/>
                      <w:sz w:val="18"/>
                      <w:szCs w:val="18"/>
                      <w:highlight w:val="none"/>
                      <w:lang w:val="en-US" w:eastAsia="zh-CN"/>
                    </w:rPr>
                    <w:t>2</w:t>
                  </w:r>
                </w:p>
              </w:tc>
              <w:tc>
                <w:tcPr>
                  <w:tcW w:w="456" w:type="dxa"/>
                  <w:vAlign w:val="center"/>
                </w:tcPr>
                <w:p>
                  <w:pPr>
                    <w:snapToGrid w:val="0"/>
                    <w:spacing w:line="28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r>
          </w:tbl>
          <w:p>
            <w:pPr>
              <w:spacing w:line="480" w:lineRule="exact"/>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注：以</w:t>
            </w:r>
            <w:r>
              <w:rPr>
                <w:rFonts w:hint="default" w:ascii="Times New Roman" w:hAnsi="Times New Roman" w:cs="Times New Roman"/>
                <w:b/>
                <w:bCs/>
                <w:color w:val="auto"/>
                <w:sz w:val="21"/>
                <w:szCs w:val="21"/>
                <w:highlight w:val="none"/>
                <w:lang w:val="en-US" w:eastAsia="zh-CN"/>
              </w:rPr>
              <w:t>厂界</w:t>
            </w:r>
            <w:r>
              <w:rPr>
                <w:rFonts w:hint="default" w:ascii="Times New Roman" w:hAnsi="Times New Roman" w:cs="Times New Roman"/>
                <w:b/>
                <w:bCs/>
                <w:color w:val="auto"/>
                <w:sz w:val="21"/>
                <w:szCs w:val="21"/>
                <w:highlight w:val="none"/>
              </w:rPr>
              <w:t>西南角为原点，</w:t>
            </w:r>
            <w:r>
              <w:rPr>
                <w:rFonts w:hint="default" w:ascii="Times New Roman" w:hAnsi="Times New Roman" w:cs="Times New Roman"/>
                <w:b/>
                <w:bCs/>
                <w:color w:val="auto"/>
                <w:sz w:val="21"/>
                <w:szCs w:val="21"/>
                <w:highlight w:val="none"/>
                <w:lang w:val="en-US" w:eastAsia="zh-CN"/>
              </w:rPr>
              <w:t>水平方向（东西向）</w:t>
            </w:r>
            <w:r>
              <w:rPr>
                <w:rFonts w:hint="default" w:ascii="Times New Roman" w:hAnsi="Times New Roman" w:cs="Times New Roman"/>
                <w:b/>
                <w:bCs/>
                <w:color w:val="auto"/>
                <w:sz w:val="21"/>
                <w:szCs w:val="21"/>
                <w:highlight w:val="none"/>
              </w:rPr>
              <w:t>为X轴，</w:t>
            </w:r>
            <w:r>
              <w:rPr>
                <w:rFonts w:hint="default" w:ascii="Times New Roman" w:hAnsi="Times New Roman" w:cs="Times New Roman"/>
                <w:b/>
                <w:bCs/>
                <w:color w:val="auto"/>
                <w:sz w:val="21"/>
                <w:szCs w:val="21"/>
                <w:highlight w:val="none"/>
                <w:lang w:val="en-US" w:eastAsia="zh-CN"/>
              </w:rPr>
              <w:t>垂直方向（南北向）</w:t>
            </w:r>
            <w:r>
              <w:rPr>
                <w:rFonts w:hint="default" w:ascii="Times New Roman" w:hAnsi="Times New Roman" w:cs="Times New Roman"/>
                <w:b/>
                <w:bCs/>
                <w:color w:val="auto"/>
                <w:sz w:val="21"/>
                <w:szCs w:val="21"/>
                <w:highlight w:val="none"/>
              </w:rPr>
              <w:t>为Y轴，Z轴为噪声源距离地面高度。</w:t>
            </w:r>
          </w:p>
          <w:p>
            <w:pPr>
              <w:adjustRightInd w:val="0"/>
              <w:snapToGrid w:val="0"/>
              <w:spacing w:line="460" w:lineRule="exact"/>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w:t>
            </w:r>
            <w:r>
              <w:rPr>
                <w:rFonts w:hint="eastAsia" w:ascii="Times New Roman" w:cs="Times New Roman"/>
                <w:b/>
                <w:bCs/>
                <w:color w:val="auto"/>
                <w:sz w:val="21"/>
                <w:szCs w:val="21"/>
                <w:lang w:val="en-US" w:eastAsia="zh-CN"/>
              </w:rPr>
              <w:t>7</w:t>
            </w:r>
            <w:r>
              <w:rPr>
                <w:rFonts w:hint="default" w:ascii="Times New Roman" w:hAnsi="Times New Roman" w:cs="Times New Roman"/>
                <w:b/>
                <w:bCs/>
                <w:color w:val="auto"/>
                <w:sz w:val="21"/>
                <w:szCs w:val="21"/>
                <w:lang w:val="en-US" w:eastAsia="zh-CN"/>
              </w:rPr>
              <w:t xml:space="preserve"> 噪声源强及防治措施表（室外声源）    单位：dB（A）</w:t>
            </w:r>
          </w:p>
          <w:tbl>
            <w:tblPr>
              <w:tblStyle w:val="38"/>
              <w:tblW w:w="802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1225"/>
              <w:gridCol w:w="625"/>
              <w:gridCol w:w="550"/>
              <w:gridCol w:w="538"/>
              <w:gridCol w:w="1087"/>
              <w:gridCol w:w="2225"/>
              <w:gridCol w:w="12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32" w:hRule="atLeast"/>
              </w:trPr>
              <w:tc>
                <w:tcPr>
                  <w:tcW w:w="559" w:type="dxa"/>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区域</w:t>
                  </w:r>
                </w:p>
              </w:tc>
              <w:tc>
                <w:tcPr>
                  <w:tcW w:w="1225" w:type="dxa"/>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lang w:val="en-US" w:eastAsia="zh-CN"/>
                    </w:rPr>
                    <w:t>声源</w:t>
                  </w:r>
                  <w:r>
                    <w:rPr>
                      <w:rFonts w:hint="default" w:ascii="Times New Roman" w:hAnsi="Times New Roman" w:eastAsia="宋体" w:cs="Times New Roman"/>
                      <w:b/>
                      <w:bCs/>
                      <w:color w:val="auto"/>
                      <w:kern w:val="0"/>
                      <w:sz w:val="21"/>
                      <w:szCs w:val="21"/>
                    </w:rPr>
                    <w:t>名称</w:t>
                  </w:r>
                </w:p>
              </w:tc>
              <w:tc>
                <w:tcPr>
                  <w:tcW w:w="1713" w:type="dxa"/>
                  <w:gridSpan w:val="3"/>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空间位置</w:t>
                  </w:r>
                </w:p>
              </w:tc>
              <w:tc>
                <w:tcPr>
                  <w:tcW w:w="1087" w:type="dxa"/>
                  <w:vMerge w:val="restart"/>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lang w:val="en-US"/>
                    </w:rPr>
                  </w:pPr>
                  <w:r>
                    <w:rPr>
                      <w:rFonts w:hint="default" w:ascii="Times New Roman" w:hAnsi="Times New Roman" w:eastAsia="宋体" w:cs="Times New Roman"/>
                      <w:b/>
                      <w:bCs/>
                      <w:color w:val="auto"/>
                      <w:kern w:val="0"/>
                      <w:sz w:val="21"/>
                      <w:szCs w:val="21"/>
                      <w:lang w:val="en-US" w:eastAsia="zh-CN"/>
                    </w:rPr>
                    <w:t>声源源强</w:t>
                  </w:r>
                </w:p>
              </w:tc>
              <w:tc>
                <w:tcPr>
                  <w:tcW w:w="222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4"/>
                      <w:sz w:val="21"/>
                      <w:szCs w:val="21"/>
                      <w:lang w:val="en-US" w:eastAsia="zh-CN"/>
                    </w:rPr>
                    <w:t>声源控制</w:t>
                  </w:r>
                  <w:r>
                    <w:rPr>
                      <w:rFonts w:hint="default" w:ascii="Times New Roman" w:hAnsi="Times New Roman" w:eastAsia="宋体" w:cs="Times New Roman"/>
                      <w:b/>
                      <w:bCs/>
                      <w:color w:val="auto"/>
                      <w:spacing w:val="4"/>
                      <w:sz w:val="21"/>
                      <w:szCs w:val="21"/>
                    </w:rPr>
                    <w:t>措施</w:t>
                  </w:r>
                </w:p>
              </w:tc>
              <w:tc>
                <w:tcPr>
                  <w:tcW w:w="122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pacing w:val="4"/>
                      <w:sz w:val="21"/>
                      <w:szCs w:val="21"/>
                      <w:lang w:val="en-US"/>
                    </w:rPr>
                  </w:pPr>
                  <w:r>
                    <w:rPr>
                      <w:rFonts w:hint="default" w:ascii="Times New Roman" w:hAnsi="Times New Roman" w:eastAsia="宋体" w:cs="Times New Roman"/>
                      <w:b/>
                      <w:bCs/>
                      <w:color w:val="auto"/>
                      <w:kern w:val="0"/>
                      <w:sz w:val="21"/>
                      <w:szCs w:val="21"/>
                      <w:lang w:val="en-US" w:eastAsia="zh-CN"/>
                    </w:rPr>
                    <w:t>运行时段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36" w:hRule="atLeast"/>
              </w:trPr>
              <w:tc>
                <w:tcPr>
                  <w:tcW w:w="559"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eastAsia="zh-CN"/>
                    </w:rPr>
                  </w:pPr>
                </w:p>
              </w:tc>
              <w:tc>
                <w:tcPr>
                  <w:tcW w:w="1225"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p>
              </w:tc>
              <w:tc>
                <w:tcPr>
                  <w:tcW w:w="625"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X</w:t>
                  </w:r>
                </w:p>
              </w:tc>
              <w:tc>
                <w:tcPr>
                  <w:tcW w:w="550"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Y</w:t>
                  </w:r>
                </w:p>
              </w:tc>
              <w:tc>
                <w:tcPr>
                  <w:tcW w:w="538" w:type="dxa"/>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lang w:val="en-US" w:eastAsia="zh-CN"/>
                    </w:rPr>
                  </w:pPr>
                  <w:r>
                    <w:rPr>
                      <w:rFonts w:hint="default" w:ascii="Times New Roman" w:hAnsi="Times New Roman" w:cs="Times New Roman"/>
                      <w:b/>
                      <w:bCs/>
                      <w:color w:val="auto"/>
                      <w:kern w:val="0"/>
                      <w:sz w:val="21"/>
                      <w:szCs w:val="21"/>
                      <w:lang w:val="en-US" w:eastAsia="zh-CN"/>
                    </w:rPr>
                    <w:t>Z</w:t>
                  </w:r>
                </w:p>
              </w:tc>
              <w:tc>
                <w:tcPr>
                  <w:tcW w:w="1087" w:type="dxa"/>
                  <w:vMerge w:val="continue"/>
                  <w:tcBorders>
                    <w:tl2br w:val="nil"/>
                    <w:tr2bl w:val="nil"/>
                  </w:tcBorders>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kern w:val="0"/>
                      <w:sz w:val="21"/>
                      <w:szCs w:val="21"/>
                      <w:lang w:val="en-US" w:eastAsia="zh-CN"/>
                    </w:rPr>
                  </w:pPr>
                </w:p>
              </w:tc>
              <w:tc>
                <w:tcPr>
                  <w:tcW w:w="222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4"/>
                      <w:sz w:val="21"/>
                      <w:szCs w:val="21"/>
                      <w:lang w:val="en-US" w:eastAsia="zh-CN"/>
                    </w:rPr>
                  </w:pPr>
                </w:p>
              </w:tc>
              <w:tc>
                <w:tcPr>
                  <w:tcW w:w="12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32" w:hRule="atLeast"/>
              </w:trPr>
              <w:tc>
                <w:tcPr>
                  <w:tcW w:w="559" w:type="dxa"/>
                  <w:vMerge w:val="restart"/>
                  <w:tcBorders>
                    <w:tl2br w:val="nil"/>
                    <w:tr2bl w:val="nil"/>
                  </w:tcBorders>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厂区</w:t>
                  </w:r>
                </w:p>
              </w:tc>
              <w:tc>
                <w:tcPr>
                  <w:tcW w:w="1225" w:type="dxa"/>
                  <w:tcBorders>
                    <w:tl2br w:val="nil"/>
                    <w:tr2bl w:val="nil"/>
                  </w:tcBorders>
                  <w:shd w:val="clear" w:color="auto" w:fill="auto"/>
                  <w:vAlign w:val="center"/>
                </w:tcPr>
                <w:p>
                  <w:pPr>
                    <w:pStyle w:val="9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sz w:val="21"/>
                      <w:szCs w:val="21"/>
                      <w:highlight w:val="none"/>
                      <w:lang w:val="en-US" w:eastAsia="zh-CN"/>
                    </w:rPr>
                    <w:t>除尘</w:t>
                  </w:r>
                  <w:r>
                    <w:rPr>
                      <w:rFonts w:hint="default" w:ascii="Times New Roman" w:hAnsi="Times New Roman" w:cs="Times New Roman"/>
                      <w:color w:val="auto"/>
                      <w:kern w:val="0"/>
                      <w:sz w:val="21"/>
                      <w:szCs w:val="21"/>
                      <w:lang w:val="en-US" w:eastAsia="zh-CN"/>
                    </w:rPr>
                    <w:t>风机</w:t>
                  </w:r>
                </w:p>
              </w:tc>
              <w:tc>
                <w:tcPr>
                  <w:tcW w:w="625" w:type="dxa"/>
                  <w:tcBorders>
                    <w:tl2br w:val="nil"/>
                    <w:tr2bl w:val="nil"/>
                  </w:tcBorders>
                  <w:vAlign w:val="center"/>
                </w:tcPr>
                <w:p>
                  <w:pPr>
                    <w:snapToGrid w:val="0"/>
                    <w:spacing w:line="280" w:lineRule="exact"/>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54</w:t>
                  </w:r>
                </w:p>
              </w:tc>
              <w:tc>
                <w:tcPr>
                  <w:tcW w:w="550" w:type="dxa"/>
                  <w:tcBorders>
                    <w:tl2br w:val="nil"/>
                    <w:tr2bl w:val="nil"/>
                  </w:tcBorders>
                  <w:vAlign w:val="center"/>
                </w:tcPr>
                <w:p>
                  <w:pPr>
                    <w:snapToGrid w:val="0"/>
                    <w:spacing w:line="280" w:lineRule="exact"/>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37</w:t>
                  </w:r>
                </w:p>
              </w:tc>
              <w:tc>
                <w:tcPr>
                  <w:tcW w:w="538" w:type="dxa"/>
                  <w:tcBorders>
                    <w:tl2br w:val="nil"/>
                    <w:tr2bl w:val="nil"/>
                  </w:tcBorders>
                  <w:vAlign w:val="center"/>
                </w:tcPr>
                <w:p>
                  <w:pPr>
                    <w:pStyle w:val="9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1</w:t>
                  </w:r>
                </w:p>
              </w:tc>
              <w:tc>
                <w:tcPr>
                  <w:tcW w:w="1087" w:type="dxa"/>
                  <w:tcBorders>
                    <w:tl2br w:val="nil"/>
                    <w:tr2bl w:val="nil"/>
                  </w:tcBorders>
                  <w:vAlign w:val="center"/>
                </w:tcPr>
                <w:p>
                  <w:pPr>
                    <w:pStyle w:val="9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sz w:val="21"/>
                      <w:szCs w:val="21"/>
                      <w:highlight w:val="none"/>
                      <w:lang w:val="en-US" w:eastAsia="zh-CN"/>
                    </w:rPr>
                    <w:t>85</w:t>
                  </w:r>
                </w:p>
              </w:tc>
              <w:tc>
                <w:tcPr>
                  <w:tcW w:w="2225" w:type="dxa"/>
                  <w:tcBorders>
                    <w:tl2br w:val="nil"/>
                    <w:tr2bl w:val="nil"/>
                  </w:tcBorders>
                  <w:vAlign w:val="center"/>
                </w:tcPr>
                <w:p>
                  <w:pPr>
                    <w:pStyle w:val="9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pacing w:val="4"/>
                      <w:sz w:val="21"/>
                      <w:szCs w:val="21"/>
                      <w:lang w:val="en-US" w:eastAsia="zh-CN"/>
                    </w:rPr>
                  </w:pPr>
                  <w:r>
                    <w:rPr>
                      <w:rFonts w:hint="default" w:ascii="Times New Roman" w:hAnsi="Times New Roman" w:cs="Times New Roman"/>
                      <w:color w:val="auto"/>
                      <w:sz w:val="21"/>
                      <w:szCs w:val="21"/>
                      <w:highlight w:val="none"/>
                    </w:rPr>
                    <w:t>选购低噪设备，设减振基础，安装消声器</w:t>
                  </w:r>
                </w:p>
              </w:tc>
              <w:tc>
                <w:tcPr>
                  <w:tcW w:w="1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sz w:val="21"/>
                      <w:szCs w:val="21"/>
                    </w:rPr>
                    <w:t>昼</w:t>
                  </w:r>
                  <w:r>
                    <w:rPr>
                      <w:rFonts w:hint="default" w:ascii="Times New Roman" w:hAnsi="Times New Roman" w:cs="Times New Roman"/>
                      <w:color w:val="auto"/>
                      <w:sz w:val="21"/>
                      <w:szCs w:val="21"/>
                      <w:lang w:val="en-US" w:eastAsia="zh-CN"/>
                    </w:rPr>
                    <w:t>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32" w:hRule="atLeast"/>
              </w:trPr>
              <w:tc>
                <w:tcPr>
                  <w:tcW w:w="559" w:type="dxa"/>
                  <w:vMerge w:val="continue"/>
                  <w:tcBorders>
                    <w:tl2br w:val="nil"/>
                    <w:tr2bl w:val="nil"/>
                  </w:tcBorders>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p>
              </w:tc>
              <w:tc>
                <w:tcPr>
                  <w:tcW w:w="1225" w:type="dxa"/>
                  <w:tcBorders>
                    <w:tl2br w:val="nil"/>
                    <w:tr2bl w:val="nil"/>
                  </w:tcBorders>
                  <w:shd w:val="clear" w:color="auto" w:fill="auto"/>
                  <w:vAlign w:val="center"/>
                </w:tcPr>
                <w:p>
                  <w:pPr>
                    <w:pStyle w:val="84"/>
                    <w:keepNext w:val="0"/>
                    <w:keepLines w:val="0"/>
                    <w:pageBreakBefore w:val="0"/>
                    <w:widowControl w:val="0"/>
                    <w:kinsoku w:val="0"/>
                    <w:wordWrap/>
                    <w:overflowPunct w:val="0"/>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sz w:val="21"/>
                      <w:szCs w:val="21"/>
                      <w:lang w:val="en-US" w:eastAsia="zh-CN"/>
                    </w:rPr>
                    <w:t>水泵</w:t>
                  </w:r>
                </w:p>
              </w:tc>
              <w:tc>
                <w:tcPr>
                  <w:tcW w:w="625" w:type="dxa"/>
                  <w:tcBorders>
                    <w:tl2br w:val="nil"/>
                    <w:tr2bl w:val="nil"/>
                  </w:tcBorders>
                  <w:vAlign w:val="center"/>
                </w:tcPr>
                <w:p>
                  <w:pPr>
                    <w:pStyle w:val="9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5</w:t>
                  </w:r>
                </w:p>
              </w:tc>
              <w:tc>
                <w:tcPr>
                  <w:tcW w:w="550" w:type="dxa"/>
                  <w:tcBorders>
                    <w:tl2br w:val="nil"/>
                    <w:tr2bl w:val="nil"/>
                  </w:tcBorders>
                  <w:vAlign w:val="center"/>
                </w:tcPr>
                <w:p>
                  <w:pPr>
                    <w:pStyle w:val="9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cs="Times New Roman"/>
                      <w:color w:val="auto"/>
                      <w:sz w:val="21"/>
                      <w:szCs w:val="21"/>
                      <w:lang w:val="en-US" w:eastAsia="zh-CN"/>
                    </w:rPr>
                    <w:t>30</w:t>
                  </w:r>
                </w:p>
              </w:tc>
              <w:tc>
                <w:tcPr>
                  <w:tcW w:w="538" w:type="dxa"/>
                  <w:tcBorders>
                    <w:tl2br w:val="nil"/>
                    <w:tr2bl w:val="nil"/>
                  </w:tcBorders>
                  <w:vAlign w:val="center"/>
                </w:tcPr>
                <w:p>
                  <w:pPr>
                    <w:pStyle w:val="9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sz w:val="21"/>
                      <w:szCs w:val="21"/>
                      <w:lang w:val="en-US" w:eastAsia="zh-CN"/>
                    </w:rPr>
                    <w:t>1</w:t>
                  </w:r>
                </w:p>
              </w:tc>
              <w:tc>
                <w:tcPr>
                  <w:tcW w:w="1087" w:type="dxa"/>
                  <w:tcBorders>
                    <w:tl2br w:val="nil"/>
                    <w:tr2bl w:val="nil"/>
                  </w:tcBorders>
                  <w:vAlign w:val="center"/>
                </w:tcPr>
                <w:p>
                  <w:pPr>
                    <w:pStyle w:val="9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lang w:val="en-US" w:eastAsia="zh-CN"/>
                    </w:rPr>
                    <w:t>85</w:t>
                  </w:r>
                </w:p>
              </w:tc>
              <w:tc>
                <w:tcPr>
                  <w:tcW w:w="22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before="60" w:beforeLines="25"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spacing w:val="6"/>
                      <w:sz w:val="20"/>
                      <w:szCs w:val="20"/>
                    </w:rPr>
                    <w:t>低噪声设备、基础减振</w:t>
                  </w:r>
                </w:p>
              </w:tc>
              <w:tc>
                <w:tcPr>
                  <w:tcW w:w="12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w:t>
                  </w:r>
                  <w:r>
                    <w:rPr>
                      <w:rFonts w:hint="default" w:ascii="Times New Roman" w:hAnsi="Times New Roman" w:cs="Times New Roman"/>
                      <w:color w:val="auto"/>
                      <w:sz w:val="21"/>
                      <w:szCs w:val="21"/>
                      <w:lang w:val="en-US" w:eastAsia="zh-CN"/>
                    </w:rPr>
                    <w:t>夜</w:t>
                  </w:r>
                </w:p>
              </w:tc>
            </w:tr>
          </w:tbl>
          <w:p>
            <w:pPr>
              <w:spacing w:line="460" w:lineRule="exact"/>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3.2</w:t>
            </w:r>
            <w:r>
              <w:rPr>
                <w:rFonts w:hint="default" w:ascii="Times New Roman" w:hAnsi="Times New Roman" w:cs="Times New Roman"/>
                <w:b/>
                <w:bCs/>
                <w:color w:val="auto"/>
                <w:sz w:val="24"/>
              </w:rPr>
              <w:t>厂界噪声预测模式</w:t>
            </w:r>
          </w:p>
          <w:p>
            <w:pPr>
              <w:keepNext w:val="0"/>
              <w:keepLines w:val="0"/>
              <w:pageBreakBefore w:val="0"/>
              <w:widowControl w:val="0"/>
              <w:kinsoku/>
              <w:wordWrap/>
              <w:overflowPunct/>
              <w:topLinePunct w:val="0"/>
              <w:autoSpaceDE/>
              <w:autoSpaceDN/>
              <w:bidi w:val="0"/>
              <w:spacing w:line="46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噪声预测模式</w:t>
            </w:r>
          </w:p>
          <w:p>
            <w:pPr>
              <w:pStyle w:val="90"/>
              <w:spacing w:line="460" w:lineRule="exact"/>
              <w:ind w:firstLine="480"/>
              <w:rPr>
                <w:rFonts w:hint="default" w:ascii="Times New Roman" w:hAnsi="Times New Roman" w:eastAsia="宋体" w:cs="Times New Roman"/>
                <w:b w:val="0"/>
                <w:bCs w:val="0"/>
                <w:color w:val="auto"/>
                <w:spacing w:val="0"/>
                <w:kern w:val="2"/>
                <w:sz w:val="24"/>
                <w:szCs w:val="24"/>
                <w:highlight w:val="none"/>
                <w:lang w:val="en-US" w:eastAsia="zh-CN" w:bidi="ar-SA"/>
              </w:rPr>
            </w:pPr>
            <w:r>
              <w:rPr>
                <w:rFonts w:hint="default" w:ascii="Times New Roman" w:hAnsi="Times New Roman" w:eastAsia="宋体" w:cs="Times New Roman"/>
                <w:color w:val="auto"/>
                <w:spacing w:val="0"/>
              </w:rPr>
              <w:t>影响声波从声源到受声点传播的因素有很多，它们主要包括传播发散、气温、平均速度、遮挡物状况、植被状况、风向、风速等，其中对声波的传播影响最大的是与</w:t>
            </w:r>
            <w:r>
              <w:rPr>
                <w:rFonts w:hint="default" w:ascii="Times New Roman" w:hAnsi="Times New Roman" w:eastAsia="宋体" w:cs="Times New Roman"/>
                <w:b w:val="0"/>
                <w:bCs w:val="0"/>
                <w:color w:val="auto"/>
                <w:spacing w:val="0"/>
                <w:kern w:val="2"/>
                <w:sz w:val="24"/>
                <w:szCs w:val="24"/>
                <w:highlight w:val="none"/>
                <w:lang w:val="en-US" w:eastAsia="zh-CN" w:bidi="ar-SA"/>
              </w:rPr>
              <w:t>声源到受声点的距离有关的传播发散，即声波随距离的衰减。</w:t>
            </w:r>
          </w:p>
          <w:p>
            <w:pPr>
              <w:keepNext w:val="0"/>
              <w:keepLines w:val="0"/>
              <w:pageBreakBefore w:val="0"/>
              <w:widowControl w:val="0"/>
              <w:kinsoku/>
              <w:wordWrap/>
              <w:overflowPunct/>
              <w:topLinePunct w:val="0"/>
              <w:autoSpaceDE/>
              <w:autoSpaceDN/>
              <w:bidi w:val="0"/>
              <w:spacing w:line="460" w:lineRule="exact"/>
              <w:ind w:firstLine="480" w:firstLineChars="200"/>
              <w:jc w:val="left"/>
              <w:textAlignment w:val="auto"/>
              <w:rPr>
                <w:rFonts w:hint="default" w:ascii="Times New Roman" w:hAnsi="Times New Roman" w:eastAsia="宋体" w:cs="Times New Roman"/>
                <w:b w:val="0"/>
                <w:bCs w:val="0"/>
                <w:color w:val="auto"/>
                <w:spacing w:val="0"/>
                <w:kern w:val="2"/>
                <w:sz w:val="24"/>
                <w:szCs w:val="24"/>
                <w:highlight w:val="none"/>
                <w:lang w:val="en-US" w:eastAsia="zh-CN" w:bidi="ar-SA"/>
              </w:rPr>
            </w:pPr>
            <w:r>
              <w:rPr>
                <w:rFonts w:hint="default" w:ascii="Times New Roman" w:hAnsi="Times New Roman" w:eastAsia="宋体" w:cs="Times New Roman"/>
                <w:b w:val="0"/>
                <w:bCs w:val="0"/>
                <w:color w:val="auto"/>
                <w:spacing w:val="0"/>
                <w:kern w:val="2"/>
                <w:sz w:val="24"/>
                <w:szCs w:val="24"/>
                <w:highlight w:val="none"/>
                <w:lang w:val="en-US" w:eastAsia="zh-CN" w:bidi="ar-SA"/>
              </w:rPr>
              <w:t>本项目的噪声源是典型的点声源。评价采用《环境影响评价技术导则声环境》(HJ2.4</w:t>
            </w:r>
            <w:r>
              <w:rPr>
                <w:rFonts w:hint="default" w:ascii="Times New Roman" w:hAnsi="Times New Roman" w:cs="Times New Roman"/>
                <w:b w:val="0"/>
                <w:bCs w:val="0"/>
                <w:color w:val="auto"/>
                <w:spacing w:val="0"/>
                <w:kern w:val="2"/>
                <w:sz w:val="24"/>
                <w:szCs w:val="24"/>
                <w:highlight w:val="none"/>
                <w:lang w:val="en-US" w:eastAsia="zh-CN" w:bidi="ar-SA"/>
              </w:rPr>
              <w:t>-</w:t>
            </w:r>
            <w:r>
              <w:rPr>
                <w:rFonts w:hint="default" w:ascii="Times New Roman" w:hAnsi="Times New Roman" w:eastAsia="宋体" w:cs="Times New Roman"/>
                <w:b w:val="0"/>
                <w:bCs w:val="0"/>
                <w:color w:val="auto"/>
                <w:spacing w:val="0"/>
                <w:kern w:val="2"/>
                <w:sz w:val="24"/>
                <w:szCs w:val="24"/>
                <w:highlight w:val="none"/>
                <w:lang w:val="en-US" w:eastAsia="zh-CN" w:bidi="ar-SA"/>
              </w:rPr>
              <w:t>2021)中附录A.1中工业噪声预测计算模式进行预测。</w:t>
            </w:r>
          </w:p>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left="0" w:leftChars="0" w:firstLine="420" w:firstLineChars="175"/>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cs="Times New Roman"/>
                <w:b w:val="0"/>
                <w:bCs w:val="0"/>
                <w:color w:val="auto"/>
                <w:sz w:val="24"/>
                <w:highlight w:val="none"/>
                <w:lang w:val="en-US" w:eastAsia="zh-CN"/>
              </w:rPr>
              <w:t>1）</w:t>
            </w:r>
            <w:r>
              <w:rPr>
                <w:rFonts w:hint="default" w:ascii="Times New Roman" w:hAnsi="Times New Roman" w:eastAsia="宋体" w:cs="Times New Roman"/>
                <w:b w:val="0"/>
                <w:bCs w:val="0"/>
                <w:color w:val="auto"/>
                <w:sz w:val="24"/>
                <w:highlight w:val="none"/>
              </w:rPr>
              <w:t>单个室外的点声源在预测点产生的声级计算基本公式：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left="0" w:leftChars="0" w:firstLine="434" w:firstLineChars="175"/>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cs="Times New Roman"/>
                <w:bCs/>
                <w:color w:val="auto"/>
                <w:spacing w:val="4"/>
                <w:sz w:val="24"/>
              </w:rPr>
              <w:pict>
                <v:shape id="对象 67" o:spid="_x0000_s1052" o:spt="75" type="#_x0000_t75" style="position:absolute;left:0pt;margin-left:67.6pt;margin-top:8.9pt;height:19pt;width:255.3pt;z-index:251659264;mso-width-relative:page;mso-height-relative:page;" o:ole="t" filled="f" o:preferrelative="t" stroked="f" coordsize="21600,21600">
                  <v:path/>
                  <v:fill on="f" focussize="0,0"/>
                  <v:stroke on="f"/>
                  <v:imagedata r:id="rId21" o:title=""/>
                  <o:lock v:ext="edit" aspectratio="t"/>
                </v:shape>
                <o:OLEObject Type="Embed" ProgID="" ShapeID="对象 67" DrawAspect="Content" ObjectID="_1468075728" r:id="rId20">
                  <o:LockedField>false</o:LockedField>
                </o:OLEObject>
              </w:pict>
            </w:r>
            <w:r>
              <w:rPr>
                <w:rFonts w:hint="default" w:ascii="Times New Roman" w:hAnsi="Times New Roman" w:eastAsia="宋体" w:cs="Times New Roman"/>
                <w:b w:val="0"/>
                <w:bCs w:val="0"/>
                <w:color w:val="auto"/>
                <w:sz w:val="24"/>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60" w:firstLineChars="192"/>
              <w:jc w:val="both"/>
              <w:textAlignment w:val="auto"/>
              <w:outlineLvl w:val="9"/>
              <w:rPr>
                <w:rFonts w:hint="default" w:ascii="Times New Roman" w:hAnsi="Times New Roman" w:eastAsia="宋体" w:cs="Times New Roman"/>
                <w:b w:val="0"/>
                <w:bCs w:val="0"/>
                <w:color w:val="auto"/>
                <w:sz w:val="24"/>
                <w:highlight w:val="none"/>
              </w:rPr>
            </w:pPr>
          </w:p>
          <w:p>
            <w:pPr>
              <w:keepNext w:val="0"/>
              <w:keepLines w:val="0"/>
              <w:widowControl/>
              <w:suppressLineNumbers w:val="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 xml:space="preserve">  式中：L</w:t>
            </w:r>
            <w:r>
              <w:rPr>
                <w:rFonts w:hint="default" w:ascii="Times New Roman" w:hAnsi="Times New Roman" w:eastAsia="宋体" w:cs="Times New Roman"/>
                <w:b w:val="0"/>
                <w:bCs w:val="0"/>
                <w:color w:val="auto"/>
                <w:sz w:val="24"/>
                <w:highlight w:val="none"/>
                <w:vertAlign w:val="subscript"/>
                <w:lang w:val="en-US" w:eastAsia="zh-CN"/>
              </w:rPr>
              <w:t>p</w:t>
            </w:r>
            <w:r>
              <w:rPr>
                <w:rFonts w:hint="default" w:ascii="Times New Roman" w:hAnsi="Times New Roman" w:eastAsia="宋体" w:cs="Times New Roman"/>
                <w:b w:val="0"/>
                <w:bCs w:val="0"/>
                <w:color w:val="auto"/>
                <w:sz w:val="24"/>
                <w:highlight w:val="none"/>
                <w:vertAlign w:val="baseline"/>
                <w:lang w:val="en-US" w:eastAsia="zh-CN"/>
              </w:rPr>
              <w:t>（r）</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距离点源</w:t>
            </w:r>
            <w:r>
              <w:rPr>
                <w:rFonts w:hint="default" w:ascii="Times New Roman" w:hAnsi="Times New Roman" w:eastAsia="宋体" w:cs="Times New Roman"/>
                <w:color w:val="auto"/>
                <w:kern w:val="0"/>
                <w:sz w:val="24"/>
                <w:szCs w:val="24"/>
                <w:lang w:val="en-US" w:eastAsia="zh-CN" w:bidi="ar"/>
              </w:rPr>
              <w:t>r</w:t>
            </w:r>
            <w:r>
              <w:rPr>
                <w:rFonts w:hint="default" w:ascii="Times New Roman" w:hAnsi="Times New Roman" w:cs="Times New Roman"/>
                <w:color w:val="auto"/>
                <w:kern w:val="0"/>
                <w:sz w:val="24"/>
                <w:szCs w:val="24"/>
                <w:lang w:val="en-US" w:eastAsia="zh-CN" w:bidi="ar"/>
              </w:rPr>
              <w:t>处的A声压级，</w:t>
            </w:r>
            <w:r>
              <w:rPr>
                <w:rFonts w:hint="default" w:ascii="Times New Roman" w:hAnsi="Times New Roman" w:eastAsia="宋体" w:cs="Times New Roman"/>
                <w:b w:val="0"/>
                <w:bCs w:val="0"/>
                <w:color w:val="auto"/>
                <w:sz w:val="24"/>
                <w:highlight w:val="none"/>
              </w:rPr>
              <w:t>dB；</w:t>
            </w:r>
          </w:p>
          <w:p>
            <w:pPr>
              <w:spacing w:line="500" w:lineRule="exact"/>
              <w:ind w:firstLine="960" w:firstLineChars="4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L</w:t>
            </w:r>
            <w:r>
              <w:rPr>
                <w:rFonts w:hint="default" w:ascii="Times New Roman" w:hAnsi="Times New Roman" w:eastAsia="宋体" w:cs="Times New Roman"/>
                <w:b w:val="0"/>
                <w:bCs w:val="0"/>
                <w:color w:val="auto"/>
                <w:sz w:val="24"/>
                <w:highlight w:val="none"/>
                <w:vertAlign w:val="subscript"/>
                <w:lang w:val="en-US" w:eastAsia="zh-CN"/>
              </w:rPr>
              <w:t>p</w:t>
            </w:r>
            <w:r>
              <w:rPr>
                <w:rFonts w:hint="default" w:ascii="Times New Roman" w:hAnsi="Times New Roman" w:eastAsia="宋体" w:cs="Times New Roman"/>
                <w:b w:val="0"/>
                <w:bCs w:val="0"/>
                <w:color w:val="auto"/>
                <w:sz w:val="24"/>
                <w:highlight w:val="none"/>
                <w:vertAlign w:val="baseline"/>
                <w:lang w:val="en-US" w:eastAsia="zh-CN"/>
              </w:rPr>
              <w:t>（r</w:t>
            </w:r>
            <w:r>
              <w:rPr>
                <w:rFonts w:hint="default" w:ascii="Times New Roman" w:hAnsi="Times New Roman" w:eastAsia="宋体" w:cs="Times New Roman"/>
                <w:b w:val="0"/>
                <w:bCs w:val="0"/>
                <w:color w:val="auto"/>
                <w:sz w:val="24"/>
                <w:highlight w:val="none"/>
                <w:vertAlign w:val="subscript"/>
                <w:lang w:val="en-US" w:eastAsia="zh-CN"/>
              </w:rPr>
              <w:t>0</w:t>
            </w:r>
            <w:r>
              <w:rPr>
                <w:rFonts w:hint="default" w:ascii="Times New Roman" w:hAnsi="Times New Roman" w:eastAsia="宋体" w:cs="Times New Roman"/>
                <w:b w:val="0"/>
                <w:bCs w:val="0"/>
                <w:color w:val="auto"/>
                <w:sz w:val="24"/>
                <w:highlight w:val="none"/>
                <w:vertAlign w:val="baseline"/>
                <w:lang w:val="en-US" w:eastAsia="zh-CN"/>
              </w:rPr>
              <w:t>）</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参考位置</w:t>
            </w:r>
            <w:r>
              <w:rPr>
                <w:rFonts w:hint="default" w:ascii="Times New Roman" w:hAnsi="Times New Roman" w:eastAsia="宋体" w:cs="Times New Roman"/>
                <w:b w:val="0"/>
                <w:bCs w:val="0"/>
                <w:color w:val="auto"/>
                <w:sz w:val="24"/>
                <w:highlight w:val="none"/>
                <w:vertAlign w:val="baseline"/>
                <w:lang w:val="en-US" w:eastAsia="zh-CN"/>
              </w:rPr>
              <w:t>r</w:t>
            </w:r>
            <w:r>
              <w:rPr>
                <w:rFonts w:hint="default" w:ascii="Times New Roman" w:hAnsi="Times New Roman" w:eastAsia="宋体" w:cs="Times New Roman"/>
                <w:b w:val="0"/>
                <w:bCs w:val="0"/>
                <w:color w:val="auto"/>
                <w:sz w:val="24"/>
                <w:highlight w:val="none"/>
                <w:vertAlign w:val="subscript"/>
                <w:lang w:val="en-US" w:eastAsia="zh-CN"/>
              </w:rPr>
              <w:t>0</w:t>
            </w:r>
            <w:r>
              <w:rPr>
                <w:rFonts w:hint="default" w:ascii="Times New Roman" w:hAnsi="Times New Roman" w:eastAsia="宋体" w:cs="Times New Roman"/>
                <w:b w:val="0"/>
                <w:bCs w:val="0"/>
                <w:color w:val="auto"/>
                <w:sz w:val="24"/>
                <w:highlight w:val="none"/>
                <w:vertAlign w:val="baseline"/>
                <w:lang w:val="en-US" w:eastAsia="zh-CN"/>
              </w:rPr>
              <w:t>处</w:t>
            </w:r>
            <w:r>
              <w:rPr>
                <w:rFonts w:hint="default" w:ascii="Times New Roman" w:hAnsi="Times New Roman" w:cs="Times New Roman"/>
                <w:color w:val="auto"/>
                <w:kern w:val="0"/>
                <w:sz w:val="24"/>
                <w:szCs w:val="24"/>
                <w:lang w:val="en-US" w:eastAsia="zh-CN" w:bidi="ar"/>
              </w:rPr>
              <w:t>的A声压级，</w:t>
            </w:r>
            <w:r>
              <w:rPr>
                <w:rFonts w:hint="default" w:ascii="Times New Roman" w:hAnsi="Times New Roman" w:eastAsia="宋体" w:cs="Times New Roman"/>
                <w:b w:val="0"/>
                <w:bCs w:val="0"/>
                <w:color w:val="auto"/>
                <w:sz w:val="24"/>
                <w:highlight w:val="none"/>
              </w:rPr>
              <w:t>dB；</w:t>
            </w:r>
          </w:p>
          <w:p>
            <w:pPr>
              <w:spacing w:line="500" w:lineRule="exact"/>
              <w:ind w:firstLine="960" w:firstLineChars="4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D</w:t>
            </w:r>
            <w:r>
              <w:rPr>
                <w:rFonts w:hint="default" w:ascii="Times New Roman" w:hAnsi="Times New Roman" w:eastAsia="宋体" w:cs="Times New Roman"/>
                <w:b w:val="0"/>
                <w:bCs w:val="0"/>
                <w:color w:val="auto"/>
                <w:sz w:val="24"/>
                <w:highlight w:val="none"/>
                <w:vertAlign w:val="subscript"/>
              </w:rPr>
              <w:t>C</w:t>
            </w:r>
            <w:r>
              <w:rPr>
                <w:rFonts w:hint="default" w:ascii="Times New Roman" w:hAnsi="Times New Roman" w:eastAsia="宋体" w:cs="Times New Roman"/>
                <w:b w:val="0"/>
                <w:bCs w:val="0"/>
                <w:color w:val="auto"/>
                <w:sz w:val="24"/>
                <w:highlight w:val="none"/>
              </w:rPr>
              <w:t>—指向性校正，dB；</w:t>
            </w:r>
          </w:p>
          <w:p>
            <w:pPr>
              <w:spacing w:line="500" w:lineRule="exact"/>
              <w:ind w:firstLine="960" w:firstLineChars="4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A</w:t>
            </w:r>
            <w:r>
              <w:rPr>
                <w:rFonts w:hint="default" w:ascii="Times New Roman" w:hAnsi="Times New Roman" w:eastAsia="宋体" w:cs="Times New Roman"/>
                <w:b w:val="0"/>
                <w:bCs w:val="0"/>
                <w:color w:val="auto"/>
                <w:sz w:val="24"/>
                <w:highlight w:val="none"/>
                <w:vertAlign w:val="subscript"/>
              </w:rPr>
              <w:t>div</w:t>
            </w:r>
            <w:r>
              <w:rPr>
                <w:rFonts w:hint="default" w:ascii="Times New Roman" w:hAnsi="Times New Roman" w:eastAsia="宋体" w:cs="Times New Roman"/>
                <w:b w:val="0"/>
                <w:bCs w:val="0"/>
                <w:color w:val="auto"/>
                <w:sz w:val="24"/>
                <w:highlight w:val="none"/>
              </w:rPr>
              <w:t>—几何发散引起的衰减，dB；</w:t>
            </w:r>
          </w:p>
          <w:p>
            <w:pPr>
              <w:spacing w:line="500" w:lineRule="exact"/>
              <w:ind w:firstLine="960" w:firstLineChars="4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A</w:t>
            </w:r>
            <w:r>
              <w:rPr>
                <w:rFonts w:hint="default" w:ascii="Times New Roman" w:hAnsi="Times New Roman" w:eastAsia="宋体" w:cs="Times New Roman"/>
                <w:b w:val="0"/>
                <w:bCs w:val="0"/>
                <w:color w:val="auto"/>
                <w:sz w:val="24"/>
                <w:highlight w:val="none"/>
                <w:vertAlign w:val="subscript"/>
              </w:rPr>
              <w:t>atm</w:t>
            </w:r>
            <w:r>
              <w:rPr>
                <w:rFonts w:hint="default" w:ascii="Times New Roman" w:hAnsi="Times New Roman" w:eastAsia="宋体" w:cs="Times New Roman"/>
                <w:b w:val="0"/>
                <w:bCs w:val="0"/>
                <w:color w:val="auto"/>
                <w:sz w:val="24"/>
                <w:highlight w:val="none"/>
              </w:rPr>
              <w:t>—大气吸收引起的衰减，dB；</w:t>
            </w:r>
          </w:p>
          <w:p>
            <w:pPr>
              <w:spacing w:line="500" w:lineRule="exact"/>
              <w:ind w:firstLine="960" w:firstLineChars="4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A</w:t>
            </w:r>
            <w:r>
              <w:rPr>
                <w:rFonts w:hint="default" w:ascii="Times New Roman" w:hAnsi="Times New Roman" w:eastAsia="宋体" w:cs="Times New Roman"/>
                <w:b w:val="0"/>
                <w:bCs w:val="0"/>
                <w:color w:val="auto"/>
                <w:sz w:val="24"/>
                <w:highlight w:val="none"/>
                <w:vertAlign w:val="subscript"/>
              </w:rPr>
              <w:t>gr</w:t>
            </w:r>
            <w:r>
              <w:rPr>
                <w:rFonts w:hint="default" w:ascii="Times New Roman" w:hAnsi="Times New Roman" w:eastAsia="宋体" w:cs="Times New Roman"/>
                <w:b w:val="0"/>
                <w:bCs w:val="0"/>
                <w:color w:val="auto"/>
                <w:sz w:val="24"/>
                <w:highlight w:val="none"/>
              </w:rPr>
              <w:t>—地面效应引起的衰减，dB；</w:t>
            </w:r>
          </w:p>
          <w:p>
            <w:pPr>
              <w:spacing w:line="500" w:lineRule="exact"/>
              <w:ind w:firstLine="960" w:firstLineChars="4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A</w:t>
            </w:r>
            <w:r>
              <w:rPr>
                <w:rFonts w:hint="default" w:ascii="Times New Roman" w:hAnsi="Times New Roman" w:eastAsia="宋体" w:cs="Times New Roman"/>
                <w:b w:val="0"/>
                <w:bCs w:val="0"/>
                <w:color w:val="auto"/>
                <w:sz w:val="24"/>
                <w:highlight w:val="none"/>
                <w:vertAlign w:val="subscript"/>
              </w:rPr>
              <w:t>bar</w:t>
            </w:r>
            <w:r>
              <w:rPr>
                <w:rFonts w:hint="default" w:ascii="Times New Roman" w:hAnsi="Times New Roman" w:eastAsia="宋体" w:cs="Times New Roman"/>
                <w:b w:val="0"/>
                <w:bCs w:val="0"/>
                <w:color w:val="auto"/>
                <w:sz w:val="24"/>
                <w:highlight w:val="none"/>
              </w:rPr>
              <w:t>—障</w:t>
            </w:r>
            <w:r>
              <w:rPr>
                <w:rFonts w:hint="default" w:ascii="Times New Roman" w:hAnsi="Times New Roman" w:eastAsia="宋体" w:cs="Times New Roman"/>
                <w:b w:val="0"/>
                <w:bCs w:val="0"/>
                <w:color w:val="auto"/>
                <w:sz w:val="24"/>
                <w:highlight w:val="none"/>
                <w:lang w:val="en-US" w:eastAsia="zh-CN"/>
              </w:rPr>
              <w:t>碍物</w:t>
            </w:r>
            <w:r>
              <w:rPr>
                <w:rFonts w:hint="default" w:ascii="Times New Roman" w:hAnsi="Times New Roman" w:eastAsia="宋体" w:cs="Times New Roman"/>
                <w:b w:val="0"/>
                <w:bCs w:val="0"/>
                <w:color w:val="auto"/>
                <w:sz w:val="24"/>
                <w:highlight w:val="none"/>
              </w:rPr>
              <w:t>屏</w:t>
            </w:r>
            <w:r>
              <w:rPr>
                <w:rFonts w:hint="default" w:ascii="Times New Roman" w:hAnsi="Times New Roman" w:eastAsia="宋体" w:cs="Times New Roman"/>
                <w:b w:val="0"/>
                <w:bCs w:val="0"/>
                <w:color w:val="auto"/>
                <w:sz w:val="24"/>
                <w:highlight w:val="none"/>
                <w:lang w:val="en-US" w:eastAsia="zh-CN"/>
              </w:rPr>
              <w:t>蔽</w:t>
            </w:r>
            <w:r>
              <w:rPr>
                <w:rFonts w:hint="default" w:ascii="Times New Roman" w:hAnsi="Times New Roman" w:eastAsia="宋体" w:cs="Times New Roman"/>
                <w:b w:val="0"/>
                <w:bCs w:val="0"/>
                <w:color w:val="auto"/>
                <w:sz w:val="24"/>
                <w:highlight w:val="none"/>
              </w:rPr>
              <w:t>引起的衰减，dB；</w:t>
            </w:r>
          </w:p>
          <w:p>
            <w:pPr>
              <w:keepNext w:val="0"/>
              <w:keepLines w:val="0"/>
              <w:pageBreakBefore w:val="0"/>
              <w:widowControl w:val="0"/>
              <w:kinsoku/>
              <w:wordWrap/>
              <w:overflowPunct/>
              <w:topLinePunct w:val="0"/>
              <w:autoSpaceDE/>
              <w:autoSpaceDN/>
              <w:bidi w:val="0"/>
              <w:adjustRightInd/>
              <w:snapToGrid/>
              <w:spacing w:line="460" w:lineRule="exact"/>
              <w:ind w:firstLine="960" w:firstLineChars="40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A</w:t>
            </w:r>
            <w:r>
              <w:rPr>
                <w:rFonts w:hint="default" w:ascii="Times New Roman" w:hAnsi="Times New Roman" w:eastAsia="宋体" w:cs="Times New Roman"/>
                <w:b w:val="0"/>
                <w:bCs w:val="0"/>
                <w:color w:val="auto"/>
                <w:sz w:val="24"/>
                <w:highlight w:val="none"/>
                <w:vertAlign w:val="subscript"/>
              </w:rPr>
              <w:t>misc</w:t>
            </w:r>
            <w:r>
              <w:rPr>
                <w:rFonts w:hint="default" w:ascii="Times New Roman" w:hAnsi="Times New Roman" w:eastAsia="宋体" w:cs="Times New Roman"/>
                <w:b w:val="0"/>
                <w:bCs w:val="0"/>
                <w:color w:val="auto"/>
                <w:sz w:val="24"/>
                <w:highlight w:val="none"/>
              </w:rPr>
              <w:t>—其他多方面效应引起的衰减，dB</w:t>
            </w:r>
            <w:r>
              <w:rPr>
                <w:rFonts w:hint="default" w:ascii="Times New Roman" w:hAnsi="Times New Roman" w:eastAsia="宋体" w:cs="Times New Roman"/>
                <w:b w:val="0"/>
                <w:bCs w:val="0"/>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460" w:lineRule="exact"/>
              <w:ind w:firstLine="960" w:firstLineChars="40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vertAlign w:val="baseline"/>
                <w:lang w:val="en-US" w:eastAsia="zh-CN"/>
              </w:rPr>
              <w:t>r</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预测点距离声源的距离</w:t>
            </w:r>
            <w:r>
              <w:rPr>
                <w:rFonts w:hint="default" w:ascii="Times New Roman" w:hAnsi="Times New Roman" w:eastAsia="宋体" w:cs="Times New Roman"/>
                <w:b w:val="0"/>
                <w:bCs w:val="0"/>
                <w:color w:val="auto"/>
                <w:sz w:val="24"/>
                <w:highlight w:val="none"/>
              </w:rPr>
              <w:t>，dB</w:t>
            </w:r>
            <w:r>
              <w:rPr>
                <w:rFonts w:hint="default" w:ascii="Times New Roman" w:hAnsi="Times New Roman" w:eastAsia="宋体" w:cs="Times New Roman"/>
                <w:b w:val="0"/>
                <w:bCs w:val="0"/>
                <w:color w:val="auto"/>
                <w:sz w:val="24"/>
                <w:highlight w:val="none"/>
                <w:lang w:val="en-US" w:eastAsia="zh-CN"/>
              </w:rPr>
              <w:t>；</w:t>
            </w:r>
          </w:p>
          <w:p>
            <w:pPr>
              <w:tabs>
                <w:tab w:val="left" w:pos="868"/>
              </w:tabs>
              <w:spacing w:line="500" w:lineRule="exact"/>
              <w:ind w:firstLine="960" w:firstLineChars="400"/>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b w:val="0"/>
                <w:bCs w:val="0"/>
                <w:color w:val="auto"/>
                <w:sz w:val="24"/>
                <w:highlight w:val="none"/>
                <w:vertAlign w:val="baseline"/>
                <w:lang w:val="en-US" w:eastAsia="zh-CN"/>
              </w:rPr>
              <w:t>r</w:t>
            </w:r>
            <w:r>
              <w:rPr>
                <w:rFonts w:hint="default" w:ascii="Times New Roman" w:hAnsi="Times New Roman" w:eastAsia="宋体" w:cs="Times New Roman"/>
                <w:b w:val="0"/>
                <w:bCs w:val="0"/>
                <w:color w:val="auto"/>
                <w:sz w:val="24"/>
                <w:highlight w:val="none"/>
                <w:vertAlign w:val="subscript"/>
                <w:lang w:val="en-US" w:eastAsia="zh-CN"/>
              </w:rPr>
              <w:t>0</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参考位置距离声源的距离</w:t>
            </w:r>
            <w:r>
              <w:rPr>
                <w:rFonts w:hint="default" w:ascii="Times New Roman" w:hAnsi="Times New Roman" w:eastAsia="宋体" w:cs="Times New Roman"/>
                <w:b w:val="0"/>
                <w:bCs w:val="0"/>
                <w:color w:val="auto"/>
                <w:sz w:val="24"/>
                <w:highlight w:val="none"/>
              </w:rPr>
              <w:t>，dB</w:t>
            </w:r>
            <w:r>
              <w:rPr>
                <w:rFonts w:hint="default" w:ascii="Times New Roman" w:hAnsi="Times New Roman" w:eastAsia="宋体" w:cs="Times New Roman"/>
                <w:b w:val="0"/>
                <w:bCs w:val="0"/>
                <w:color w:val="auto"/>
                <w:sz w:val="24"/>
                <w:highlight w:val="none"/>
                <w:lang w:val="en-US" w:eastAsia="zh-CN"/>
              </w:rPr>
              <w:t>；</w:t>
            </w:r>
          </w:p>
          <w:p>
            <w:pPr>
              <w:keepNext w:val="0"/>
              <w:keepLines w:val="0"/>
              <w:pageBreakBefore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本次噪声预测计算将从偏保守角度出发，仅考虑声波随距离的衰减 A</w:t>
            </w:r>
            <w:r>
              <w:rPr>
                <w:rFonts w:hint="default" w:ascii="Times New Roman" w:hAnsi="Times New Roman" w:eastAsia="宋体" w:cs="Times New Roman"/>
                <w:b w:val="0"/>
                <w:bCs w:val="0"/>
                <w:color w:val="auto"/>
                <w:sz w:val="24"/>
                <w:highlight w:val="none"/>
                <w:vertAlign w:val="subscript"/>
                <w:lang w:val="en-US" w:eastAsia="zh-CN"/>
              </w:rPr>
              <w:t>div</w:t>
            </w:r>
            <w:r>
              <w:rPr>
                <w:rFonts w:hint="default" w:ascii="Times New Roman" w:hAnsi="Times New Roman" w:eastAsia="宋体" w:cs="Times New Roman"/>
                <w:b w:val="0"/>
                <w:bCs w:val="0"/>
                <w:color w:val="auto"/>
                <w:sz w:val="24"/>
                <w:highlight w:val="none"/>
                <w:lang w:val="en-US" w:eastAsia="zh-CN"/>
              </w:rPr>
              <w:t>，对单个点声源的几何发散衰减用以下公式计算：</w:t>
            </w:r>
          </w:p>
          <w:p>
            <w:pPr>
              <w:keepNext w:val="0"/>
              <w:keepLines w:val="0"/>
              <w:pageBreakBefore w:val="0"/>
              <w:widowControl w:val="0"/>
              <w:kinsoku/>
              <w:wordWrap/>
              <w:overflowPunct/>
              <w:topLinePunct w:val="0"/>
              <w:autoSpaceDE/>
              <w:autoSpaceDN/>
              <w:bidi w:val="0"/>
              <w:adjustRightInd/>
              <w:snapToGrid/>
              <w:spacing w:line="460" w:lineRule="exact"/>
              <w:ind w:firstLine="1200" w:firstLineChars="50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w:t>
            </w:r>
            <w:r>
              <w:rPr>
                <w:rFonts w:hint="default" w:ascii="Times New Roman" w:hAnsi="Times New Roman" w:eastAsia="宋体" w:cs="Times New Roman"/>
                <w:color w:val="auto"/>
                <w:sz w:val="24"/>
                <w:szCs w:val="24"/>
                <w:vertAlign w:val="subscript"/>
                <w:lang w:val="en-US" w:eastAsia="zh-CN"/>
              </w:rPr>
              <w:t>A</w:t>
            </w:r>
            <w:r>
              <w:rPr>
                <w:rFonts w:hint="default" w:ascii="Times New Roman" w:hAnsi="Times New Roman" w:eastAsia="宋体" w:cs="Times New Roman"/>
                <w:color w:val="auto"/>
                <w:sz w:val="24"/>
                <w:szCs w:val="24"/>
              </w:rPr>
              <w:t>(r)=L</w:t>
            </w:r>
            <w:r>
              <w:rPr>
                <w:rFonts w:hint="default" w:ascii="Times New Roman" w:hAnsi="Times New Roman" w:eastAsia="宋体" w:cs="Times New Roman"/>
                <w:color w:val="auto"/>
                <w:sz w:val="24"/>
                <w:szCs w:val="24"/>
                <w:vertAlign w:val="subscript"/>
                <w:lang w:val="en-US" w:eastAsia="zh-CN"/>
              </w:rPr>
              <w:t>A</w:t>
            </w:r>
            <w:r>
              <w:rPr>
                <w:rFonts w:hint="default" w:ascii="Times New Roman" w:hAnsi="Times New Roman" w:eastAsia="宋体" w:cs="Times New Roman"/>
                <w:color w:val="auto"/>
                <w:sz w:val="24"/>
                <w:szCs w:val="24"/>
              </w:rPr>
              <w:t>(r</w:t>
            </w:r>
            <w:r>
              <w:rPr>
                <w:rFonts w:hint="default" w:ascii="Times New Roman" w:hAnsi="Times New Roman" w:eastAsia="宋体" w:cs="Times New Roman"/>
                <w:color w:val="auto"/>
                <w:sz w:val="24"/>
                <w:szCs w:val="24"/>
                <w:vertAlign w:val="subscript"/>
              </w:rPr>
              <w:t>0</w:t>
            </w:r>
            <w:r>
              <w:rPr>
                <w:rFonts w:hint="default" w:ascii="Times New Roman" w:hAnsi="Times New Roman" w:eastAsia="宋体" w:cs="Times New Roman"/>
                <w:color w:val="auto"/>
                <w:sz w:val="24"/>
                <w:szCs w:val="24"/>
              </w:rPr>
              <w:t>)-</w:t>
            </w:r>
            <w:r>
              <w:rPr>
                <w:rFonts w:hint="default" w:ascii="Times New Roman" w:hAnsi="Times New Roman" w:eastAsia="宋体" w:cs="Times New Roman"/>
                <w:b w:val="0"/>
                <w:bCs w:val="0"/>
                <w:color w:val="auto"/>
                <w:sz w:val="24"/>
                <w:highlight w:val="none"/>
                <w:vertAlign w:val="baseline"/>
                <w:lang w:val="en-US" w:eastAsia="zh-CN"/>
              </w:rPr>
              <w:t>20lg(r/r</w:t>
            </w:r>
            <w:r>
              <w:rPr>
                <w:rFonts w:hint="default" w:ascii="Times New Roman" w:hAnsi="Times New Roman" w:eastAsia="宋体" w:cs="Times New Roman"/>
                <w:b w:val="0"/>
                <w:bCs w:val="0"/>
                <w:color w:val="auto"/>
                <w:sz w:val="24"/>
                <w:highlight w:val="none"/>
                <w:vertAlign w:val="subscript"/>
                <w:lang w:val="en-US" w:eastAsia="zh-CN"/>
              </w:rPr>
              <w:t>0</w:t>
            </w:r>
            <w:r>
              <w:rPr>
                <w:rFonts w:hint="default" w:ascii="Times New Roman" w:hAnsi="Times New Roman" w:eastAsia="宋体" w:cs="Times New Roman"/>
                <w:b w:val="0"/>
                <w:bCs w:val="0"/>
                <w:color w:val="auto"/>
                <w:sz w:val="24"/>
                <w:highlight w:val="none"/>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460" w:lineRule="exact"/>
              <w:ind w:left="0" w:leftChars="0" w:firstLine="338" w:firstLineChars="141"/>
              <w:textAlignment w:val="auto"/>
              <w:rPr>
                <w:rFonts w:hint="default" w:ascii="Times New Roman" w:hAnsi="Times New Roman" w:eastAsia="宋体" w:cs="Times New Roman"/>
                <w:b w:val="0"/>
                <w:bCs w:val="0"/>
                <w:color w:val="auto"/>
                <w:sz w:val="24"/>
                <w:highlight w:val="none"/>
                <w:lang w:val="en-US" w:eastAsia="zh-CN" w:bidi="ar-SA"/>
              </w:rPr>
            </w:pPr>
            <w:r>
              <w:rPr>
                <w:rFonts w:hint="default" w:ascii="Times New Roman" w:hAnsi="Times New Roman" w:cs="Times New Roman"/>
                <w:b w:val="0"/>
                <w:bCs w:val="0"/>
                <w:color w:val="auto"/>
                <w:sz w:val="24"/>
                <w:highlight w:val="none"/>
                <w:lang w:val="en-US" w:eastAsia="zh-CN" w:bidi="ar-SA"/>
              </w:rPr>
              <w:t>2）</w:t>
            </w:r>
            <w:r>
              <w:rPr>
                <w:rFonts w:hint="default" w:ascii="Times New Roman" w:hAnsi="Times New Roman" w:eastAsia="宋体" w:cs="Times New Roman"/>
                <w:b w:val="0"/>
                <w:bCs w:val="0"/>
                <w:color w:val="auto"/>
                <w:sz w:val="24"/>
                <w:highlight w:val="none"/>
                <w:lang w:val="en-US" w:eastAsia="zh-CN" w:bidi="ar-SA"/>
              </w:rPr>
              <w:t xml:space="preserve">室内声源计算公式 </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Lp</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vertAlign w:val="baseline"/>
                <w:lang w:val="en-US" w:eastAsia="zh-CN"/>
              </w:rPr>
              <w:t>=</w:t>
            </w:r>
            <w:r>
              <w:rPr>
                <w:rFonts w:hint="default" w:ascii="Times New Roman" w:hAnsi="Times New Roman" w:eastAsia="宋体" w:cs="Times New Roman"/>
                <w:color w:val="auto"/>
                <w:sz w:val="24"/>
                <w:szCs w:val="24"/>
                <w:lang w:val="en-US" w:eastAsia="zh-CN"/>
              </w:rPr>
              <w:t>L</w:t>
            </w:r>
            <w:r>
              <w:rPr>
                <w:rFonts w:hint="default" w:ascii="Times New Roman" w:hAnsi="Times New Roman" w:eastAsia="宋体" w:cs="Times New Roman"/>
                <w:color w:val="auto"/>
                <w:sz w:val="24"/>
                <w:szCs w:val="24"/>
                <w:vertAlign w:val="subscript"/>
                <w:lang w:val="en-US" w:eastAsia="zh-CN"/>
              </w:rPr>
              <w:t>P1</w:t>
            </w:r>
            <w:r>
              <w:rPr>
                <w:rFonts w:hint="default" w:ascii="Times New Roman" w:hAnsi="Times New Roman" w:eastAsia="宋体" w:cs="Times New Roman"/>
                <w:color w:val="auto"/>
                <w:sz w:val="24"/>
                <w:szCs w:val="24"/>
                <w:vertAlign w:val="baseline"/>
                <w:lang w:val="en-US" w:eastAsia="zh-CN"/>
              </w:rPr>
              <w:t>—（</w:t>
            </w:r>
            <w:r>
              <w:rPr>
                <w:rFonts w:hint="default" w:ascii="Times New Roman" w:hAnsi="Times New Roman" w:eastAsia="宋体" w:cs="Times New Roman"/>
                <w:color w:val="auto"/>
                <w:sz w:val="24"/>
                <w:szCs w:val="24"/>
                <w:lang w:val="en-US" w:eastAsia="zh-CN"/>
              </w:rPr>
              <w:t>TL+6)</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式中：L</w:t>
            </w:r>
            <w:r>
              <w:rPr>
                <w:rFonts w:hint="default" w:ascii="Times New Roman" w:hAnsi="Times New Roman" w:eastAsia="宋体" w:cs="Times New Roman"/>
                <w:color w:val="auto"/>
                <w:sz w:val="24"/>
                <w:szCs w:val="24"/>
                <w:vertAlign w:val="subscript"/>
                <w:lang w:val="en-US" w:eastAsia="zh-CN"/>
              </w:rPr>
              <w:t>P1</w:t>
            </w:r>
            <w:r>
              <w:rPr>
                <w:rFonts w:hint="default" w:ascii="Times New Roman" w:hAnsi="Times New Roman" w:eastAsia="宋体" w:cs="Times New Roman"/>
                <w:color w:val="auto"/>
                <w:sz w:val="24"/>
                <w:szCs w:val="24"/>
                <w:lang w:val="en-US" w:eastAsia="zh-CN"/>
              </w:rPr>
              <w:t>、L</w:t>
            </w:r>
            <w:r>
              <w:rPr>
                <w:rFonts w:hint="default" w:ascii="Times New Roman" w:hAnsi="Times New Roman" w:eastAsia="宋体" w:cs="Times New Roman"/>
                <w:color w:val="auto"/>
                <w:sz w:val="24"/>
                <w:szCs w:val="24"/>
                <w:vertAlign w:val="subscript"/>
                <w:lang w:val="en-US" w:eastAsia="zh-CN"/>
              </w:rPr>
              <w:t>P2</w:t>
            </w:r>
            <w:r>
              <w:rPr>
                <w:rFonts w:hint="default" w:ascii="Times New Roman" w:hAnsi="Times New Roman" w:eastAsia="宋体" w:cs="Times New Roman"/>
                <w:color w:val="auto"/>
                <w:sz w:val="24"/>
                <w:szCs w:val="24"/>
                <w:lang w:val="en-US" w:eastAsia="zh-CN"/>
              </w:rPr>
              <w:t xml:space="preserve">——靠近开口处（或窗户）室内、外某倍频带的声压级，dB； </w:t>
            </w:r>
          </w:p>
          <w:p>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 xml:space="preserve">TL——隔窗（或窗户）倍频带的隔声量，dB。 </w:t>
            </w:r>
          </w:p>
          <w:p>
            <w:pPr>
              <w:keepNext w:val="0"/>
              <w:keepLines w:val="0"/>
              <w:pageBreakBefore w:val="0"/>
              <w:widowControl/>
              <w:kinsoku/>
              <w:wordWrap/>
              <w:overflowPunct/>
              <w:topLinePunct w:val="0"/>
              <w:autoSpaceDE/>
              <w:autoSpaceDN/>
              <w:bidi w:val="0"/>
              <w:adjustRightInd/>
              <w:snapToGrid/>
              <w:spacing w:line="480" w:lineRule="exact"/>
              <w:ind w:left="0" w:leftChars="0" w:right="0" w:rightChars="0" w:firstLine="480" w:firstLineChars="20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kern w:val="0"/>
                <w:sz w:val="24"/>
                <w:szCs w:val="24"/>
                <w:lang w:val="en-US" w:eastAsia="zh-CN" w:bidi="ar"/>
              </w:rPr>
              <w:t>本项目生产车间采用彩钢全封闭，车间门窗处</w:t>
            </w:r>
            <w:r>
              <w:rPr>
                <w:rFonts w:hint="default" w:ascii="Times New Roman" w:hAnsi="Times New Roman" w:cs="Times New Roman"/>
                <w:color w:val="auto"/>
                <w:kern w:val="0"/>
                <w:sz w:val="24"/>
                <w:szCs w:val="24"/>
                <w:lang w:bidi="ar"/>
              </w:rPr>
              <w:t>的隔声量</w:t>
            </w:r>
            <w:r>
              <w:rPr>
                <w:rFonts w:hint="default" w:ascii="Times New Roman" w:hAnsi="Times New Roman" w:cs="Times New Roman"/>
                <w:color w:val="auto"/>
                <w:kern w:val="0"/>
                <w:sz w:val="24"/>
                <w:szCs w:val="24"/>
                <w:lang w:val="en-US" w:eastAsia="zh-CN" w:bidi="ar"/>
              </w:rPr>
              <w:t>TL取15</w:t>
            </w:r>
            <w:r>
              <w:rPr>
                <w:rFonts w:hint="default" w:ascii="Times New Roman" w:hAnsi="Times New Roman" w:cs="Times New Roman"/>
                <w:color w:val="auto"/>
                <w:kern w:val="0"/>
                <w:sz w:val="24"/>
                <w:lang w:bidi="ar"/>
              </w:rPr>
              <w:t>dB</w:t>
            </w:r>
            <w:r>
              <w:rPr>
                <w:rFonts w:hint="default" w:ascii="Times New Roman" w:hAnsi="Times New Roman" w:cs="Times New Roman"/>
                <w:color w:val="auto"/>
                <w:kern w:val="0"/>
                <w:sz w:val="24"/>
                <w:szCs w:val="24"/>
                <w:lang w:val="en-US" w:eastAsia="zh-CN" w:bidi="ar"/>
              </w:rPr>
              <w:t>，则室内室外的</w:t>
            </w:r>
            <w:r>
              <w:rPr>
                <w:rFonts w:hint="default" w:ascii="Times New Roman" w:hAnsi="Times New Roman" w:eastAsia="宋体" w:cs="Times New Roman"/>
                <w:color w:val="auto"/>
                <w:sz w:val="24"/>
                <w:szCs w:val="24"/>
              </w:rPr>
              <w:t>建筑物插入损失</w:t>
            </w:r>
            <w:r>
              <w:rPr>
                <w:rFonts w:hint="default" w:ascii="Times New Roman" w:hAnsi="Times New Roman" w:eastAsia="宋体" w:cs="Times New Roman"/>
                <w:color w:val="auto"/>
                <w:sz w:val="24"/>
                <w:szCs w:val="24"/>
                <w:lang w:val="en-US" w:eastAsia="zh-CN"/>
              </w:rPr>
              <w:t>为21</w:t>
            </w:r>
            <w:r>
              <w:rPr>
                <w:rFonts w:hint="default" w:ascii="Times New Roman" w:hAnsi="Times New Roman" w:eastAsia="宋体" w:cs="Times New Roman"/>
                <w:color w:val="auto"/>
                <w:spacing w:val="-10"/>
                <w:sz w:val="24"/>
                <w:szCs w:val="24"/>
              </w:rPr>
              <w:t>dB(A)</w:t>
            </w:r>
            <w:r>
              <w:rPr>
                <w:rFonts w:hint="default" w:ascii="Times New Roman" w:hAnsi="Times New Roman" w:eastAsia="宋体" w:cs="Times New Roman"/>
                <w:color w:val="auto"/>
                <w:spacing w:val="-1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60" w:lineRule="exact"/>
              <w:ind w:left="0" w:leftChars="0" w:firstLine="338" w:firstLineChars="141"/>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噪声</w:t>
            </w:r>
            <w:r>
              <w:rPr>
                <w:rFonts w:hint="default" w:ascii="Times New Roman" w:hAnsi="Times New Roman" w:eastAsia="宋体" w:cs="Times New Roman"/>
                <w:b w:val="0"/>
                <w:bCs w:val="0"/>
                <w:color w:val="auto"/>
                <w:sz w:val="24"/>
                <w:highlight w:val="none"/>
              </w:rPr>
              <w:t>贡献值计算</w:t>
            </w:r>
          </w:p>
          <w:p>
            <w:pPr>
              <w:spacing w:line="500" w:lineRule="exact"/>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设第i个室外声源在预测点产生的A声级为L</w:t>
            </w:r>
            <w:r>
              <w:rPr>
                <w:rFonts w:hint="default" w:ascii="Times New Roman" w:hAnsi="Times New Roman" w:eastAsia="宋体" w:cs="Times New Roman"/>
                <w:b w:val="0"/>
                <w:bCs w:val="0"/>
                <w:color w:val="auto"/>
                <w:sz w:val="24"/>
                <w:highlight w:val="none"/>
                <w:vertAlign w:val="subscript"/>
                <w:lang w:val="en-US" w:eastAsia="zh-CN"/>
              </w:rPr>
              <w:t>A</w:t>
            </w:r>
            <w:r>
              <w:rPr>
                <w:rFonts w:hint="default" w:ascii="Times New Roman" w:hAnsi="Times New Roman" w:eastAsia="宋体" w:cs="Times New Roman"/>
                <w:b w:val="0"/>
                <w:bCs w:val="0"/>
                <w:color w:val="auto"/>
                <w:sz w:val="24"/>
                <w:highlight w:val="none"/>
                <w:vertAlign w:val="subscript"/>
              </w:rPr>
              <w:t>i</w:t>
            </w:r>
            <w:r>
              <w:rPr>
                <w:rFonts w:hint="default" w:ascii="Times New Roman" w:hAnsi="Times New Roman" w:eastAsia="宋体" w:cs="Times New Roman"/>
                <w:b w:val="0"/>
                <w:bCs w:val="0"/>
                <w:color w:val="auto"/>
                <w:sz w:val="24"/>
                <w:highlight w:val="none"/>
              </w:rPr>
              <w:t>，在T时间内该声源工作时间为t</w:t>
            </w:r>
            <w:r>
              <w:rPr>
                <w:rFonts w:hint="default" w:ascii="Times New Roman" w:hAnsi="Times New Roman" w:eastAsia="宋体" w:cs="Times New Roman"/>
                <w:b w:val="0"/>
                <w:bCs w:val="0"/>
                <w:color w:val="auto"/>
                <w:sz w:val="24"/>
                <w:highlight w:val="none"/>
                <w:vertAlign w:val="subscript"/>
              </w:rPr>
              <w:t>i</w:t>
            </w:r>
            <w:r>
              <w:rPr>
                <w:rFonts w:hint="default" w:ascii="Times New Roman" w:hAnsi="Times New Roman" w:eastAsia="宋体" w:cs="Times New Roman"/>
                <w:b w:val="0"/>
                <w:bCs w:val="0"/>
                <w:color w:val="auto"/>
                <w:sz w:val="24"/>
                <w:highlight w:val="none"/>
              </w:rPr>
              <w:t>；第j个等效室外声源在预测点产生的A声级为L</w:t>
            </w:r>
            <w:r>
              <w:rPr>
                <w:rFonts w:hint="default" w:ascii="Times New Roman" w:hAnsi="Times New Roman" w:eastAsia="宋体" w:cs="Times New Roman"/>
                <w:b w:val="0"/>
                <w:bCs w:val="0"/>
                <w:color w:val="auto"/>
                <w:sz w:val="24"/>
                <w:highlight w:val="none"/>
                <w:vertAlign w:val="subscript"/>
              </w:rPr>
              <w:t>Aj</w:t>
            </w:r>
            <w:r>
              <w:rPr>
                <w:rFonts w:hint="default" w:ascii="Times New Roman" w:hAnsi="Times New Roman" w:eastAsia="宋体" w:cs="Times New Roman"/>
                <w:b w:val="0"/>
                <w:bCs w:val="0"/>
                <w:color w:val="auto"/>
                <w:sz w:val="24"/>
                <w:highlight w:val="none"/>
              </w:rPr>
              <w:t>，在T时间内该声源工作时间为t</w:t>
            </w:r>
            <w:r>
              <w:rPr>
                <w:rFonts w:hint="default" w:ascii="Times New Roman" w:hAnsi="Times New Roman" w:eastAsia="宋体" w:cs="Times New Roman"/>
                <w:b w:val="0"/>
                <w:bCs w:val="0"/>
                <w:color w:val="auto"/>
                <w:sz w:val="24"/>
                <w:highlight w:val="none"/>
                <w:vertAlign w:val="subscript"/>
              </w:rPr>
              <w:t>j</w:t>
            </w:r>
            <w:r>
              <w:rPr>
                <w:rFonts w:hint="default" w:ascii="Times New Roman" w:hAnsi="Times New Roman" w:eastAsia="宋体" w:cs="Times New Roman"/>
                <w:b w:val="0"/>
                <w:bCs w:val="0"/>
                <w:color w:val="auto"/>
                <w:sz w:val="24"/>
                <w:highlight w:val="none"/>
              </w:rPr>
              <w:t>，则拟建工程声源对预测点产生的贡献值（L</w:t>
            </w:r>
            <w:r>
              <w:rPr>
                <w:rFonts w:hint="default" w:ascii="Times New Roman" w:hAnsi="Times New Roman" w:eastAsia="宋体" w:cs="Times New Roman"/>
                <w:b w:val="0"/>
                <w:bCs w:val="0"/>
                <w:color w:val="auto"/>
                <w:sz w:val="24"/>
                <w:highlight w:val="none"/>
                <w:vertAlign w:val="subscript"/>
              </w:rPr>
              <w:t>eqg</w:t>
            </w:r>
            <w:r>
              <w:rPr>
                <w:rFonts w:hint="default" w:ascii="Times New Roman" w:hAnsi="Times New Roman" w:eastAsia="宋体" w:cs="Times New Roman"/>
                <w:b w:val="0"/>
                <w:bCs w:val="0"/>
                <w:color w:val="auto"/>
                <w:sz w:val="24"/>
                <w:highlight w:val="none"/>
              </w:rPr>
              <w:t>）为：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highlight w:val="none"/>
              </w:rPr>
            </w:pPr>
            <w:r>
              <w:rPr>
                <w:rFonts w:hint="default" w:ascii="Times New Roman" w:hAnsi="Times New Roman" w:cs="Times New Roman"/>
                <w:bCs/>
                <w:color w:val="auto"/>
                <w:spacing w:val="4"/>
                <w:sz w:val="24"/>
              </w:rPr>
              <w:pict>
                <v:shape id="Picture 642" o:spid="_x0000_s1053" o:spt="75" type="#_x0000_t75" style="position:absolute;left:0pt;margin-left:107pt;margin-top:6.6pt;height:31.95pt;width:185.3pt;z-index:251660288;mso-width-relative:page;mso-height-relative:page;" o:ole="t" filled="f" o:preferrelative="t" stroked="f" coordsize="21600,21600">
                  <v:path/>
                  <v:fill on="f" focussize="0,0"/>
                  <v:stroke on="f"/>
                  <v:imagedata r:id="rId23" o:title=""/>
                  <o:lock v:ext="edit" aspectratio="t"/>
                </v:shape>
                <o:OLEObject Type="Embed" ProgID="" ShapeID="Picture 642" DrawAspect="Content" ObjectID="_1468075729" r:id="rId22">
                  <o:LockedField>false</o:LockedField>
                </o:OLEObject>
              </w:pic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highlight w:val="none"/>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highlight w:val="none"/>
              </w:rPr>
            </w:pPr>
          </w:p>
          <w:p>
            <w:pPr>
              <w:keepNext w:val="0"/>
              <w:keepLines w:val="0"/>
              <w:pageBreakBefore w:val="0"/>
              <w:widowControl w:val="0"/>
              <w:kinsoku/>
              <w:wordWrap/>
              <w:overflowPunct/>
              <w:topLinePunct w:val="0"/>
              <w:autoSpaceDE/>
              <w:autoSpaceDN/>
              <w:bidi w:val="0"/>
              <w:adjustRightInd/>
              <w:snapToGrid/>
              <w:spacing w:line="470" w:lineRule="exact"/>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rPr>
              <w:t>式中</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L</w:t>
            </w:r>
            <w:r>
              <w:rPr>
                <w:rFonts w:hint="default" w:ascii="Times New Roman" w:hAnsi="Times New Roman" w:eastAsia="宋体" w:cs="Times New Roman"/>
                <w:b w:val="0"/>
                <w:bCs w:val="0"/>
                <w:color w:val="auto"/>
                <w:sz w:val="24"/>
                <w:highlight w:val="none"/>
                <w:vertAlign w:val="subscript"/>
                <w:lang w:val="en-US" w:eastAsia="zh-CN"/>
              </w:rPr>
              <w:t>eqg</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建设项目声源在</w:t>
            </w:r>
            <w:r>
              <w:rPr>
                <w:rFonts w:hint="default" w:ascii="Times New Roman" w:hAnsi="Times New Roman" w:eastAsia="宋体" w:cs="Times New Roman"/>
                <w:b w:val="0"/>
                <w:bCs w:val="0"/>
                <w:color w:val="auto"/>
                <w:sz w:val="24"/>
                <w:highlight w:val="none"/>
              </w:rPr>
              <w:t>预测点产生的</w:t>
            </w:r>
            <w:r>
              <w:rPr>
                <w:rFonts w:hint="default" w:ascii="Times New Roman" w:hAnsi="Times New Roman" w:eastAsia="宋体" w:cs="Times New Roman"/>
                <w:b w:val="0"/>
                <w:bCs w:val="0"/>
                <w:color w:val="auto"/>
                <w:sz w:val="24"/>
                <w:highlight w:val="none"/>
                <w:lang w:val="en-US" w:eastAsia="zh-CN"/>
              </w:rPr>
              <w:t>噪声</w:t>
            </w:r>
            <w:r>
              <w:rPr>
                <w:rFonts w:hint="default" w:ascii="Times New Roman" w:hAnsi="Times New Roman" w:eastAsia="宋体" w:cs="Times New Roman"/>
                <w:b w:val="0"/>
                <w:bCs w:val="0"/>
                <w:color w:val="auto"/>
                <w:sz w:val="24"/>
                <w:highlight w:val="none"/>
              </w:rPr>
              <w:t>贡献值</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dB</w:t>
            </w:r>
          </w:p>
          <w:p>
            <w:pPr>
              <w:keepNext w:val="0"/>
              <w:keepLines w:val="0"/>
              <w:pageBreakBefore w:val="0"/>
              <w:widowControl w:val="0"/>
              <w:kinsoku/>
              <w:wordWrap/>
              <w:overflowPunct/>
              <w:topLinePunct w:val="0"/>
              <w:autoSpaceDE/>
              <w:autoSpaceDN/>
              <w:bidi w:val="0"/>
              <w:adjustRightInd/>
              <w:snapToGrid/>
              <w:spacing w:line="470" w:lineRule="exact"/>
              <w:ind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vertAlign w:val="subscript"/>
              </w:rPr>
              <w:t>j</w:t>
            </w:r>
            <w:r>
              <w:rPr>
                <w:rFonts w:hint="default" w:ascii="Times New Roman" w:hAnsi="Times New Roman" w:eastAsia="宋体" w:cs="Times New Roman"/>
                <w:color w:val="auto"/>
                <w:sz w:val="24"/>
                <w:szCs w:val="24"/>
              </w:rPr>
              <w:t>—在T时间内j声源工作时间，s；</w:t>
            </w:r>
          </w:p>
          <w:p>
            <w:pPr>
              <w:keepNext w:val="0"/>
              <w:keepLines w:val="0"/>
              <w:pageBreakBefore w:val="0"/>
              <w:widowControl w:val="0"/>
              <w:kinsoku/>
              <w:wordWrap/>
              <w:overflowPunct/>
              <w:topLinePunct w:val="0"/>
              <w:autoSpaceDE/>
              <w:autoSpaceDN/>
              <w:bidi w:val="0"/>
              <w:adjustRightInd/>
              <w:snapToGrid/>
              <w:spacing w:line="470" w:lineRule="exact"/>
              <w:ind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vertAlign w:val="subscript"/>
              </w:rPr>
              <w:t>i</w:t>
            </w:r>
            <w:r>
              <w:rPr>
                <w:rFonts w:hint="default" w:ascii="Times New Roman" w:hAnsi="Times New Roman" w:eastAsia="宋体" w:cs="Times New Roman"/>
                <w:color w:val="auto"/>
                <w:sz w:val="24"/>
                <w:szCs w:val="24"/>
              </w:rPr>
              <w:t>—在T时间内i声源工作时间，s；</w:t>
            </w:r>
          </w:p>
          <w:p>
            <w:pPr>
              <w:keepNext w:val="0"/>
              <w:keepLines w:val="0"/>
              <w:pageBreakBefore w:val="0"/>
              <w:widowControl w:val="0"/>
              <w:kinsoku/>
              <w:wordWrap/>
              <w:overflowPunct/>
              <w:topLinePunct w:val="0"/>
              <w:autoSpaceDE/>
              <w:autoSpaceDN/>
              <w:bidi w:val="0"/>
              <w:adjustRightInd/>
              <w:snapToGrid/>
              <w:spacing w:line="470" w:lineRule="exact"/>
              <w:ind w:firstLine="1200" w:firstLineChars="50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T——计算等效声级的时间；</w:t>
            </w:r>
          </w:p>
          <w:p>
            <w:pPr>
              <w:keepNext w:val="0"/>
              <w:keepLines w:val="0"/>
              <w:pageBreakBefore w:val="0"/>
              <w:widowControl w:val="0"/>
              <w:kinsoku/>
              <w:wordWrap/>
              <w:overflowPunct/>
              <w:topLinePunct w:val="0"/>
              <w:autoSpaceDE/>
              <w:autoSpaceDN/>
              <w:bidi w:val="0"/>
              <w:adjustRightInd/>
              <w:snapToGrid/>
              <w:spacing w:line="470" w:lineRule="exact"/>
              <w:ind w:firstLine="480" w:firstLineChars="20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 xml:space="preserve">      N——室外声源个数；</w:t>
            </w:r>
          </w:p>
          <w:p>
            <w:pPr>
              <w:keepNext w:val="0"/>
              <w:keepLines w:val="0"/>
              <w:pageBreakBefore w:val="0"/>
              <w:widowControl w:val="0"/>
              <w:kinsoku/>
              <w:wordWrap/>
              <w:overflowPunct/>
              <w:topLinePunct w:val="0"/>
              <w:autoSpaceDE/>
              <w:autoSpaceDN/>
              <w:bidi w:val="0"/>
              <w:adjustRightInd/>
              <w:snapToGrid/>
              <w:spacing w:line="470" w:lineRule="exact"/>
              <w:ind w:firstLine="480" w:firstLineChars="20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 xml:space="preserve">      M——等效室外声源个数。</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3.3</w:t>
            </w:r>
            <w:r>
              <w:rPr>
                <w:rFonts w:hint="default" w:ascii="Times New Roman" w:hAnsi="Times New Roman" w:cs="Times New Roman"/>
                <w:b/>
                <w:bCs/>
                <w:color w:val="auto"/>
                <w:sz w:val="24"/>
                <w:szCs w:val="24"/>
                <w:highlight w:val="none"/>
              </w:rPr>
              <w:t>噪声预测结果</w:t>
            </w:r>
          </w:p>
          <w:p>
            <w:pPr>
              <w:adjustRightInd w:val="0"/>
              <w:snapToGrid w:val="0"/>
              <w:spacing w:line="46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本项目建设地址</w:t>
            </w:r>
            <w:r>
              <w:rPr>
                <w:rFonts w:hint="default" w:ascii="Times New Roman" w:hAnsi="Times New Roman" w:cs="Times New Roman"/>
                <w:bCs/>
                <w:color w:val="auto"/>
                <w:sz w:val="24"/>
                <w:szCs w:val="24"/>
              </w:rPr>
              <w:t>位于</w:t>
            </w:r>
            <w:r>
              <w:rPr>
                <w:rFonts w:hint="eastAsia" w:ascii="Times New Roman" w:cs="Times New Roman"/>
                <w:color w:val="auto"/>
                <w:spacing w:val="0"/>
                <w:kern w:val="2"/>
                <w:sz w:val="24"/>
                <w:szCs w:val="24"/>
                <w:highlight w:val="none"/>
                <w:lang w:val="en-US" w:eastAsia="zh-CN" w:bidi="ar-SA"/>
              </w:rPr>
              <w:t>翼城县唐兴镇谭村东168m</w:t>
            </w:r>
            <w:r>
              <w:rPr>
                <w:rFonts w:hint="default" w:ascii="Times New Roman" w:hAnsi="Times New Roman" w:cs="Times New Roman"/>
                <w:color w:val="auto"/>
                <w:sz w:val="24"/>
                <w:szCs w:val="24"/>
              </w:rPr>
              <w:t>，根据现场调查，</w:t>
            </w:r>
            <w:r>
              <w:rPr>
                <w:rFonts w:hint="default" w:ascii="Times New Roman" w:hAnsi="Times New Roman" w:cs="Times New Roman"/>
                <w:bCs/>
                <w:color w:val="auto"/>
                <w:sz w:val="24"/>
                <w:szCs w:val="24"/>
              </w:rPr>
              <w:t>厂界外50米范围内无声环境保护目标</w:t>
            </w:r>
            <w:r>
              <w:rPr>
                <w:rFonts w:hint="default" w:ascii="Times New Roman" w:hAnsi="Times New Roman" w:cs="Times New Roman"/>
                <w:color w:val="auto"/>
                <w:sz w:val="24"/>
                <w:szCs w:val="24"/>
              </w:rPr>
              <w:t>。</w:t>
            </w:r>
            <w:r>
              <w:rPr>
                <w:rFonts w:hint="default" w:ascii="Times New Roman" w:hAnsi="Times New Roman" w:eastAsia="宋体" w:cs="Times New Roman"/>
                <w:color w:val="auto"/>
                <w:sz w:val="24"/>
                <w:szCs w:val="24"/>
                <w:highlight w:val="none"/>
                <w:lang w:eastAsia="zh-CN"/>
              </w:rPr>
              <w:t>利用预测模式计算出各设备影响噪声值，根据能量合成法则叠加各噪声源对厂界的影响，本项目厂界以工程噪声贡献值作为评价量，噪声预测结果见</w:t>
            </w:r>
            <w:r>
              <w:rPr>
                <w:rFonts w:hint="default" w:ascii="Times New Roman" w:hAnsi="Times New Roman" w:cs="Times New Roman"/>
                <w:color w:val="auto"/>
                <w:sz w:val="24"/>
                <w:szCs w:val="24"/>
                <w:highlight w:val="none"/>
                <w:lang w:val="en-US" w:eastAsia="zh-CN"/>
              </w:rPr>
              <w:t>下表。</w:t>
            </w:r>
          </w:p>
          <w:p>
            <w:pPr>
              <w:spacing w:line="46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表4-</w:t>
            </w:r>
            <w:r>
              <w:rPr>
                <w:rFonts w:hint="eastAsia" w:ascii="Times New Roman" w:cs="Times New Roman"/>
                <w:b/>
                <w:bCs/>
                <w:color w:val="auto"/>
                <w:sz w:val="21"/>
                <w:szCs w:val="21"/>
                <w:lang w:val="en-US" w:eastAsia="zh-CN"/>
              </w:rPr>
              <w:t>8</w:t>
            </w:r>
            <w:r>
              <w:rPr>
                <w:rFonts w:hint="default" w:ascii="Times New Roman" w:hAnsi="Times New Roman" w:cs="Times New Roman"/>
                <w:b/>
                <w:bCs/>
                <w:color w:val="auto"/>
                <w:sz w:val="21"/>
                <w:szCs w:val="21"/>
              </w:rPr>
              <w:t xml:space="preserve">  本项目厂界噪声预测结果   单位：dB（A）</w:t>
            </w:r>
          </w:p>
          <w:tbl>
            <w:tblPr>
              <w:tblStyle w:val="38"/>
              <w:tblW w:w="802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952"/>
              <w:gridCol w:w="1162"/>
              <w:gridCol w:w="982"/>
              <w:gridCol w:w="1365"/>
              <w:gridCol w:w="1288"/>
              <w:gridCol w:w="10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2" w:hRule="atLeast"/>
                <w:jc w:val="center"/>
              </w:trPr>
              <w:tc>
                <w:tcPr>
                  <w:tcW w:w="2152"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编号</w:t>
                  </w:r>
                </w:p>
              </w:tc>
              <w:tc>
                <w:tcPr>
                  <w:tcW w:w="2144"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贡献值(L</w:t>
                  </w:r>
                  <w:r>
                    <w:rPr>
                      <w:rFonts w:hint="default" w:ascii="Times New Roman" w:hAnsi="Times New Roman" w:eastAsia="宋体" w:cs="Times New Roman"/>
                      <w:color w:val="auto"/>
                      <w:sz w:val="21"/>
                      <w:szCs w:val="21"/>
                      <w:highlight w:val="none"/>
                      <w:vertAlign w:val="subscript"/>
                      <w:lang w:val="en-US" w:eastAsia="zh-CN"/>
                    </w:rPr>
                    <w:t>eq</w:t>
                  </w:r>
                  <w:r>
                    <w:rPr>
                      <w:rFonts w:hint="default" w:ascii="Times New Roman" w:hAnsi="Times New Roman" w:eastAsia="宋体" w:cs="Times New Roman"/>
                      <w:color w:val="auto"/>
                      <w:sz w:val="21"/>
                      <w:szCs w:val="21"/>
                      <w:highlight w:val="none"/>
                      <w:lang w:val="en-US" w:eastAsia="zh-CN"/>
                    </w:rPr>
                    <w:t>)</w:t>
                  </w:r>
                </w:p>
              </w:tc>
              <w:tc>
                <w:tcPr>
                  <w:tcW w:w="136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昼间评价标准值</w:t>
                  </w:r>
                </w:p>
              </w:tc>
              <w:tc>
                <w:tcPr>
                  <w:tcW w:w="128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夜间评价标准值</w:t>
                  </w:r>
                </w:p>
              </w:tc>
              <w:tc>
                <w:tcPr>
                  <w:tcW w:w="108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是否达标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152"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16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98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夜间</w:t>
                  </w:r>
                </w:p>
              </w:tc>
              <w:tc>
                <w:tcPr>
                  <w:tcW w:w="136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28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8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0" w:hRule="atLeast"/>
                <w:jc w:val="center"/>
              </w:trPr>
              <w:tc>
                <w:tcPr>
                  <w:tcW w:w="1200"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厂界四周</w:t>
                  </w:r>
                </w:p>
              </w:tc>
              <w:tc>
                <w:tcPr>
                  <w:tcW w:w="95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东</w:t>
                  </w:r>
                </w:p>
              </w:tc>
              <w:tc>
                <w:tcPr>
                  <w:tcW w:w="11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37.75</w:t>
                  </w:r>
                </w:p>
              </w:tc>
              <w:tc>
                <w:tcPr>
                  <w:tcW w:w="98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37.75</w:t>
                  </w:r>
                </w:p>
              </w:tc>
              <w:tc>
                <w:tcPr>
                  <w:tcW w:w="136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60</w:t>
                  </w:r>
                </w:p>
              </w:tc>
              <w:tc>
                <w:tcPr>
                  <w:tcW w:w="128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50</w:t>
                  </w: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12" w:hRule="atLeast"/>
                <w:jc w:val="center"/>
              </w:trPr>
              <w:tc>
                <w:tcPr>
                  <w:tcW w:w="12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95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南</w:t>
                  </w:r>
                </w:p>
              </w:tc>
              <w:tc>
                <w:tcPr>
                  <w:tcW w:w="11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26.38</w:t>
                  </w:r>
                </w:p>
              </w:tc>
              <w:tc>
                <w:tcPr>
                  <w:tcW w:w="98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26.38</w:t>
                  </w:r>
                </w:p>
              </w:tc>
              <w:tc>
                <w:tcPr>
                  <w:tcW w:w="136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28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95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w:t>
                  </w:r>
                </w:p>
              </w:tc>
              <w:tc>
                <w:tcPr>
                  <w:tcW w:w="11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41.45</w:t>
                  </w:r>
                </w:p>
              </w:tc>
              <w:tc>
                <w:tcPr>
                  <w:tcW w:w="98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41.45</w:t>
                  </w:r>
                </w:p>
              </w:tc>
              <w:tc>
                <w:tcPr>
                  <w:tcW w:w="136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28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7" w:hRule="atLeast"/>
                <w:jc w:val="center"/>
              </w:trPr>
              <w:tc>
                <w:tcPr>
                  <w:tcW w:w="12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95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北</w:t>
                  </w:r>
                </w:p>
              </w:tc>
              <w:tc>
                <w:tcPr>
                  <w:tcW w:w="116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57.03</w:t>
                  </w:r>
                </w:p>
              </w:tc>
              <w:tc>
                <w:tcPr>
                  <w:tcW w:w="98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57.03</w:t>
                  </w:r>
                </w:p>
              </w:tc>
              <w:tc>
                <w:tcPr>
                  <w:tcW w:w="136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28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0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是</w:t>
                  </w:r>
                </w:p>
              </w:tc>
            </w:tr>
          </w:tbl>
          <w:p>
            <w:pPr>
              <w:pStyle w:val="2"/>
              <w:rPr>
                <w:rFonts w:hint="default" w:ascii="Times New Roman" w:hAnsi="Times New Roman" w:cs="Times New Roman"/>
                <w:b/>
                <w:bCs/>
                <w:color w:val="auto"/>
                <w:sz w:val="21"/>
                <w:szCs w:val="21"/>
              </w:rPr>
            </w:pP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由上表的预测结果可知：本项目运营后，项目四周厂界的贡献值均能满足《工业企业厂界环境噪声排放标准》（GB12348-2008）</w:t>
            </w:r>
            <w:r>
              <w:rPr>
                <w:rFonts w:hint="eastAsia" w:ascii="Times New Roman" w:cs="Times New Roman"/>
                <w:color w:val="auto"/>
                <w:sz w:val="24"/>
                <w:lang w:val="en-US" w:eastAsia="zh-CN"/>
              </w:rPr>
              <w:t>2</w:t>
            </w:r>
            <w:r>
              <w:rPr>
                <w:rFonts w:hint="default" w:ascii="Times New Roman" w:hAnsi="Times New Roman" w:cs="Times New Roman"/>
                <w:color w:val="auto"/>
                <w:sz w:val="24"/>
              </w:rPr>
              <w:t>类标准限值（昼间≤</w:t>
            </w:r>
            <w:r>
              <w:rPr>
                <w:rFonts w:hint="eastAsia" w:ascii="Times New Roman" w:cs="Times New Roman"/>
                <w:color w:val="auto"/>
                <w:sz w:val="24"/>
                <w:lang w:val="en-US" w:eastAsia="zh-CN"/>
              </w:rPr>
              <w:t>60</w:t>
            </w:r>
            <w:r>
              <w:rPr>
                <w:rFonts w:hint="default" w:ascii="Times New Roman" w:hAnsi="Times New Roman" w:cs="Times New Roman"/>
                <w:color w:val="auto"/>
                <w:sz w:val="24"/>
              </w:rPr>
              <w:t>dB（A），夜间≤</w:t>
            </w:r>
            <w:r>
              <w:rPr>
                <w:rFonts w:hint="eastAsia" w:ascii="Times New Roman" w:cs="Times New Roman"/>
                <w:color w:val="auto"/>
                <w:sz w:val="24"/>
                <w:lang w:val="en-US" w:eastAsia="zh-CN"/>
              </w:rPr>
              <w:t>50</w:t>
            </w:r>
            <w:r>
              <w:rPr>
                <w:rFonts w:hint="default" w:ascii="Times New Roman" w:hAnsi="Times New Roman" w:cs="Times New Roman"/>
                <w:color w:val="auto"/>
                <w:sz w:val="24"/>
              </w:rPr>
              <w:t>dB（A））的要求。</w:t>
            </w:r>
          </w:p>
          <w:p>
            <w:pPr>
              <w:spacing w:line="460" w:lineRule="exact"/>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3.4</w:t>
            </w:r>
            <w:r>
              <w:rPr>
                <w:rFonts w:hint="eastAsia" w:ascii="Times New Roman" w:cs="Times New Roman"/>
                <w:b/>
                <w:bCs/>
                <w:color w:val="auto"/>
                <w:sz w:val="24"/>
                <w:lang w:val="en-US" w:eastAsia="zh-CN"/>
              </w:rPr>
              <w:t>自行</w:t>
            </w:r>
            <w:r>
              <w:rPr>
                <w:rFonts w:hint="default" w:ascii="Times New Roman" w:hAnsi="Times New Roman" w:cs="Times New Roman"/>
                <w:b/>
                <w:bCs/>
                <w:color w:val="auto"/>
                <w:sz w:val="24"/>
              </w:rPr>
              <w:t>监测要求</w:t>
            </w:r>
          </w:p>
          <w:p>
            <w:pPr>
              <w:spacing w:line="46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表4-</w:t>
            </w:r>
            <w:r>
              <w:rPr>
                <w:rFonts w:hint="eastAsia" w:ascii="Times New Roman" w:cs="Times New Roman"/>
                <w:b/>
                <w:bCs/>
                <w:color w:val="auto"/>
                <w:sz w:val="21"/>
                <w:szCs w:val="21"/>
                <w:lang w:val="en-US" w:eastAsia="zh-CN"/>
              </w:rPr>
              <w:t>9</w:t>
            </w:r>
            <w:r>
              <w:rPr>
                <w:rFonts w:hint="default" w:ascii="Times New Roman" w:hAnsi="Times New Roman" w:cs="Times New Roman"/>
                <w:b/>
                <w:bCs/>
                <w:color w:val="auto"/>
                <w:sz w:val="21"/>
                <w:szCs w:val="21"/>
              </w:rPr>
              <w:t xml:space="preserve">  运营期环境监测计划</w:t>
            </w:r>
          </w:p>
          <w:tbl>
            <w:tblPr>
              <w:tblStyle w:val="38"/>
              <w:tblW w:w="802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15"/>
              <w:gridCol w:w="1269"/>
              <w:gridCol w:w="1595"/>
              <w:gridCol w:w="1420"/>
              <w:gridCol w:w="27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015" w:type="dxa"/>
                  <w:vAlign w:val="center"/>
                </w:tcPr>
                <w:p>
                  <w:pPr>
                    <w:spacing w:line="320" w:lineRule="exact"/>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污染源名称</w:t>
                  </w:r>
                </w:p>
              </w:tc>
              <w:tc>
                <w:tcPr>
                  <w:tcW w:w="1269" w:type="dxa"/>
                  <w:vAlign w:val="center"/>
                </w:tcPr>
                <w:p>
                  <w:pPr>
                    <w:spacing w:line="320" w:lineRule="exact"/>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监测项目</w:t>
                  </w:r>
                </w:p>
              </w:tc>
              <w:tc>
                <w:tcPr>
                  <w:tcW w:w="1595" w:type="dxa"/>
                  <w:vAlign w:val="center"/>
                </w:tcPr>
                <w:p>
                  <w:pPr>
                    <w:spacing w:line="320" w:lineRule="exact"/>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监测点位</w:t>
                  </w:r>
                </w:p>
              </w:tc>
              <w:tc>
                <w:tcPr>
                  <w:tcW w:w="1420" w:type="dxa"/>
                  <w:vAlign w:val="center"/>
                </w:tcPr>
                <w:p>
                  <w:pPr>
                    <w:spacing w:line="320" w:lineRule="exact"/>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监测频率</w:t>
                  </w:r>
                </w:p>
              </w:tc>
              <w:tc>
                <w:tcPr>
                  <w:tcW w:w="2730" w:type="dxa"/>
                  <w:vAlign w:val="center"/>
                </w:tcPr>
                <w:p>
                  <w:pPr>
                    <w:spacing w:line="320" w:lineRule="exact"/>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015" w:type="dxa"/>
                  <w:vAlign w:val="center"/>
                </w:tcPr>
                <w:p>
                  <w:pPr>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1269" w:type="dxa"/>
                  <w:vAlign w:val="center"/>
                </w:tcPr>
                <w:p>
                  <w:pPr>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等效A声级</w:t>
                  </w:r>
                </w:p>
              </w:tc>
              <w:tc>
                <w:tcPr>
                  <w:tcW w:w="1595" w:type="dxa"/>
                  <w:vAlign w:val="center"/>
                </w:tcPr>
                <w:p>
                  <w:pPr>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厂界四周</w:t>
                  </w:r>
                </w:p>
              </w:tc>
              <w:tc>
                <w:tcPr>
                  <w:tcW w:w="1420" w:type="dxa"/>
                  <w:vAlign w:val="center"/>
                </w:tcPr>
                <w:p>
                  <w:pPr>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每季度监测一次，</w:t>
                  </w:r>
                  <w:r>
                    <w:rPr>
                      <w:rFonts w:hint="default" w:ascii="Times New Roman" w:hAnsi="Times New Roman" w:cs="Times New Roman"/>
                      <w:color w:val="auto"/>
                      <w:sz w:val="21"/>
                      <w:szCs w:val="21"/>
                      <w:lang w:val="en-US" w:eastAsia="zh-CN"/>
                    </w:rPr>
                    <w:t>昼夜各</w:t>
                  </w:r>
                  <w:r>
                    <w:rPr>
                      <w:rFonts w:hint="default" w:ascii="Times New Roman" w:hAnsi="Times New Roman" w:cs="Times New Roman"/>
                      <w:color w:val="auto"/>
                      <w:sz w:val="21"/>
                      <w:szCs w:val="21"/>
                    </w:rPr>
                    <w:t>一次</w:t>
                  </w:r>
                </w:p>
              </w:tc>
              <w:tc>
                <w:tcPr>
                  <w:tcW w:w="2730" w:type="dxa"/>
                  <w:vAlign w:val="center"/>
                </w:tcPr>
                <w:p>
                  <w:pPr>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《工业企业厂界环境噪声排放标准》（GB12348-2008）中</w:t>
                  </w:r>
                  <w:r>
                    <w:rPr>
                      <w:rFonts w:hint="eastAsia" w:ascii="Times New Roman" w:cs="Times New Roman"/>
                      <w:color w:val="auto"/>
                      <w:sz w:val="21"/>
                      <w:szCs w:val="21"/>
                      <w:lang w:val="en-US" w:eastAsia="zh-CN"/>
                    </w:rPr>
                    <w:t>2</w:t>
                  </w:r>
                  <w:r>
                    <w:rPr>
                      <w:rFonts w:hint="default" w:ascii="Times New Roman" w:hAnsi="Times New Roman" w:cs="Times New Roman"/>
                      <w:color w:val="auto"/>
                      <w:sz w:val="21"/>
                      <w:szCs w:val="21"/>
                    </w:rPr>
                    <w:t>类标准</w:t>
                  </w:r>
                </w:p>
              </w:tc>
            </w:tr>
          </w:tbl>
          <w:p>
            <w:pPr>
              <w:keepNext w:val="0"/>
              <w:keepLines w:val="0"/>
              <w:pageBreakBefore w:val="0"/>
              <w:kinsoku/>
              <w:wordWrap/>
              <w:overflowPunct/>
              <w:topLinePunct w:val="0"/>
              <w:autoSpaceDE/>
              <w:autoSpaceDN/>
              <w:bidi w:val="0"/>
              <w:spacing w:line="460" w:lineRule="exact"/>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3.5</w:t>
            </w:r>
            <w:r>
              <w:rPr>
                <w:rFonts w:hint="default" w:ascii="Times New Roman" w:hAnsi="Times New Roman" w:cs="Times New Roman"/>
                <w:b/>
                <w:bCs/>
                <w:color w:val="auto"/>
                <w:sz w:val="24"/>
              </w:rPr>
              <w:t>噪声防治措施</w:t>
            </w:r>
          </w:p>
          <w:p>
            <w:pPr>
              <w:keepNext w:val="0"/>
              <w:keepLines w:val="0"/>
              <w:pageBreakBefore w:val="0"/>
              <w:widowControl/>
              <w:kinsoku/>
              <w:wordWrap/>
              <w:overflowPunct/>
              <w:topLinePunct w:val="0"/>
              <w:autoSpaceDE/>
              <w:autoSpaceDN/>
              <w:bidi w:val="0"/>
              <w:adjustRightInd w:val="0"/>
              <w:snapToGrid w:val="0"/>
              <w:spacing w:line="460" w:lineRule="exact"/>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为降低各类设备产生的噪声对周围环境的影响，满足相应的区域声环境质量要求，应采取如下防治措施：</w:t>
            </w:r>
          </w:p>
          <w:p>
            <w:pPr>
              <w:keepNext w:val="0"/>
              <w:keepLines w:val="0"/>
              <w:pageBreakBefore w:val="0"/>
              <w:widowControl/>
              <w:numPr>
                <w:ilvl w:val="0"/>
                <w:numId w:val="0"/>
              </w:numPr>
              <w:kinsoku/>
              <w:wordWrap/>
              <w:overflowPunct/>
              <w:topLinePunct w:val="0"/>
              <w:autoSpaceDE/>
              <w:autoSpaceDN/>
              <w:bidi w:val="0"/>
              <w:adjustRightInd w:val="0"/>
              <w:snapToGrid w:val="0"/>
              <w:spacing w:line="460" w:lineRule="exact"/>
              <w:ind w:firstLine="480" w:firstLineChars="200"/>
              <w:textAlignment w:val="auto"/>
              <w:rPr>
                <w:rFonts w:hint="default" w:ascii="Times New Roman" w:hAnsi="Times New Roman" w:cs="Times New Roman"/>
                <w:color w:val="auto"/>
                <w:sz w:val="24"/>
              </w:rPr>
            </w:pPr>
            <w:r>
              <w:rPr>
                <w:rFonts w:hint="default" w:ascii="Times New Roman" w:hAnsi="Times New Roman" w:eastAsia="宋体" w:cs="Times New Roman"/>
                <w:color w:val="auto"/>
                <w:sz w:val="24"/>
                <w:lang w:val="en-US" w:eastAsia="zh-CN" w:bidi="ar-SA"/>
              </w:rPr>
              <w:t>（1）</w:t>
            </w:r>
            <w:r>
              <w:rPr>
                <w:rFonts w:hint="default" w:ascii="Times New Roman" w:hAnsi="Times New Roman" w:cs="Times New Roman"/>
                <w:color w:val="auto"/>
                <w:sz w:val="24"/>
              </w:rPr>
              <w:t>企业在设备选型上选择环保、高效的低噪声设备，从声源上降低噪声污染；</w:t>
            </w:r>
          </w:p>
          <w:p>
            <w:pPr>
              <w:keepNext w:val="0"/>
              <w:keepLines w:val="0"/>
              <w:pageBreakBefore w:val="0"/>
              <w:widowControl/>
              <w:kinsoku/>
              <w:wordWrap/>
              <w:overflowPunct/>
              <w:topLinePunct w:val="0"/>
              <w:autoSpaceDE/>
              <w:autoSpaceDN/>
              <w:bidi w:val="0"/>
              <w:adjustRightInd w:val="0"/>
              <w:snapToGrid w:val="0"/>
              <w:spacing w:line="460" w:lineRule="exact"/>
              <w:ind w:firstLine="480" w:firstLineChars="200"/>
              <w:textAlignment w:val="auto"/>
              <w:rPr>
                <w:rFonts w:hint="default" w:ascii="Times New Roman" w:hAnsi="Times New Roman" w:cs="Times New Roman"/>
                <w:color w:val="auto"/>
                <w:sz w:val="24"/>
                <w:lang w:val="en-US"/>
              </w:rPr>
            </w:pPr>
            <w:r>
              <w:rPr>
                <w:rFonts w:hint="default" w:ascii="Times New Roman" w:hAnsi="Times New Roman" w:eastAsia="宋体" w:cs="Times New Roman"/>
                <w:color w:val="auto"/>
                <w:sz w:val="24"/>
                <w:lang w:val="en-US" w:eastAsia="zh-CN" w:bidi="ar-SA"/>
              </w:rPr>
              <w:t>（</w:t>
            </w:r>
            <w:r>
              <w:rPr>
                <w:rFonts w:hint="default" w:ascii="Times New Roman" w:hAnsi="Times New Roman" w:cs="Times New Roman"/>
                <w:color w:val="auto"/>
                <w:sz w:val="24"/>
                <w:lang w:val="en-US" w:eastAsia="zh-CN" w:bidi="ar-SA"/>
              </w:rPr>
              <w:t>2</w:t>
            </w:r>
            <w:r>
              <w:rPr>
                <w:rFonts w:hint="default" w:ascii="Times New Roman" w:hAnsi="Times New Roman" w:eastAsia="宋体" w:cs="Times New Roman"/>
                <w:color w:val="auto"/>
                <w:sz w:val="24"/>
                <w:lang w:val="en-US" w:eastAsia="zh-CN" w:bidi="ar-SA"/>
              </w:rPr>
              <w:t>）</w:t>
            </w:r>
            <w:r>
              <w:rPr>
                <w:rFonts w:hint="default" w:ascii="Times New Roman" w:hAnsi="Times New Roman" w:cs="Times New Roman"/>
                <w:color w:val="auto"/>
                <w:sz w:val="24"/>
              </w:rPr>
              <w:t>安装时采取台基减振、橡胶减震接头及减震垫等措施；</w:t>
            </w:r>
            <w:r>
              <w:rPr>
                <w:rFonts w:hint="default" w:ascii="Times New Roman" w:hAnsi="Times New Roman" w:cs="Times New Roman"/>
                <w:color w:val="auto"/>
                <w:kern w:val="0"/>
                <w:sz w:val="24"/>
              </w:rPr>
              <w:t>风机需安装减震底座，管道接口采用软管相连</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lang w:val="en-GB"/>
              </w:rPr>
              <w:t>废气管道设计时，应合理布置，流道顺畅，以减少空气动力性噪声。</w:t>
            </w:r>
          </w:p>
          <w:p>
            <w:pPr>
              <w:keepNext w:val="0"/>
              <w:keepLines w:val="0"/>
              <w:pageBreakBefore w:val="0"/>
              <w:widowControl/>
              <w:numPr>
                <w:ilvl w:val="0"/>
                <w:numId w:val="0"/>
              </w:numPr>
              <w:kinsoku/>
              <w:wordWrap/>
              <w:overflowPunct/>
              <w:topLinePunct w:val="0"/>
              <w:autoSpaceDE/>
              <w:autoSpaceDN/>
              <w:bidi w:val="0"/>
              <w:adjustRightInd w:val="0"/>
              <w:snapToGrid w:val="0"/>
              <w:spacing w:line="460" w:lineRule="exact"/>
              <w:ind w:firstLine="480" w:firstLineChars="200"/>
              <w:textAlignment w:val="auto"/>
              <w:rPr>
                <w:rFonts w:hint="default" w:ascii="Times New Roman" w:hAnsi="Times New Roman" w:cs="Times New Roman"/>
                <w:color w:val="auto"/>
                <w:sz w:val="24"/>
              </w:rPr>
            </w:pPr>
            <w:r>
              <w:rPr>
                <w:rFonts w:hint="default" w:ascii="Times New Roman" w:hAnsi="Times New Roman" w:eastAsia="宋体" w:cs="Times New Roman"/>
                <w:color w:val="auto"/>
                <w:sz w:val="24"/>
                <w:lang w:val="en-US" w:eastAsia="zh-CN" w:bidi="ar-SA"/>
              </w:rPr>
              <w:t>（3）</w:t>
            </w:r>
            <w:r>
              <w:rPr>
                <w:rFonts w:hint="default" w:ascii="Times New Roman" w:hAnsi="Times New Roman" w:cs="Times New Roman"/>
                <w:color w:val="auto"/>
                <w:sz w:val="24"/>
              </w:rPr>
              <w:t>加强设备维护和保养，确保设备处于良好的运转状态，杜绝因设备不正常运转产生的高噪声现象。</w:t>
            </w:r>
          </w:p>
          <w:p>
            <w:pPr>
              <w:keepNext w:val="0"/>
              <w:keepLines w:val="0"/>
              <w:pageBreakBefore w:val="0"/>
              <w:kinsoku/>
              <w:wordWrap/>
              <w:overflowPunct/>
              <w:topLinePunct w:val="0"/>
              <w:autoSpaceDE/>
              <w:autoSpaceDN/>
              <w:bidi w:val="0"/>
              <w:adjustRightInd w:val="0"/>
              <w:snapToGrid w:val="0"/>
              <w:spacing w:line="460" w:lineRule="exact"/>
              <w:textAlignment w:val="auto"/>
              <w:rPr>
                <w:rFonts w:hint="default" w:ascii="Times New Roman" w:hAnsi="Times New Roman" w:eastAsia="宋体" w:cs="Times New Roman"/>
                <w:b/>
                <w:bCs/>
                <w:color w:val="auto"/>
                <w:kern w:val="0"/>
                <w:sz w:val="24"/>
                <w:szCs w:val="20"/>
                <w:lang w:val="en-US" w:eastAsia="zh-CN"/>
              </w:rPr>
            </w:pPr>
            <w:r>
              <w:rPr>
                <w:rFonts w:hint="default" w:ascii="Times New Roman" w:hAnsi="Times New Roman" w:cs="Times New Roman"/>
                <w:b/>
                <w:bCs/>
                <w:color w:val="auto"/>
                <w:kern w:val="0"/>
                <w:sz w:val="24"/>
                <w:szCs w:val="20"/>
                <w:lang w:val="en-US" w:eastAsia="zh-CN"/>
              </w:rPr>
              <w:t>3.6小结</w:t>
            </w:r>
          </w:p>
          <w:p>
            <w:pPr>
              <w:keepNext w:val="0"/>
              <w:keepLines w:val="0"/>
              <w:pageBreakBefore w:val="0"/>
              <w:kinsoku/>
              <w:wordWrap/>
              <w:overflowPunct/>
              <w:topLinePunct w:val="0"/>
              <w:autoSpaceDE/>
              <w:autoSpaceDN/>
              <w:bidi w:val="0"/>
              <w:adjustRightInd w:val="0"/>
              <w:snapToGrid w:val="0"/>
              <w:spacing w:line="460" w:lineRule="exact"/>
              <w:ind w:firstLine="480" w:firstLineChars="200"/>
              <w:textAlignment w:val="auto"/>
              <w:rPr>
                <w:rFonts w:hint="default" w:ascii="Times New Roman" w:hAnsi="Times New Roman" w:cs="Times New Roman"/>
                <w:color w:val="auto"/>
                <w:kern w:val="0"/>
                <w:sz w:val="24"/>
                <w:szCs w:val="20"/>
              </w:rPr>
            </w:pPr>
            <w:r>
              <w:rPr>
                <w:rFonts w:hint="default" w:ascii="Times New Roman" w:hAnsi="Times New Roman" w:cs="Times New Roman"/>
                <w:color w:val="auto"/>
                <w:kern w:val="0"/>
                <w:sz w:val="24"/>
                <w:szCs w:val="20"/>
              </w:rPr>
              <w:t>综上所述，本项目采取生产</w:t>
            </w:r>
            <w:r>
              <w:rPr>
                <w:rFonts w:hint="default" w:ascii="Times New Roman" w:hAnsi="Times New Roman" w:cs="Times New Roman"/>
                <w:color w:val="auto"/>
                <w:kern w:val="0"/>
                <w:sz w:val="24"/>
                <w:szCs w:val="20"/>
                <w:lang w:val="en-US" w:eastAsia="zh-CN"/>
              </w:rPr>
              <w:t>车间</w:t>
            </w:r>
            <w:r>
              <w:rPr>
                <w:rFonts w:hint="default" w:ascii="Times New Roman" w:hAnsi="Times New Roman" w:cs="Times New Roman"/>
                <w:color w:val="auto"/>
                <w:kern w:val="0"/>
                <w:sz w:val="24"/>
                <w:szCs w:val="20"/>
              </w:rPr>
              <w:t>全封闭、选用低噪声设备、设置减振基础等有效防治措施，能够降低噪声的传播，能有效的阻止生产设备产生的噪声对厂界的影响，同时本项目设备噪声经长距离衰减后，对周边村庄居民不会产生影响。</w:t>
            </w:r>
          </w:p>
          <w:p>
            <w:pPr>
              <w:pStyle w:val="85"/>
              <w:keepNext w:val="0"/>
              <w:keepLines w:val="0"/>
              <w:pageBreakBefore w:val="0"/>
              <w:widowControl w:val="0"/>
              <w:kinsoku/>
              <w:wordWrap/>
              <w:overflowPunct/>
              <w:topLinePunct w:val="0"/>
              <w:autoSpaceDE/>
              <w:autoSpaceDN/>
              <w:bidi w:val="0"/>
              <w:spacing w:line="460" w:lineRule="exact"/>
              <w:ind w:left="0" w:leftChars="0" w:firstLine="0" w:firstLineChars="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四</w:t>
            </w:r>
            <w:r>
              <w:rPr>
                <w:rFonts w:hint="default" w:ascii="Times New Roman" w:hAnsi="Times New Roman" w:cs="Times New Roman"/>
                <w:b/>
                <w:bCs/>
                <w:color w:val="auto"/>
                <w:sz w:val="24"/>
                <w:highlight w:val="none"/>
              </w:rPr>
              <w:t>、固体废物影响分析</w:t>
            </w:r>
            <w:r>
              <w:rPr>
                <w:rFonts w:hint="default" w:ascii="Times New Roman" w:hAnsi="Times New Roman" w:cs="Times New Roman"/>
                <w:b/>
                <w:bCs/>
                <w:color w:val="auto"/>
                <w:sz w:val="24"/>
                <w:highlight w:val="none"/>
                <w:lang w:val="en-US" w:eastAsia="zh-CN"/>
              </w:rPr>
              <w:t>及保护措施</w:t>
            </w:r>
          </w:p>
          <w:p>
            <w:pPr>
              <w:pStyle w:val="133"/>
              <w:keepNext w:val="0"/>
              <w:keepLines w:val="0"/>
              <w:pageBreakBefore w:val="0"/>
              <w:widowControl w:val="0"/>
              <w:kinsoku/>
              <w:wordWrap/>
              <w:overflowPunct/>
              <w:topLinePunct w:val="0"/>
              <w:autoSpaceDE/>
              <w:autoSpaceDN/>
              <w:bidi w:val="0"/>
              <w:adjustRightInd/>
              <w:snapToGrid/>
              <w:spacing w:line="460" w:lineRule="exact"/>
              <w:ind w:right="0" w:rightChars="0"/>
              <w:jc w:val="both"/>
              <w:textAlignment w:val="auto"/>
              <w:outlineLvl w:val="9"/>
              <w:rPr>
                <w:rFonts w:hint="default" w:ascii="Times New Roman" w:hAnsi="Times New Roman" w:cs="Times New Roman"/>
                <w:spacing w:val="-2"/>
                <w:sz w:val="24"/>
                <w:szCs w:val="24"/>
                <w:highlight w:val="none"/>
                <w:lang w:val="en-US" w:eastAsia="zh-CN"/>
              </w:rPr>
            </w:pPr>
            <w:r>
              <w:rPr>
                <w:rFonts w:hint="default" w:ascii="Times New Roman" w:hAnsi="Times New Roman" w:cs="Times New Roman"/>
                <w:b/>
                <w:bCs w:val="0"/>
                <w:color w:val="auto"/>
                <w:sz w:val="24"/>
                <w:szCs w:val="24"/>
                <w:lang w:val="en-US" w:eastAsia="zh-CN"/>
              </w:rPr>
              <w:t>4.1</w:t>
            </w:r>
            <w:r>
              <w:rPr>
                <w:rFonts w:hint="default" w:ascii="Times New Roman" w:hAnsi="Times New Roman" w:eastAsia="宋体" w:cs="Times New Roman"/>
                <w:b/>
                <w:bCs w:val="0"/>
                <w:color w:val="auto"/>
                <w:sz w:val="24"/>
                <w:szCs w:val="24"/>
              </w:rPr>
              <w:t>固体废物产生情况</w:t>
            </w:r>
          </w:p>
          <w:p>
            <w:pPr>
              <w:pStyle w:val="133"/>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72" w:firstLineChars="200"/>
              <w:jc w:val="both"/>
              <w:textAlignment w:val="auto"/>
              <w:rPr>
                <w:rFonts w:hint="default" w:ascii="Times New Roman" w:hAnsi="Times New Roman" w:cs="Times New Roman"/>
                <w:sz w:val="24"/>
                <w:szCs w:val="24"/>
                <w:highlight w:val="none"/>
              </w:rPr>
            </w:pPr>
            <w:r>
              <w:rPr>
                <w:rFonts w:hint="default" w:ascii="Times New Roman" w:hAnsi="Times New Roman" w:cs="Times New Roman"/>
                <w:spacing w:val="-2"/>
                <w:sz w:val="24"/>
                <w:szCs w:val="24"/>
                <w:highlight w:val="none"/>
                <w:lang w:val="en-US" w:eastAsia="zh-CN"/>
              </w:rPr>
              <w:t>本</w:t>
            </w:r>
            <w:r>
              <w:rPr>
                <w:rFonts w:hint="default" w:ascii="Times New Roman" w:hAnsi="Times New Roman" w:cs="Times New Roman"/>
                <w:spacing w:val="-2"/>
                <w:sz w:val="24"/>
                <w:szCs w:val="24"/>
                <w:highlight w:val="none"/>
              </w:rPr>
              <w:t>项目</w:t>
            </w:r>
            <w:r>
              <w:rPr>
                <w:rFonts w:hint="default" w:ascii="Times New Roman" w:hAnsi="Times New Roman" w:cs="Times New Roman"/>
                <w:spacing w:val="-2"/>
                <w:sz w:val="24"/>
                <w:szCs w:val="24"/>
                <w:highlight w:val="none"/>
                <w:lang w:val="en-US" w:eastAsia="zh-CN"/>
              </w:rPr>
              <w:t>产生的</w:t>
            </w:r>
            <w:r>
              <w:rPr>
                <w:rFonts w:hint="default" w:ascii="Times New Roman" w:hAnsi="Times New Roman" w:cs="Times New Roman"/>
                <w:spacing w:val="-2"/>
                <w:sz w:val="24"/>
                <w:szCs w:val="24"/>
                <w:highlight w:val="none"/>
              </w:rPr>
              <w:t>固体废弃物主要</w:t>
            </w:r>
            <w:r>
              <w:rPr>
                <w:rFonts w:hint="default" w:ascii="Times New Roman" w:hAnsi="Times New Roman" w:cs="Times New Roman"/>
                <w:spacing w:val="-2"/>
                <w:sz w:val="24"/>
                <w:szCs w:val="24"/>
                <w:highlight w:val="none"/>
                <w:lang w:val="en-US" w:eastAsia="zh-CN"/>
              </w:rPr>
              <w:t>为</w:t>
            </w:r>
            <w:r>
              <w:rPr>
                <w:rFonts w:hint="default" w:ascii="Times New Roman" w:hAnsi="Times New Roman" w:cs="Times New Roman"/>
                <w:spacing w:val="-2"/>
                <w:sz w:val="24"/>
                <w:szCs w:val="24"/>
                <w:highlight w:val="none"/>
              </w:rPr>
              <w:t>员工生活垃圾</w:t>
            </w:r>
            <w:r>
              <w:rPr>
                <w:rFonts w:hint="default" w:ascii="Times New Roman" w:hAnsi="Times New Roman" w:cs="Times New Roman"/>
                <w:spacing w:val="-2"/>
                <w:sz w:val="24"/>
                <w:szCs w:val="24"/>
                <w:highlight w:val="none"/>
                <w:lang w:eastAsia="zh-CN"/>
              </w:rPr>
              <w:t>，</w:t>
            </w:r>
            <w:r>
              <w:rPr>
                <w:rFonts w:hint="default" w:ascii="Times New Roman" w:hAnsi="Times New Roman" w:cs="Times New Roman"/>
                <w:spacing w:val="-2"/>
                <w:sz w:val="24"/>
                <w:szCs w:val="24"/>
                <w:highlight w:val="none"/>
                <w:lang w:val="en-US" w:eastAsia="zh-CN"/>
              </w:rPr>
              <w:t>包装原辅料的废包装袋，废离子交换树脂，污水处理站污泥，锅炉灰渣，除尘灰，设备维修产生的</w:t>
            </w:r>
            <w:r>
              <w:rPr>
                <w:rFonts w:hint="default" w:ascii="Times New Roman" w:hAnsi="Times New Roman" w:cs="Times New Roman"/>
                <w:spacing w:val="-2"/>
                <w:sz w:val="24"/>
                <w:szCs w:val="24"/>
                <w:highlight w:val="none"/>
              </w:rPr>
              <w:t>废机油、废机油桶</w:t>
            </w:r>
            <w:r>
              <w:rPr>
                <w:rFonts w:hint="default" w:ascii="Times New Roman" w:hAnsi="Times New Roman" w:cs="Times New Roman"/>
                <w:spacing w:val="-2"/>
                <w:sz w:val="24"/>
                <w:szCs w:val="24"/>
                <w:highlight w:val="none"/>
                <w:lang w:val="en-US" w:eastAsia="zh-CN"/>
              </w:rPr>
              <w:t>及</w:t>
            </w:r>
            <w:r>
              <w:rPr>
                <w:rFonts w:hint="default" w:ascii="Times New Roman" w:hAnsi="Times New Roman" w:cs="Times New Roman"/>
                <w:spacing w:val="-2"/>
                <w:sz w:val="24"/>
                <w:szCs w:val="24"/>
                <w:highlight w:val="none"/>
              </w:rPr>
              <w:t>含油抹布。</w:t>
            </w:r>
          </w:p>
          <w:p>
            <w:pPr>
              <w:pStyle w:val="133"/>
              <w:keepNext w:val="0"/>
              <w:keepLines w:val="0"/>
              <w:pageBreakBefore w:val="0"/>
              <w:widowControl w:val="0"/>
              <w:tabs>
                <w:tab w:val="left" w:pos="1053"/>
              </w:tabs>
              <w:kinsoku/>
              <w:wordWrap/>
              <w:overflowPunct/>
              <w:topLinePunct w:val="0"/>
              <w:autoSpaceDE/>
              <w:autoSpaceDN/>
              <w:bidi w:val="0"/>
              <w:adjustRightInd w:val="0"/>
              <w:snapToGrid w:val="0"/>
              <w:spacing w:line="460" w:lineRule="exact"/>
              <w:ind w:left="0" w:leftChars="0" w:right="0" w:rightChars="0" w:firstLine="456" w:firstLineChars="200"/>
              <w:jc w:val="both"/>
              <w:textAlignment w:val="auto"/>
              <w:outlineLvl w:val="9"/>
              <w:rPr>
                <w:rFonts w:hint="default" w:ascii="Times New Roman" w:hAnsi="Times New Roman" w:eastAsia="宋体" w:cs="Times New Roman"/>
                <w:color w:val="auto"/>
                <w:sz w:val="24"/>
                <w:szCs w:val="20"/>
                <w:lang w:val="en-US" w:eastAsia="zh-CN" w:bidi="ar-SA"/>
              </w:rPr>
            </w:pPr>
            <w:r>
              <w:rPr>
                <w:rFonts w:hint="default" w:ascii="Times New Roman" w:hAnsi="Times New Roman" w:cs="Times New Roman"/>
                <w:spacing w:val="-6"/>
                <w:sz w:val="24"/>
                <w:szCs w:val="24"/>
                <w:lang w:val="en-US" w:eastAsia="zh-CN"/>
              </w:rPr>
              <w:t>（1）</w:t>
            </w:r>
            <w:r>
              <w:rPr>
                <w:rFonts w:hint="default" w:ascii="Times New Roman" w:hAnsi="Times New Roman" w:cs="Times New Roman"/>
                <w:spacing w:val="-6"/>
                <w:sz w:val="24"/>
                <w:szCs w:val="24"/>
              </w:rPr>
              <w:t>生活垃圾</w:t>
            </w:r>
            <w:r>
              <w:rPr>
                <w:rFonts w:hint="default" w:ascii="Times New Roman" w:hAnsi="Times New Roman" w:cs="Times New Roman"/>
                <w:spacing w:val="-6"/>
                <w:sz w:val="24"/>
                <w:szCs w:val="24"/>
                <w:lang w:eastAsia="zh-CN"/>
              </w:rPr>
              <w:t>：</w:t>
            </w:r>
            <w:r>
              <w:rPr>
                <w:rFonts w:hint="default" w:ascii="Times New Roman" w:hAnsi="Times New Roman" w:eastAsia="宋体" w:cs="Times New Roman"/>
                <w:color w:val="auto"/>
                <w:sz w:val="24"/>
                <w:szCs w:val="20"/>
                <w:lang w:val="en-US" w:eastAsia="zh-CN" w:bidi="ar-SA"/>
              </w:rPr>
              <w:t>本项目劳动</w:t>
            </w:r>
            <w:r>
              <w:rPr>
                <w:rFonts w:hint="default" w:ascii="Times New Roman" w:hAnsi="Times New Roman" w:eastAsia="宋体" w:cs="Times New Roman"/>
                <w:color w:val="auto"/>
                <w:sz w:val="24"/>
                <w:szCs w:val="20"/>
                <w:highlight w:val="none"/>
                <w:lang w:val="en-US" w:eastAsia="zh-CN" w:bidi="ar-SA"/>
              </w:rPr>
              <w:t>定员</w:t>
            </w:r>
            <w:r>
              <w:rPr>
                <w:rFonts w:hint="eastAsia" w:ascii="Times New Roman" w:hAnsi="Times New Roman" w:cs="Times New Roman"/>
                <w:color w:val="auto"/>
                <w:sz w:val="24"/>
                <w:szCs w:val="20"/>
                <w:highlight w:val="none"/>
                <w:lang w:val="en-US" w:eastAsia="zh-CN" w:bidi="ar-SA"/>
              </w:rPr>
              <w:t>9</w:t>
            </w:r>
            <w:r>
              <w:rPr>
                <w:rFonts w:hint="default" w:ascii="Times New Roman" w:hAnsi="Times New Roman" w:eastAsia="宋体" w:cs="Times New Roman"/>
                <w:color w:val="auto"/>
                <w:sz w:val="24"/>
                <w:szCs w:val="20"/>
                <w:highlight w:val="none"/>
                <w:lang w:val="en-US" w:eastAsia="zh-CN" w:bidi="ar-SA"/>
              </w:rPr>
              <w:t>人，年工作日</w:t>
            </w:r>
            <w:r>
              <w:rPr>
                <w:rFonts w:hint="default" w:ascii="Times New Roman" w:hAnsi="Times New Roman" w:cs="Times New Roman"/>
                <w:color w:val="auto"/>
                <w:sz w:val="24"/>
                <w:szCs w:val="20"/>
                <w:highlight w:val="none"/>
                <w:lang w:val="en-US" w:eastAsia="zh-CN" w:bidi="ar-SA"/>
              </w:rPr>
              <w:t>360</w:t>
            </w:r>
            <w:r>
              <w:rPr>
                <w:rFonts w:hint="default" w:ascii="Times New Roman" w:hAnsi="Times New Roman" w:eastAsia="宋体" w:cs="Times New Roman"/>
                <w:color w:val="auto"/>
                <w:sz w:val="24"/>
                <w:szCs w:val="20"/>
                <w:highlight w:val="none"/>
                <w:lang w:val="en-US" w:eastAsia="zh-CN" w:bidi="ar-SA"/>
              </w:rPr>
              <w:t>天，生活垃圾产生量以0.5kg/人·日计，则生活垃圾的产生量为</w:t>
            </w:r>
            <w:r>
              <w:rPr>
                <w:rFonts w:hint="eastAsia" w:ascii="Times New Roman" w:hAnsi="Times New Roman" w:cs="Times New Roman"/>
                <w:color w:val="auto"/>
                <w:sz w:val="24"/>
                <w:szCs w:val="20"/>
                <w:highlight w:val="none"/>
                <w:lang w:val="en-US" w:eastAsia="zh-CN" w:bidi="ar-SA"/>
              </w:rPr>
              <w:t>1.62</w:t>
            </w:r>
            <w:r>
              <w:rPr>
                <w:rFonts w:hint="default" w:ascii="Times New Roman" w:hAnsi="Times New Roman" w:eastAsia="宋体" w:cs="Times New Roman"/>
                <w:color w:val="auto"/>
                <w:sz w:val="24"/>
                <w:szCs w:val="20"/>
                <w:highlight w:val="none"/>
                <w:lang w:val="en-US" w:eastAsia="zh-CN" w:bidi="ar-SA"/>
              </w:rPr>
              <w:t>t/a。要求建设单位在厂区内设置集中式</w:t>
            </w:r>
            <w:r>
              <w:rPr>
                <w:rFonts w:hint="default" w:ascii="Times New Roman" w:hAnsi="Times New Roman" w:cs="Times New Roman"/>
                <w:color w:val="auto"/>
                <w:sz w:val="24"/>
                <w:szCs w:val="20"/>
                <w:highlight w:val="none"/>
                <w:lang w:val="en-US" w:eastAsia="zh-CN" w:bidi="ar-SA"/>
              </w:rPr>
              <w:t>垃圾桶</w:t>
            </w:r>
            <w:r>
              <w:rPr>
                <w:rFonts w:hint="default" w:ascii="Times New Roman" w:hAnsi="Times New Roman" w:eastAsia="宋体" w:cs="Times New Roman"/>
                <w:color w:val="auto"/>
                <w:sz w:val="24"/>
                <w:szCs w:val="20"/>
                <w:highlight w:val="none"/>
                <w:lang w:val="en-US" w:eastAsia="zh-CN" w:bidi="ar-SA"/>
              </w:rPr>
              <w:t>，定期交由环卫部门统一清运。</w:t>
            </w:r>
          </w:p>
          <w:p>
            <w:pPr>
              <w:keepNext w:val="0"/>
              <w:keepLines w:val="0"/>
              <w:pageBreakBefore w:val="0"/>
              <w:widowControl w:val="0"/>
              <w:kinsoku/>
              <w:wordWrap/>
              <w:overflowPunct/>
              <w:topLinePunct w:val="0"/>
              <w:autoSpaceDE/>
              <w:autoSpaceDN/>
              <w:bidi w:val="0"/>
              <w:snapToGrid w:val="0"/>
              <w:spacing w:line="460" w:lineRule="exact"/>
              <w:ind w:firstLine="456" w:firstLineChars="200"/>
              <w:jc w:val="both"/>
              <w:textAlignment w:val="auto"/>
              <w:rPr>
                <w:rFonts w:hint="default" w:ascii="Times New Roman" w:hAnsi="Times New Roman" w:cs="Times New Roman"/>
                <w:sz w:val="24"/>
                <w:szCs w:val="24"/>
              </w:rPr>
            </w:pPr>
            <w:r>
              <w:rPr>
                <w:rFonts w:hint="default" w:ascii="Times New Roman" w:hAnsi="Times New Roman" w:cs="Times New Roman"/>
                <w:spacing w:val="-6"/>
                <w:sz w:val="24"/>
                <w:szCs w:val="24"/>
                <w:lang w:val="en-US" w:eastAsia="zh-CN"/>
              </w:rPr>
              <w:t>（2）</w:t>
            </w:r>
            <w:r>
              <w:rPr>
                <w:rFonts w:hint="default" w:ascii="Times New Roman" w:hAnsi="Times New Roman" w:cs="Times New Roman"/>
                <w:spacing w:val="-2"/>
                <w:sz w:val="24"/>
                <w:szCs w:val="24"/>
                <w:highlight w:val="none"/>
                <w:lang w:val="en-US" w:eastAsia="zh-CN"/>
              </w:rPr>
              <w:t>废包装袋</w:t>
            </w:r>
            <w:r>
              <w:rPr>
                <w:rFonts w:hint="default" w:ascii="Times New Roman" w:hAnsi="Times New Roman" w:cs="Times New Roman"/>
                <w:spacing w:val="-2"/>
                <w:sz w:val="24"/>
                <w:szCs w:val="24"/>
                <w:highlight w:val="none"/>
                <w:lang w:eastAsia="zh-CN"/>
              </w:rPr>
              <w:t>：</w:t>
            </w:r>
            <w:r>
              <w:rPr>
                <w:rFonts w:hint="default" w:ascii="Times New Roman" w:hAnsi="Times New Roman" w:cs="Times New Roman"/>
                <w:sz w:val="24"/>
                <w:szCs w:val="24"/>
              </w:rPr>
              <w:t>根据建设单位提供资料，包装废物包括</w:t>
            </w:r>
            <w:r>
              <w:rPr>
                <w:rFonts w:hint="default" w:ascii="Times New Roman" w:hAnsi="Times New Roman" w:cs="Times New Roman"/>
                <w:sz w:val="24"/>
                <w:szCs w:val="24"/>
                <w:lang w:val="en-US" w:eastAsia="zh-CN"/>
              </w:rPr>
              <w:t>原</w:t>
            </w:r>
            <w:r>
              <w:rPr>
                <w:rFonts w:hint="default" w:ascii="Times New Roman" w:hAnsi="Times New Roman" w:cs="Times New Roman"/>
                <w:sz w:val="24"/>
                <w:szCs w:val="24"/>
              </w:rPr>
              <w:t>辅料包装、生物质颗粒包装等，产生量约为0.</w:t>
            </w:r>
            <w:r>
              <w:rPr>
                <w:rFonts w:hint="eastAsia" w:ascii="Times New Roman" w:cs="Times New Roman"/>
                <w:sz w:val="24"/>
                <w:szCs w:val="24"/>
                <w:lang w:val="en-US" w:eastAsia="zh-CN"/>
              </w:rPr>
              <w:t>8</w:t>
            </w:r>
            <w:r>
              <w:rPr>
                <w:rFonts w:hint="default" w:ascii="Times New Roman" w:hAnsi="Times New Roman" w:cs="Times New Roman"/>
                <w:sz w:val="24"/>
                <w:szCs w:val="24"/>
              </w:rPr>
              <w:t>t/a，集中收集后暂存于</w:t>
            </w:r>
            <w:r>
              <w:rPr>
                <w:rFonts w:hint="default" w:ascii="Times New Roman" w:hAnsi="Times New Roman" w:cs="Times New Roman"/>
                <w:sz w:val="24"/>
                <w:szCs w:val="24"/>
                <w:lang w:eastAsia="zh-CN"/>
              </w:rPr>
              <w:t>一般固废暂存区</w:t>
            </w:r>
            <w:r>
              <w:rPr>
                <w:rFonts w:hint="default" w:ascii="Times New Roman" w:hAnsi="Times New Roman" w:cs="Times New Roman"/>
                <w:sz w:val="24"/>
                <w:szCs w:val="24"/>
              </w:rPr>
              <w:t>，定期外售于废品回收站综合利用。</w:t>
            </w:r>
          </w:p>
          <w:p>
            <w:pPr>
              <w:pStyle w:val="133"/>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456" w:firstLineChars="200"/>
              <w:jc w:val="both"/>
              <w:textAlignment w:val="auto"/>
              <w:outlineLvl w:val="9"/>
              <w:rPr>
                <w:rFonts w:hint="default" w:ascii="Times New Roman" w:hAnsi="Times New Roman" w:cs="Times New Roman"/>
                <w:spacing w:val="-2"/>
                <w:sz w:val="24"/>
                <w:szCs w:val="24"/>
                <w:highlight w:val="none"/>
                <w:lang w:val="en-US" w:eastAsia="zh-CN"/>
              </w:rPr>
            </w:pPr>
            <w:r>
              <w:rPr>
                <w:rFonts w:hint="default" w:ascii="Times New Roman" w:hAnsi="Times New Roman" w:cs="Times New Roman"/>
                <w:spacing w:val="-6"/>
                <w:sz w:val="24"/>
                <w:szCs w:val="24"/>
                <w:lang w:val="en-US" w:eastAsia="zh-CN"/>
              </w:rPr>
              <w:t>（3）</w:t>
            </w:r>
            <w:r>
              <w:rPr>
                <w:rFonts w:hint="default" w:ascii="Times New Roman" w:hAnsi="Times New Roman" w:cs="Times New Roman"/>
                <w:spacing w:val="-2"/>
                <w:sz w:val="24"/>
                <w:szCs w:val="24"/>
                <w:highlight w:val="none"/>
                <w:lang w:val="en-US" w:eastAsia="zh-CN"/>
              </w:rPr>
              <w:t>废离子交换树脂：锅炉软水制备系统的离子交换树脂需要定期更换，约每年更换一次，每次更换量为0.1t/a，交由厂家回收处理。</w:t>
            </w:r>
          </w:p>
          <w:p>
            <w:pPr>
              <w:pStyle w:val="133"/>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456" w:firstLineChars="200"/>
              <w:jc w:val="both"/>
              <w:textAlignment w:val="auto"/>
              <w:outlineLvl w:val="9"/>
              <w:rPr>
                <w:rFonts w:hint="default" w:ascii="Times New Roman" w:hAnsi="Times New Roman" w:cs="Times New Roman"/>
                <w:color w:val="auto"/>
                <w:spacing w:val="-2"/>
                <w:sz w:val="24"/>
                <w:szCs w:val="24"/>
                <w:highlight w:val="none"/>
                <w:lang w:val="en-US" w:eastAsia="zh-CN"/>
              </w:rPr>
            </w:pPr>
            <w:r>
              <w:rPr>
                <w:rFonts w:hint="default" w:ascii="Times New Roman" w:hAnsi="Times New Roman" w:cs="Times New Roman"/>
                <w:spacing w:val="-6"/>
                <w:sz w:val="24"/>
                <w:szCs w:val="24"/>
                <w:lang w:val="en-US" w:eastAsia="zh-CN"/>
              </w:rPr>
              <w:t>（4）污水处理站污泥</w:t>
            </w:r>
            <w:r>
              <w:rPr>
                <w:rFonts w:hint="default" w:ascii="Times New Roman" w:hAnsi="Times New Roman" w:cs="Times New Roman"/>
                <w:spacing w:val="-2"/>
                <w:sz w:val="24"/>
                <w:szCs w:val="24"/>
                <w:highlight w:val="none"/>
                <w:lang w:val="en-US" w:eastAsia="zh-CN"/>
              </w:rPr>
              <w:t>：项目污水经自建污水处理系统处理后将产生沉渣与污泥，项目废水主要为布草洗涤废水，成分相对简单，主要为布草洗涤过程产生的脱落物质，污泥产生量为0.</w:t>
            </w:r>
            <w:r>
              <w:rPr>
                <w:rFonts w:hint="eastAsia" w:ascii="Times New Roman" w:hAnsi="Times New Roman" w:cs="Times New Roman"/>
                <w:spacing w:val="-2"/>
                <w:sz w:val="24"/>
                <w:szCs w:val="24"/>
                <w:highlight w:val="none"/>
                <w:lang w:val="en-US" w:eastAsia="zh-CN"/>
              </w:rPr>
              <w:t>8</w:t>
            </w:r>
            <w:r>
              <w:rPr>
                <w:rFonts w:hint="default" w:ascii="Times New Roman" w:hAnsi="Times New Roman" w:cs="Times New Roman"/>
                <w:spacing w:val="-2"/>
                <w:sz w:val="24"/>
                <w:szCs w:val="24"/>
                <w:highlight w:val="none"/>
                <w:lang w:val="en-US" w:eastAsia="zh-CN"/>
              </w:rPr>
              <w:t>t/a，定期清理，脱水后交由环卫部门清运，不在厂区内长时间停留。</w:t>
            </w:r>
          </w:p>
          <w:p>
            <w:pPr>
              <w:pStyle w:val="133"/>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472" w:firstLineChars="200"/>
              <w:jc w:val="both"/>
              <w:textAlignment w:val="auto"/>
              <w:outlineLvl w:val="9"/>
              <w:rPr>
                <w:rFonts w:hint="default" w:ascii="Times New Roman" w:hAnsi="Times New Roman" w:cs="Times New Roman"/>
                <w:color w:val="auto"/>
                <w:spacing w:val="-2"/>
                <w:sz w:val="24"/>
                <w:szCs w:val="24"/>
                <w:highlight w:val="none"/>
                <w:lang w:val="en-US" w:eastAsia="en-US"/>
              </w:rPr>
            </w:pPr>
            <w:r>
              <w:rPr>
                <w:rFonts w:hint="default" w:ascii="Times New Roman" w:hAnsi="Times New Roman" w:cs="Times New Roman"/>
                <w:color w:val="auto"/>
                <w:spacing w:val="-2"/>
                <w:sz w:val="24"/>
                <w:szCs w:val="24"/>
                <w:highlight w:val="none"/>
                <w:lang w:val="en-US" w:eastAsia="zh-CN"/>
              </w:rPr>
              <w:t>（</w:t>
            </w:r>
            <w:r>
              <w:rPr>
                <w:rFonts w:hint="eastAsia" w:ascii="Times New Roman" w:hAnsi="Times New Roman" w:cs="Times New Roman"/>
                <w:color w:val="auto"/>
                <w:spacing w:val="-2"/>
                <w:sz w:val="24"/>
                <w:szCs w:val="24"/>
                <w:highlight w:val="none"/>
                <w:lang w:val="en-US" w:eastAsia="zh-CN"/>
              </w:rPr>
              <w:t>5</w:t>
            </w:r>
            <w:r>
              <w:rPr>
                <w:rFonts w:hint="default" w:ascii="Times New Roman" w:hAnsi="Times New Roman" w:cs="Times New Roman"/>
                <w:color w:val="auto"/>
                <w:spacing w:val="-2"/>
                <w:sz w:val="24"/>
                <w:szCs w:val="24"/>
                <w:highlight w:val="none"/>
                <w:lang w:val="en-US" w:eastAsia="zh-CN"/>
              </w:rPr>
              <w:t>）</w:t>
            </w:r>
            <w:r>
              <w:rPr>
                <w:rFonts w:hint="default" w:ascii="Times New Roman" w:hAnsi="Times New Roman" w:cs="Times New Roman"/>
                <w:color w:val="auto"/>
                <w:spacing w:val="-2"/>
                <w:sz w:val="24"/>
                <w:szCs w:val="24"/>
                <w:highlight w:val="none"/>
                <w:lang w:val="en-US" w:eastAsia="en-US"/>
              </w:rPr>
              <w:t>锅炉灰渣</w:t>
            </w:r>
          </w:p>
          <w:p>
            <w:pPr>
              <w:pStyle w:val="133"/>
              <w:keepNext w:val="0"/>
              <w:keepLines w:val="0"/>
              <w:pageBreakBefore w:val="0"/>
              <w:widowControl w:val="0"/>
              <w:kinsoku/>
              <w:wordWrap/>
              <w:overflowPunct/>
              <w:topLinePunct w:val="0"/>
              <w:autoSpaceDE/>
              <w:autoSpaceDN/>
              <w:bidi w:val="0"/>
              <w:adjustRightInd w:val="0"/>
              <w:snapToGrid w:val="0"/>
              <w:spacing w:line="460" w:lineRule="exact"/>
              <w:ind w:left="0" w:leftChars="0" w:right="0" w:rightChars="0" w:firstLine="472" w:firstLineChars="200"/>
              <w:jc w:val="both"/>
              <w:textAlignment w:val="auto"/>
              <w:outlineLvl w:val="9"/>
              <w:rPr>
                <w:rFonts w:hint="default" w:ascii="Times New Roman" w:hAnsi="Times New Roman" w:cs="Times New Roman"/>
                <w:color w:val="auto"/>
                <w:spacing w:val="-2"/>
                <w:sz w:val="24"/>
                <w:szCs w:val="24"/>
                <w:highlight w:val="none"/>
                <w:lang w:val="en-US" w:eastAsia="en-US"/>
              </w:rPr>
            </w:pPr>
            <w:r>
              <w:rPr>
                <w:rFonts w:hint="default" w:ascii="Times New Roman" w:hAnsi="Times New Roman" w:cs="Times New Roman"/>
                <w:color w:val="auto"/>
                <w:spacing w:val="-2"/>
                <w:sz w:val="24"/>
                <w:szCs w:val="24"/>
                <w:highlight w:val="none"/>
                <w:lang w:val="en-US" w:eastAsia="en-US"/>
              </w:rPr>
              <w:t>根据</w:t>
            </w:r>
            <w:r>
              <w:rPr>
                <w:rFonts w:hint="default" w:ascii="Times New Roman" w:hAnsi="Times New Roman" w:cs="Times New Roman"/>
                <w:color w:val="auto"/>
                <w:spacing w:val="-2"/>
                <w:sz w:val="24"/>
                <w:szCs w:val="24"/>
                <w:highlight w:val="none"/>
                <w:lang w:val="en-US" w:eastAsia="zh-CN"/>
              </w:rPr>
              <w:t>《污染源源强核算技术指南  锅炉》（HJ 991-2018）</w:t>
            </w:r>
            <w:r>
              <w:rPr>
                <w:rFonts w:hint="default" w:ascii="Times New Roman" w:hAnsi="Times New Roman" w:cs="Times New Roman"/>
                <w:color w:val="auto"/>
                <w:spacing w:val="-2"/>
                <w:sz w:val="24"/>
                <w:szCs w:val="24"/>
                <w:highlight w:val="none"/>
                <w:lang w:val="en-US" w:eastAsia="en-US"/>
              </w:rPr>
              <w:t>，燃生物质锅炉灰渣产生量计算公式如下：</w:t>
            </w:r>
          </w:p>
          <w:p>
            <w:pPr>
              <w:pStyle w:val="13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72" w:firstLineChars="200"/>
              <w:jc w:val="both"/>
              <w:textAlignment w:val="auto"/>
              <w:outlineLvl w:val="9"/>
              <w:rPr>
                <w:rFonts w:hint="default" w:ascii="Times New Roman" w:hAnsi="Times New Roman" w:cs="Times New Roman"/>
                <w:color w:val="auto"/>
                <w:spacing w:val="-2"/>
                <w:sz w:val="24"/>
                <w:szCs w:val="24"/>
                <w:highlight w:val="green"/>
                <w:lang w:val="en-US" w:eastAsia="en-US"/>
              </w:rPr>
            </w:pPr>
            <w:r>
              <w:rPr>
                <w:rFonts w:hint="default" w:ascii="Times New Roman" w:hAnsi="Times New Roman" w:cs="Times New Roman"/>
                <w:color w:val="auto"/>
                <w:spacing w:val="-2"/>
                <w:sz w:val="24"/>
                <w:szCs w:val="24"/>
                <w:highlight w:val="green"/>
                <w:lang w:val="en-US" w:eastAsia="zh-CN"/>
              </w:rPr>
              <w:drawing>
                <wp:anchor distT="0" distB="0" distL="114300" distR="114300" simplePos="0" relativeHeight="251668480" behindDoc="1" locked="0" layoutInCell="1" allowOverlap="1">
                  <wp:simplePos x="0" y="0"/>
                  <wp:positionH relativeFrom="column">
                    <wp:posOffset>1464310</wp:posOffset>
                  </wp:positionH>
                  <wp:positionV relativeFrom="paragraph">
                    <wp:posOffset>70485</wp:posOffset>
                  </wp:positionV>
                  <wp:extent cx="1835150" cy="474345"/>
                  <wp:effectExtent l="0" t="0" r="12700" b="1905"/>
                  <wp:wrapNone/>
                  <wp:docPr id="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pic:cNvPicPr>
                            <a:picLocks noChangeAspect="1"/>
                          </pic:cNvPicPr>
                        </pic:nvPicPr>
                        <pic:blipFill>
                          <a:blip r:embed="rId24"/>
                          <a:stretch>
                            <a:fillRect/>
                          </a:stretch>
                        </pic:blipFill>
                        <pic:spPr>
                          <a:xfrm>
                            <a:off x="0" y="0"/>
                            <a:ext cx="1835150" cy="474345"/>
                          </a:xfrm>
                          <a:prstGeom prst="rect">
                            <a:avLst/>
                          </a:prstGeom>
                          <a:noFill/>
                          <a:ln>
                            <a:noFill/>
                          </a:ln>
                        </pic:spPr>
                      </pic:pic>
                    </a:graphicData>
                  </a:graphic>
                </wp:anchor>
              </w:drawing>
            </w:r>
          </w:p>
          <w:p>
            <w:pPr>
              <w:pStyle w:val="13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72" w:firstLineChars="200"/>
              <w:jc w:val="both"/>
              <w:textAlignment w:val="auto"/>
              <w:outlineLvl w:val="9"/>
              <w:rPr>
                <w:rFonts w:hint="default" w:ascii="Times New Roman" w:hAnsi="Times New Roman" w:cs="Times New Roman"/>
                <w:color w:val="auto"/>
                <w:spacing w:val="-2"/>
                <w:sz w:val="24"/>
                <w:szCs w:val="24"/>
                <w:highlight w:val="green"/>
                <w:lang w:val="en-US" w:eastAsia="en-US"/>
              </w:rPr>
            </w:pPr>
          </w:p>
          <w:p>
            <w:pPr>
              <w:pStyle w:val="13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72" w:firstLineChars="200"/>
              <w:jc w:val="both"/>
              <w:textAlignment w:val="auto"/>
              <w:outlineLvl w:val="9"/>
              <w:rPr>
                <w:rFonts w:hint="default" w:ascii="Times New Roman" w:hAnsi="Times New Roman" w:cs="Times New Roman"/>
                <w:color w:val="auto"/>
                <w:spacing w:val="-2"/>
                <w:sz w:val="24"/>
                <w:szCs w:val="24"/>
                <w:highlight w:val="green"/>
                <w:lang w:val="en-US" w:eastAsia="en-US"/>
              </w:rPr>
            </w:pPr>
          </w:p>
          <w:p>
            <w:pPr>
              <w:pStyle w:val="13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72" w:firstLineChars="200"/>
              <w:jc w:val="both"/>
              <w:textAlignment w:val="auto"/>
              <w:outlineLvl w:val="9"/>
              <w:rPr>
                <w:rFonts w:hint="default" w:ascii="Times New Roman" w:hAnsi="Times New Roman" w:cs="Times New Roman"/>
                <w:color w:val="auto"/>
                <w:spacing w:val="-2"/>
                <w:sz w:val="24"/>
                <w:szCs w:val="24"/>
                <w:highlight w:val="none"/>
                <w:lang w:val="en-US" w:eastAsia="en-US"/>
              </w:rPr>
            </w:pPr>
            <w:r>
              <w:rPr>
                <w:rFonts w:hint="default" w:ascii="Times New Roman" w:hAnsi="Times New Roman" w:cs="Times New Roman"/>
                <w:color w:val="auto"/>
                <w:spacing w:val="-2"/>
                <w:sz w:val="24"/>
                <w:szCs w:val="24"/>
                <w:highlight w:val="none"/>
                <w:lang w:val="en-US" w:eastAsia="en-US"/>
              </w:rPr>
              <w:t>式中：E</w:t>
            </w:r>
            <w:r>
              <w:rPr>
                <w:rFonts w:hint="default" w:ascii="Times New Roman" w:hAnsi="Times New Roman" w:cs="Times New Roman"/>
                <w:color w:val="auto"/>
                <w:spacing w:val="-2"/>
                <w:sz w:val="24"/>
                <w:szCs w:val="24"/>
                <w:highlight w:val="none"/>
                <w:vertAlign w:val="subscript"/>
                <w:lang w:val="en-US" w:eastAsia="en-US"/>
              </w:rPr>
              <w:t>hz</w:t>
            </w:r>
            <w:r>
              <w:rPr>
                <w:rFonts w:hint="default" w:ascii="Times New Roman" w:hAnsi="Times New Roman" w:cs="Times New Roman"/>
                <w:color w:val="auto"/>
                <w:spacing w:val="-2"/>
                <w:sz w:val="24"/>
                <w:szCs w:val="24"/>
                <w:highlight w:val="none"/>
                <w:lang w:val="en-US" w:eastAsia="en-US"/>
              </w:rPr>
              <w:t>——核算时段内灰渣产生量，t，根据飞灰份额d</w:t>
            </w:r>
            <w:r>
              <w:rPr>
                <w:rFonts w:hint="default" w:ascii="Times New Roman" w:hAnsi="Times New Roman" w:cs="Times New Roman"/>
                <w:color w:val="auto"/>
                <w:spacing w:val="-2"/>
                <w:sz w:val="24"/>
                <w:szCs w:val="24"/>
                <w:highlight w:val="none"/>
                <w:vertAlign w:val="subscript"/>
                <w:lang w:val="en-US" w:eastAsia="en-US"/>
              </w:rPr>
              <w:t>fh</w:t>
            </w:r>
            <w:r>
              <w:rPr>
                <w:rFonts w:hint="default" w:ascii="Times New Roman" w:hAnsi="Times New Roman" w:cs="Times New Roman"/>
                <w:color w:val="auto"/>
                <w:spacing w:val="-2"/>
                <w:sz w:val="24"/>
                <w:szCs w:val="24"/>
                <w:highlight w:val="none"/>
                <w:lang w:val="en-US" w:eastAsia="en-US"/>
              </w:rPr>
              <w:t>可分别核算飞灰、灰渣产生量；</w:t>
            </w:r>
          </w:p>
          <w:p>
            <w:pPr>
              <w:pStyle w:val="13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72" w:firstLineChars="200"/>
              <w:jc w:val="both"/>
              <w:textAlignment w:val="auto"/>
              <w:outlineLvl w:val="9"/>
              <w:rPr>
                <w:rFonts w:hint="default" w:ascii="Times New Roman" w:hAnsi="Times New Roman" w:eastAsia="宋体" w:cs="Times New Roman"/>
                <w:color w:val="auto"/>
                <w:spacing w:val="-2"/>
                <w:sz w:val="24"/>
                <w:szCs w:val="24"/>
                <w:highlight w:val="none"/>
                <w:lang w:val="en-US" w:eastAsia="zh-CN"/>
              </w:rPr>
            </w:pPr>
            <w:r>
              <w:rPr>
                <w:rFonts w:hint="default" w:ascii="Times New Roman" w:hAnsi="Times New Roman" w:cs="Times New Roman"/>
                <w:color w:val="auto"/>
                <w:spacing w:val="-2"/>
                <w:sz w:val="24"/>
                <w:szCs w:val="24"/>
                <w:highlight w:val="none"/>
                <w:lang w:val="en-US" w:eastAsia="en-US"/>
              </w:rPr>
              <w:t>R——核算时段内锅炉燃料耗量，t</w:t>
            </w:r>
            <w:r>
              <w:rPr>
                <w:rFonts w:hint="default" w:ascii="Times New Roman" w:hAnsi="Times New Roman" w:cs="Times New Roman"/>
                <w:color w:val="auto"/>
                <w:spacing w:val="-2"/>
                <w:sz w:val="24"/>
                <w:szCs w:val="24"/>
                <w:highlight w:val="none"/>
                <w:lang w:val="en-US" w:eastAsia="zh-CN"/>
              </w:rPr>
              <w:t>；</w:t>
            </w:r>
          </w:p>
          <w:p>
            <w:pPr>
              <w:pStyle w:val="13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72" w:firstLineChars="200"/>
              <w:jc w:val="both"/>
              <w:textAlignment w:val="auto"/>
              <w:outlineLvl w:val="9"/>
              <w:rPr>
                <w:rFonts w:hint="default" w:ascii="Times New Roman" w:hAnsi="Times New Roman" w:cs="Times New Roman"/>
                <w:color w:val="auto"/>
                <w:spacing w:val="-2"/>
                <w:sz w:val="24"/>
                <w:szCs w:val="24"/>
                <w:highlight w:val="none"/>
                <w:lang w:val="en-US" w:eastAsia="en-US"/>
              </w:rPr>
            </w:pPr>
            <w:r>
              <w:rPr>
                <w:rFonts w:hint="default" w:ascii="Times New Roman" w:hAnsi="Times New Roman" w:cs="Times New Roman"/>
                <w:color w:val="auto"/>
                <w:spacing w:val="-2"/>
                <w:sz w:val="24"/>
                <w:szCs w:val="24"/>
                <w:highlight w:val="none"/>
                <w:lang w:val="en-US" w:eastAsia="en-US"/>
              </w:rPr>
              <w:t>A</w:t>
            </w:r>
            <w:r>
              <w:rPr>
                <w:rFonts w:hint="default" w:ascii="Times New Roman" w:hAnsi="Times New Roman" w:cs="Times New Roman"/>
                <w:color w:val="auto"/>
                <w:spacing w:val="-2"/>
                <w:sz w:val="24"/>
                <w:szCs w:val="24"/>
                <w:highlight w:val="none"/>
                <w:vertAlign w:val="subscript"/>
                <w:lang w:val="en-US" w:eastAsia="en-US"/>
              </w:rPr>
              <w:t>ar</w:t>
            </w:r>
            <w:r>
              <w:rPr>
                <w:rFonts w:hint="default" w:ascii="Times New Roman" w:hAnsi="Times New Roman" w:cs="Times New Roman"/>
                <w:color w:val="auto"/>
                <w:spacing w:val="-2"/>
                <w:sz w:val="24"/>
                <w:szCs w:val="24"/>
                <w:highlight w:val="none"/>
                <w:lang w:val="en-US" w:eastAsia="en-US"/>
              </w:rPr>
              <w:t>——收到基灰分的质量分数，%；</w:t>
            </w:r>
          </w:p>
          <w:p>
            <w:pPr>
              <w:pStyle w:val="13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72" w:firstLineChars="200"/>
              <w:jc w:val="both"/>
              <w:textAlignment w:val="auto"/>
              <w:outlineLvl w:val="9"/>
              <w:rPr>
                <w:rFonts w:hint="default" w:ascii="Times New Roman" w:hAnsi="Times New Roman" w:eastAsia="宋体" w:cs="Times New Roman"/>
                <w:color w:val="auto"/>
                <w:spacing w:val="-2"/>
                <w:sz w:val="24"/>
                <w:szCs w:val="24"/>
                <w:highlight w:val="none"/>
                <w:lang w:val="en-US" w:eastAsia="zh-CN"/>
              </w:rPr>
            </w:pPr>
            <w:r>
              <w:rPr>
                <w:rFonts w:hint="default" w:ascii="Times New Roman" w:hAnsi="Times New Roman" w:cs="Times New Roman"/>
                <w:color w:val="auto"/>
                <w:spacing w:val="-2"/>
                <w:sz w:val="24"/>
                <w:szCs w:val="24"/>
                <w:highlight w:val="none"/>
                <w:lang w:val="en-US" w:eastAsia="en-US"/>
              </w:rPr>
              <w:t>q</w:t>
            </w:r>
            <w:r>
              <w:rPr>
                <w:rFonts w:hint="default" w:ascii="Times New Roman" w:hAnsi="Times New Roman" w:cs="Times New Roman"/>
                <w:color w:val="auto"/>
                <w:spacing w:val="-2"/>
                <w:sz w:val="24"/>
                <w:szCs w:val="24"/>
                <w:highlight w:val="none"/>
                <w:vertAlign w:val="subscript"/>
                <w:lang w:val="en-US" w:eastAsia="en-US"/>
              </w:rPr>
              <w:t>4</w:t>
            </w:r>
            <w:r>
              <w:rPr>
                <w:rFonts w:hint="default" w:ascii="Times New Roman" w:hAnsi="Times New Roman" w:cs="Times New Roman"/>
                <w:color w:val="auto"/>
                <w:spacing w:val="-2"/>
                <w:sz w:val="24"/>
                <w:szCs w:val="24"/>
                <w:highlight w:val="none"/>
                <w:lang w:val="en-US" w:eastAsia="en-US"/>
              </w:rPr>
              <w:t>——锅炉机械不完全燃烧热损失，%；</w:t>
            </w:r>
          </w:p>
          <w:p>
            <w:pPr>
              <w:pStyle w:val="13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72" w:firstLineChars="200"/>
              <w:jc w:val="both"/>
              <w:textAlignment w:val="auto"/>
              <w:outlineLvl w:val="9"/>
              <w:rPr>
                <w:rFonts w:hint="default" w:ascii="Times New Roman" w:hAnsi="Times New Roman" w:cs="Times New Roman"/>
                <w:color w:val="auto"/>
                <w:spacing w:val="-2"/>
                <w:sz w:val="24"/>
                <w:szCs w:val="24"/>
                <w:highlight w:val="none"/>
                <w:lang w:val="en-US" w:eastAsia="en-US"/>
              </w:rPr>
            </w:pPr>
            <w:r>
              <w:rPr>
                <w:rFonts w:hint="default" w:ascii="Times New Roman" w:hAnsi="Times New Roman" w:cs="Times New Roman"/>
                <w:color w:val="auto"/>
                <w:spacing w:val="-2"/>
                <w:sz w:val="24"/>
                <w:szCs w:val="24"/>
                <w:highlight w:val="none"/>
                <w:lang w:val="en-US" w:eastAsia="en-US"/>
              </w:rPr>
              <w:t>Q</w:t>
            </w:r>
            <w:r>
              <w:rPr>
                <w:rFonts w:hint="default" w:ascii="Times New Roman" w:hAnsi="Times New Roman" w:cs="Times New Roman"/>
                <w:color w:val="auto"/>
                <w:spacing w:val="-2"/>
                <w:sz w:val="24"/>
                <w:szCs w:val="24"/>
                <w:highlight w:val="none"/>
                <w:vertAlign w:val="subscript"/>
                <w:lang w:val="en-US" w:eastAsia="en-US"/>
              </w:rPr>
              <w:t>net，ar</w:t>
            </w:r>
            <w:r>
              <w:rPr>
                <w:rFonts w:hint="default" w:ascii="Times New Roman" w:hAnsi="Times New Roman" w:cs="Times New Roman"/>
                <w:color w:val="auto"/>
                <w:spacing w:val="-2"/>
                <w:sz w:val="24"/>
                <w:szCs w:val="24"/>
                <w:highlight w:val="none"/>
                <w:lang w:val="en-US" w:eastAsia="en-US"/>
              </w:rPr>
              <w:t>——收到基低位发热量，kJ/kg。</w:t>
            </w:r>
          </w:p>
          <w:p>
            <w:pPr>
              <w:kinsoku w:val="0"/>
              <w:autoSpaceDE w:val="0"/>
              <w:autoSpaceDN w:val="0"/>
              <w:adjustRightInd w:val="0"/>
              <w:snapToGrid w:val="0"/>
              <w:spacing w:before="63" w:line="362" w:lineRule="auto"/>
              <w:ind w:left="107" w:right="103" w:firstLine="420"/>
              <w:jc w:val="both"/>
              <w:textAlignment w:val="baseline"/>
              <w:rPr>
                <w:rFonts w:hint="default" w:ascii="Times New Roman" w:hAnsi="Times New Roman" w:eastAsia="宋体" w:cs="Times New Roman"/>
                <w:color w:val="auto"/>
                <w:spacing w:val="-2"/>
                <w:sz w:val="24"/>
                <w:szCs w:val="24"/>
                <w:highlight w:val="green"/>
                <w:lang w:val="en-US" w:eastAsia="en-US" w:bidi="ar-SA"/>
              </w:rPr>
            </w:pPr>
            <w:r>
              <w:rPr>
                <w:rFonts w:hint="default" w:ascii="Times New Roman" w:hAnsi="Times New Roman" w:eastAsia="宋体" w:cs="Times New Roman"/>
                <w:color w:val="auto"/>
                <w:spacing w:val="-2"/>
                <w:sz w:val="24"/>
                <w:szCs w:val="24"/>
                <w:highlight w:val="none"/>
                <w:lang w:val="en-US" w:eastAsia="en-US" w:bidi="ar-SA"/>
              </w:rPr>
              <w:t>本项目生物质消耗量</w:t>
            </w:r>
            <w:r>
              <w:rPr>
                <w:rFonts w:hint="default" w:ascii="Times New Roman" w:hAnsi="Times New Roman" w:eastAsia="宋体" w:cs="Times New Roman"/>
                <w:color w:val="auto"/>
                <w:kern w:val="2"/>
                <w:sz w:val="24"/>
                <w:szCs w:val="24"/>
                <w:highlight w:val="none"/>
                <w:lang w:val="en-US" w:eastAsia="zh-CN" w:bidi="ar-SA"/>
              </w:rPr>
              <w:t xml:space="preserve">1354.8 </w:t>
            </w:r>
            <w:r>
              <w:rPr>
                <w:rFonts w:hint="default" w:ascii="Times New Roman" w:hAnsi="Times New Roman" w:eastAsia="宋体" w:cs="Times New Roman"/>
                <w:color w:val="auto"/>
                <w:spacing w:val="-2"/>
                <w:sz w:val="24"/>
                <w:szCs w:val="24"/>
                <w:highlight w:val="none"/>
                <w:lang w:val="en-US" w:eastAsia="en-US" w:bidi="ar-SA"/>
              </w:rPr>
              <w:t>t/a，根据生物质成分监测化验单，收到基灰分为</w:t>
            </w:r>
            <w:r>
              <w:rPr>
                <w:rFonts w:hint="eastAsia" w:ascii="Times New Roman" w:cs="Times New Roman"/>
                <w:color w:val="auto"/>
                <w:spacing w:val="-2"/>
                <w:sz w:val="24"/>
                <w:szCs w:val="24"/>
                <w:highlight w:val="none"/>
                <w:lang w:val="en-US" w:eastAsia="zh-CN" w:bidi="ar-SA"/>
              </w:rPr>
              <w:t>3.5</w:t>
            </w:r>
            <w:r>
              <w:rPr>
                <w:rFonts w:hint="default" w:ascii="Times New Roman" w:hAnsi="Times New Roman" w:eastAsia="宋体" w:cs="Times New Roman"/>
                <w:color w:val="auto"/>
                <w:spacing w:val="-2"/>
                <w:sz w:val="24"/>
                <w:szCs w:val="24"/>
                <w:highlight w:val="none"/>
                <w:lang w:val="en-US" w:eastAsia="en-US" w:bidi="ar-SA"/>
              </w:rPr>
              <w:t>%，收到基低位发热量16743kJ/kg，锅炉机械不完全燃烧热损失取值10%。经计算，本项目锅炉灰渣产生量</w:t>
            </w:r>
            <w:r>
              <w:rPr>
                <w:rFonts w:hint="eastAsia" w:ascii="Times New Roman" w:cs="Times New Roman"/>
                <w:color w:val="auto"/>
                <w:spacing w:val="-2"/>
                <w:sz w:val="24"/>
                <w:szCs w:val="24"/>
                <w:highlight w:val="none"/>
                <w:lang w:val="en-US" w:eastAsia="zh-CN" w:bidi="ar-SA"/>
              </w:rPr>
              <w:t>48.09</w:t>
            </w:r>
            <w:r>
              <w:rPr>
                <w:rFonts w:hint="default" w:ascii="Times New Roman" w:hAnsi="Times New Roman" w:eastAsia="宋体" w:cs="Times New Roman"/>
                <w:color w:val="auto"/>
                <w:spacing w:val="-2"/>
                <w:sz w:val="24"/>
                <w:szCs w:val="24"/>
                <w:highlight w:val="none"/>
                <w:lang w:val="en-US" w:eastAsia="en-US" w:bidi="ar-SA"/>
              </w:rPr>
              <w:t>t/a，根据前文计算可知，其中烟尘量为</w:t>
            </w:r>
            <w:r>
              <w:rPr>
                <w:rFonts w:hint="default" w:ascii="Times New Roman" w:hAnsi="Times New Roman" w:eastAsia="宋体" w:cs="Times New Roman"/>
                <w:color w:val="auto"/>
                <w:spacing w:val="-2"/>
                <w:sz w:val="24"/>
                <w:szCs w:val="24"/>
                <w:highlight w:val="none"/>
                <w:lang w:val="en-US" w:eastAsia="zh-CN" w:bidi="ar-SA"/>
              </w:rPr>
              <w:t>0.</w:t>
            </w:r>
            <w:r>
              <w:rPr>
                <w:rFonts w:hint="eastAsia" w:ascii="Times New Roman" w:cs="Times New Roman"/>
                <w:color w:val="auto"/>
                <w:spacing w:val="-2"/>
                <w:sz w:val="24"/>
                <w:szCs w:val="24"/>
                <w:highlight w:val="none"/>
                <w:lang w:val="en-US" w:eastAsia="zh-CN" w:bidi="ar-SA"/>
              </w:rPr>
              <w:t>677</w:t>
            </w:r>
            <w:r>
              <w:rPr>
                <w:rFonts w:hint="default" w:ascii="Times New Roman" w:hAnsi="Times New Roman" w:eastAsia="宋体" w:cs="Times New Roman"/>
                <w:color w:val="auto"/>
                <w:spacing w:val="-2"/>
                <w:sz w:val="24"/>
                <w:szCs w:val="24"/>
                <w:highlight w:val="none"/>
                <w:lang w:val="en-US" w:eastAsia="en-US" w:bidi="ar-SA"/>
              </w:rPr>
              <w:t>t/a，则锅炉灰渣产生量</w:t>
            </w:r>
            <w:r>
              <w:rPr>
                <w:rFonts w:hint="eastAsia" w:ascii="Times New Roman" w:cs="Times New Roman"/>
                <w:color w:val="auto"/>
                <w:spacing w:val="-2"/>
                <w:sz w:val="24"/>
                <w:szCs w:val="24"/>
                <w:highlight w:val="none"/>
                <w:lang w:val="en-US" w:eastAsia="zh-CN" w:bidi="ar-SA"/>
              </w:rPr>
              <w:t>47.41</w:t>
            </w:r>
            <w:r>
              <w:rPr>
                <w:rFonts w:hint="default" w:ascii="Times New Roman" w:hAnsi="Times New Roman" w:eastAsia="宋体" w:cs="Times New Roman"/>
                <w:color w:val="auto"/>
                <w:spacing w:val="-2"/>
                <w:sz w:val="24"/>
                <w:szCs w:val="24"/>
                <w:highlight w:val="none"/>
                <w:lang w:val="en-US" w:eastAsia="en-US" w:bidi="ar-SA"/>
              </w:rPr>
              <w:t>t/a。</w:t>
            </w:r>
            <w:r>
              <w:rPr>
                <w:rFonts w:hint="default" w:ascii="Times New Roman" w:hAnsi="Times New Roman" w:eastAsia="宋体" w:cs="Times New Roman"/>
                <w:color w:val="auto"/>
                <w:spacing w:val="-2"/>
                <w:sz w:val="24"/>
                <w:szCs w:val="24"/>
                <w:highlight w:val="none"/>
                <w:lang w:val="en-US" w:eastAsia="zh-CN" w:bidi="ar-SA"/>
              </w:rPr>
              <w:t>本项目锅炉灰渣</w:t>
            </w:r>
            <w:r>
              <w:rPr>
                <w:rFonts w:hint="default" w:ascii="Times New Roman" w:hAnsi="Times New Roman" w:eastAsia="宋体" w:cs="Times New Roman"/>
                <w:color w:val="auto"/>
                <w:spacing w:val="-2"/>
                <w:sz w:val="24"/>
                <w:szCs w:val="24"/>
                <w:highlight w:val="none"/>
                <w:lang w:val="en-US" w:eastAsia="en-US" w:bidi="ar-SA"/>
              </w:rPr>
              <w:t>定期清理收集，在</w:t>
            </w:r>
            <w:r>
              <w:rPr>
                <w:rFonts w:hint="eastAsia" w:ascii="Times New Roman" w:cs="Times New Roman"/>
                <w:color w:val="auto"/>
                <w:spacing w:val="-2"/>
                <w:sz w:val="24"/>
                <w:szCs w:val="24"/>
                <w:highlight w:val="none"/>
                <w:lang w:val="en-US" w:eastAsia="zh-CN" w:bidi="ar-SA"/>
              </w:rPr>
              <w:t>库房南侧</w:t>
            </w:r>
            <w:r>
              <w:rPr>
                <w:rFonts w:hint="default" w:ascii="Times New Roman" w:hAnsi="Times New Roman" w:eastAsia="宋体" w:cs="Times New Roman"/>
                <w:color w:val="auto"/>
                <w:spacing w:val="-2"/>
                <w:sz w:val="24"/>
                <w:szCs w:val="24"/>
                <w:highlight w:val="none"/>
                <w:lang w:val="en-US" w:eastAsia="en-US" w:bidi="ar-SA"/>
              </w:rPr>
              <w:t>设</w:t>
            </w:r>
            <w:r>
              <w:rPr>
                <w:rFonts w:hint="default" w:ascii="Times New Roman" w:hAnsi="Times New Roman" w:eastAsia="宋体" w:cs="Times New Roman"/>
                <w:color w:val="auto"/>
                <w:spacing w:val="-2"/>
                <w:sz w:val="24"/>
                <w:szCs w:val="24"/>
                <w:highlight w:val="none"/>
                <w:lang w:val="en-US" w:eastAsia="zh-CN" w:bidi="ar-SA"/>
              </w:rPr>
              <w:t>1</w:t>
            </w:r>
            <w:r>
              <w:rPr>
                <w:rFonts w:hint="default" w:ascii="Times New Roman" w:hAnsi="Times New Roman" w:eastAsia="宋体" w:cs="Times New Roman"/>
                <w:color w:val="auto"/>
                <w:spacing w:val="-2"/>
                <w:sz w:val="24"/>
                <w:szCs w:val="24"/>
                <w:highlight w:val="none"/>
                <w:lang w:val="en-US" w:eastAsia="en-US" w:bidi="ar-SA"/>
              </w:rPr>
              <w:t>0m</w:t>
            </w:r>
            <w:r>
              <w:rPr>
                <w:rFonts w:hint="default" w:ascii="Times New Roman" w:hAnsi="Times New Roman" w:eastAsia="宋体" w:cs="Times New Roman"/>
                <w:color w:val="auto"/>
                <w:spacing w:val="-2"/>
                <w:sz w:val="24"/>
                <w:szCs w:val="24"/>
                <w:highlight w:val="none"/>
                <w:vertAlign w:val="superscript"/>
                <w:lang w:val="en-US" w:eastAsia="en-US" w:bidi="ar-SA"/>
              </w:rPr>
              <w:t>2</w:t>
            </w:r>
            <w:r>
              <w:rPr>
                <w:rFonts w:hint="default" w:ascii="Times New Roman" w:hAnsi="Times New Roman" w:eastAsia="宋体" w:cs="Times New Roman"/>
                <w:color w:val="auto"/>
                <w:spacing w:val="-2"/>
                <w:sz w:val="24"/>
                <w:szCs w:val="24"/>
                <w:highlight w:val="none"/>
                <w:lang w:val="en-US" w:eastAsia="zh-CN" w:bidi="ar-SA"/>
              </w:rPr>
              <w:t>一般固废暂存区</w:t>
            </w:r>
            <w:r>
              <w:rPr>
                <w:rFonts w:hint="default" w:ascii="Times New Roman" w:hAnsi="Times New Roman" w:eastAsia="宋体" w:cs="Times New Roman"/>
                <w:color w:val="auto"/>
                <w:spacing w:val="-2"/>
                <w:sz w:val="24"/>
                <w:szCs w:val="24"/>
                <w:highlight w:val="none"/>
                <w:lang w:val="en-US" w:eastAsia="en-US" w:bidi="ar-SA"/>
              </w:rPr>
              <w:t>，在</w:t>
            </w:r>
            <w:r>
              <w:rPr>
                <w:rFonts w:hint="default" w:ascii="Times New Roman" w:hAnsi="Times New Roman" w:eastAsia="宋体" w:cs="Times New Roman"/>
                <w:color w:val="auto"/>
                <w:spacing w:val="-2"/>
                <w:sz w:val="24"/>
                <w:szCs w:val="24"/>
                <w:highlight w:val="none"/>
                <w:lang w:val="en-US" w:eastAsia="zh-CN" w:bidi="ar-SA"/>
              </w:rPr>
              <w:t>一般固废暂存区</w:t>
            </w:r>
            <w:r>
              <w:rPr>
                <w:rFonts w:hint="default" w:ascii="Times New Roman" w:hAnsi="Times New Roman" w:eastAsia="宋体" w:cs="Times New Roman"/>
                <w:color w:val="auto"/>
                <w:spacing w:val="-2"/>
                <w:sz w:val="24"/>
                <w:szCs w:val="24"/>
                <w:highlight w:val="none"/>
                <w:lang w:val="en-US" w:eastAsia="en-US" w:bidi="ar-SA"/>
              </w:rPr>
              <w:t>暂存后外售至有机肥料厂综合利用。</w:t>
            </w:r>
          </w:p>
          <w:p>
            <w:pPr>
              <w:pStyle w:val="13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72" w:firstLineChars="200"/>
              <w:jc w:val="both"/>
              <w:textAlignment w:val="auto"/>
              <w:outlineLvl w:val="9"/>
              <w:rPr>
                <w:rFonts w:hint="default" w:ascii="Times New Roman" w:hAnsi="Times New Roman" w:cs="Times New Roman"/>
                <w:spacing w:val="-2"/>
                <w:sz w:val="24"/>
                <w:szCs w:val="24"/>
                <w:highlight w:val="none"/>
                <w:lang w:val="en-US" w:eastAsia="zh-CN"/>
              </w:rPr>
            </w:pPr>
            <w:r>
              <w:rPr>
                <w:rFonts w:hint="default" w:ascii="Times New Roman" w:hAnsi="Times New Roman" w:cs="Times New Roman"/>
                <w:spacing w:val="-2"/>
                <w:sz w:val="24"/>
                <w:szCs w:val="24"/>
                <w:highlight w:val="none"/>
                <w:lang w:val="en-US" w:eastAsia="zh-CN"/>
              </w:rPr>
              <w:t>（</w:t>
            </w:r>
            <w:r>
              <w:rPr>
                <w:rFonts w:hint="eastAsia" w:ascii="Times New Roman" w:hAnsi="Times New Roman" w:cs="Times New Roman"/>
                <w:spacing w:val="-2"/>
                <w:sz w:val="24"/>
                <w:szCs w:val="24"/>
                <w:highlight w:val="none"/>
                <w:lang w:val="en-US" w:eastAsia="zh-CN"/>
              </w:rPr>
              <w:t>6</w:t>
            </w:r>
            <w:r>
              <w:rPr>
                <w:rFonts w:hint="default" w:ascii="Times New Roman" w:hAnsi="Times New Roman" w:cs="Times New Roman"/>
                <w:spacing w:val="-2"/>
                <w:sz w:val="24"/>
                <w:szCs w:val="24"/>
                <w:highlight w:val="none"/>
                <w:lang w:val="en-US" w:eastAsia="zh-CN"/>
              </w:rPr>
              <w:t>）除尘灰：</w:t>
            </w:r>
            <w:r>
              <w:rPr>
                <w:rFonts w:hint="default" w:ascii="Times New Roman" w:hAnsi="Times New Roman" w:cs="Times New Roman"/>
                <w:bCs/>
                <w:color w:val="auto"/>
                <w:sz w:val="24"/>
              </w:rPr>
              <w:t>产生量</w:t>
            </w:r>
            <w:r>
              <w:rPr>
                <w:rFonts w:hint="default" w:ascii="Times New Roman" w:hAnsi="Times New Roman" w:cs="Times New Roman"/>
                <w:bCs/>
                <w:color w:val="auto"/>
                <w:sz w:val="24"/>
                <w:highlight w:val="none"/>
              </w:rPr>
              <w:t>为</w:t>
            </w:r>
            <w:r>
              <w:rPr>
                <w:rFonts w:hint="default" w:ascii="Times New Roman" w:hAnsi="Times New Roman" w:cs="Times New Roman"/>
                <w:bCs/>
                <w:color w:val="auto"/>
                <w:sz w:val="24"/>
                <w:highlight w:val="none"/>
                <w:lang w:val="en-US" w:eastAsia="zh-CN"/>
              </w:rPr>
              <w:t>0.</w:t>
            </w:r>
            <w:r>
              <w:rPr>
                <w:rFonts w:hint="eastAsia" w:ascii="Times New Roman" w:hAnsi="Times New Roman" w:cs="Times New Roman"/>
                <w:bCs/>
                <w:color w:val="auto"/>
                <w:sz w:val="24"/>
                <w:highlight w:val="none"/>
                <w:lang w:val="en-US" w:eastAsia="zh-CN"/>
              </w:rPr>
              <w:t>53</w:t>
            </w:r>
            <w:r>
              <w:rPr>
                <w:rFonts w:hint="default" w:ascii="Times New Roman" w:hAnsi="Times New Roman" w:cs="Times New Roman"/>
                <w:bCs/>
                <w:color w:val="auto"/>
                <w:sz w:val="24"/>
                <w:highlight w:val="none"/>
              </w:rPr>
              <w:t>t/a</w:t>
            </w: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在一般固废暂存区暂存后外售至有机肥料厂综合利用。</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cs="Times New Roman"/>
                <w:bCs/>
                <w:color w:val="auto"/>
                <w:kern w:val="0"/>
                <w:sz w:val="24"/>
                <w:szCs w:val="24"/>
                <w:highlight w:val="none"/>
              </w:rPr>
            </w:pPr>
            <w:r>
              <w:rPr>
                <w:rFonts w:hint="default" w:ascii="Times New Roman" w:hAnsi="Times New Roman" w:cs="Times New Roman"/>
                <w:bCs/>
                <w:color w:val="auto"/>
                <w:kern w:val="0"/>
                <w:sz w:val="24"/>
                <w:szCs w:val="24"/>
                <w:highlight w:val="none"/>
                <w:lang w:eastAsia="zh-CN"/>
              </w:rPr>
              <w:t>（</w:t>
            </w:r>
            <w:r>
              <w:rPr>
                <w:rFonts w:hint="eastAsia" w:ascii="Times New Roman" w:cs="Times New Roman"/>
                <w:bCs/>
                <w:color w:val="auto"/>
                <w:kern w:val="0"/>
                <w:sz w:val="24"/>
                <w:szCs w:val="24"/>
                <w:highlight w:val="none"/>
                <w:lang w:val="en-US" w:eastAsia="zh-CN"/>
              </w:rPr>
              <w:t>7</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cs="Times New Roman"/>
                <w:bCs/>
                <w:color w:val="auto"/>
                <w:kern w:val="0"/>
                <w:sz w:val="24"/>
                <w:szCs w:val="24"/>
                <w:highlight w:val="none"/>
              </w:rPr>
              <w:t>废机油、废油桶、含油抹布</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cs="Times New Roman"/>
                <w:bCs/>
                <w:color w:val="auto"/>
                <w:kern w:val="0"/>
                <w:sz w:val="24"/>
                <w:szCs w:val="24"/>
                <w:highlight w:val="none"/>
              </w:rPr>
              <w:t>厂内设备维修会产生少量的废机油、废油桶及含油抹布，废机油产生量约为0.</w:t>
            </w:r>
            <w:r>
              <w:rPr>
                <w:rFonts w:hint="default" w:ascii="Times New Roman" w:hAnsi="Times New Roman" w:cs="Times New Roman"/>
                <w:bCs/>
                <w:color w:val="auto"/>
                <w:kern w:val="0"/>
                <w:sz w:val="24"/>
                <w:szCs w:val="24"/>
                <w:highlight w:val="none"/>
                <w:lang w:val="en-US" w:eastAsia="zh-CN"/>
              </w:rPr>
              <w:t>2</w:t>
            </w:r>
            <w:r>
              <w:rPr>
                <w:rFonts w:hint="default" w:ascii="Times New Roman" w:hAnsi="Times New Roman" w:cs="Times New Roman"/>
                <w:bCs/>
                <w:color w:val="auto"/>
                <w:kern w:val="0"/>
                <w:sz w:val="24"/>
                <w:szCs w:val="24"/>
                <w:highlight w:val="none"/>
              </w:rPr>
              <w:t>t/a、废油桶产生量约为0.0</w:t>
            </w:r>
            <w:r>
              <w:rPr>
                <w:rFonts w:hint="default" w:ascii="Times New Roman" w:hAnsi="Times New Roman" w:cs="Times New Roman"/>
                <w:bCs/>
                <w:color w:val="auto"/>
                <w:kern w:val="0"/>
                <w:sz w:val="24"/>
                <w:szCs w:val="24"/>
                <w:highlight w:val="none"/>
                <w:lang w:val="en-US" w:eastAsia="zh-CN"/>
              </w:rPr>
              <w:t>1</w:t>
            </w:r>
            <w:r>
              <w:rPr>
                <w:rFonts w:hint="default" w:ascii="Times New Roman" w:hAnsi="Times New Roman" w:cs="Times New Roman"/>
                <w:bCs/>
                <w:color w:val="auto"/>
                <w:kern w:val="0"/>
                <w:sz w:val="24"/>
                <w:szCs w:val="24"/>
                <w:highlight w:val="none"/>
              </w:rPr>
              <w:t>t/a、含油抹布产生量约为0.001t/a，按照《国家危险废物名录》（202</w:t>
            </w:r>
            <w:r>
              <w:rPr>
                <w:rFonts w:hint="eastAsia" w:ascii="Times New Roman" w:cs="Times New Roman"/>
                <w:bCs/>
                <w:color w:val="auto"/>
                <w:kern w:val="0"/>
                <w:sz w:val="24"/>
                <w:szCs w:val="24"/>
                <w:highlight w:val="none"/>
                <w:lang w:val="en-US" w:eastAsia="zh-CN"/>
              </w:rPr>
              <w:t>5</w:t>
            </w:r>
            <w:r>
              <w:rPr>
                <w:rFonts w:hint="default" w:ascii="Times New Roman" w:hAnsi="Times New Roman" w:cs="Times New Roman"/>
                <w:bCs/>
                <w:color w:val="auto"/>
                <w:kern w:val="0"/>
                <w:sz w:val="24"/>
                <w:szCs w:val="24"/>
                <w:highlight w:val="none"/>
              </w:rPr>
              <w:t>版），本项目产生的</w:t>
            </w:r>
            <w:r>
              <w:rPr>
                <w:rFonts w:hint="default" w:ascii="Times New Roman" w:hAnsi="Times New Roman" w:cs="Times New Roman"/>
                <w:color w:val="auto"/>
                <w:sz w:val="24"/>
                <w:szCs w:val="24"/>
                <w:highlight w:val="none"/>
              </w:rPr>
              <w:t>废机油、废油桶、含油抹布属于危险废物。废机油、废油桶的</w:t>
            </w:r>
            <w:r>
              <w:rPr>
                <w:rFonts w:hint="default" w:ascii="Times New Roman" w:hAnsi="Times New Roman" w:cs="Times New Roman"/>
                <w:color w:val="auto"/>
                <w:sz w:val="24"/>
                <w:szCs w:val="24"/>
                <w:highlight w:val="none"/>
                <w:lang w:val="zh-TW"/>
              </w:rPr>
              <w:t>危废类别为</w:t>
            </w:r>
            <w:r>
              <w:rPr>
                <w:rFonts w:hint="default" w:ascii="Times New Roman" w:hAnsi="Times New Roman" w:cs="Times New Roman"/>
                <w:color w:val="auto"/>
                <w:sz w:val="24"/>
                <w:szCs w:val="24"/>
                <w:highlight w:val="none"/>
              </w:rPr>
              <w:t>HW08废矿物油与含矿物油废物，危废代码为900-249-08其他生产、销售、使用过程中产生的废矿物油及沾染矿物油的废弃包装物。含油抹布的</w:t>
            </w:r>
            <w:r>
              <w:rPr>
                <w:rFonts w:hint="default" w:ascii="Times New Roman" w:hAnsi="Times New Roman" w:cs="Times New Roman"/>
                <w:color w:val="auto"/>
                <w:sz w:val="24"/>
                <w:szCs w:val="24"/>
                <w:highlight w:val="none"/>
                <w:lang w:val="zh-TW"/>
              </w:rPr>
              <w:t>危废类别为</w:t>
            </w:r>
            <w:r>
              <w:rPr>
                <w:rFonts w:hint="default" w:ascii="Times New Roman" w:hAnsi="Times New Roman" w:cs="Times New Roman"/>
                <w:color w:val="auto"/>
                <w:sz w:val="24"/>
                <w:szCs w:val="24"/>
                <w:highlight w:val="none"/>
              </w:rPr>
              <w:t>HW49其他废物，危废代码为</w:t>
            </w:r>
            <w:r>
              <w:rPr>
                <w:rFonts w:hint="default" w:ascii="Times New Roman" w:hAnsi="Times New Roman" w:cs="Times New Roman"/>
                <w:bCs/>
                <w:color w:val="auto"/>
                <w:sz w:val="24"/>
                <w:szCs w:val="24"/>
                <w:highlight w:val="none"/>
              </w:rPr>
              <w:t>900-041-49含有或沾染毒性、感染性危险废物的废弃包装物、容器、过滤吸附</w:t>
            </w:r>
            <w:r>
              <w:rPr>
                <w:rFonts w:hint="default" w:ascii="Times New Roman" w:hAnsi="Times New Roman" w:cs="Times New Roman"/>
                <w:bCs/>
                <w:color w:val="auto"/>
                <w:kern w:val="0"/>
                <w:sz w:val="24"/>
                <w:szCs w:val="24"/>
                <w:highlight w:val="none"/>
              </w:rPr>
              <w:t>介质。废机油、废油桶、含油抹布经收集后，暂存于</w:t>
            </w:r>
            <w:r>
              <w:rPr>
                <w:rFonts w:hint="default" w:ascii="Times New Roman" w:hAnsi="Times New Roman" w:cs="Times New Roman"/>
                <w:bCs/>
                <w:color w:val="auto"/>
                <w:kern w:val="0"/>
                <w:sz w:val="24"/>
                <w:szCs w:val="24"/>
                <w:highlight w:val="none"/>
                <w:lang w:eastAsia="zh-CN"/>
              </w:rPr>
              <w:t>危废贮存库</w:t>
            </w:r>
            <w:r>
              <w:rPr>
                <w:rFonts w:hint="default" w:ascii="Times New Roman" w:hAnsi="Times New Roman" w:cs="Times New Roman"/>
                <w:bCs/>
                <w:color w:val="auto"/>
                <w:kern w:val="0"/>
                <w:sz w:val="24"/>
                <w:szCs w:val="24"/>
                <w:highlight w:val="none"/>
              </w:rPr>
              <w:t>内</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cs="Times New Roman"/>
                <w:bCs/>
                <w:color w:val="auto"/>
                <w:kern w:val="0"/>
                <w:sz w:val="24"/>
                <w:szCs w:val="24"/>
                <w:highlight w:val="none"/>
                <w:lang w:val="en-US" w:eastAsia="zh-CN"/>
              </w:rPr>
              <w:t>10</w:t>
            </w:r>
            <w:r>
              <w:rPr>
                <w:rFonts w:hint="default" w:ascii="Times New Roman" w:hAnsi="Times New Roman" w:eastAsia="宋体" w:cs="Times New Roman"/>
                <w:color w:val="auto"/>
                <w:spacing w:val="-2"/>
                <w:sz w:val="24"/>
                <w:szCs w:val="24"/>
                <w:highlight w:val="none"/>
                <w:lang w:val="en-US" w:eastAsia="en-US" w:bidi="ar-SA"/>
              </w:rPr>
              <w:t>m</w:t>
            </w:r>
            <w:r>
              <w:rPr>
                <w:rFonts w:hint="default" w:ascii="Times New Roman" w:hAnsi="Times New Roman" w:eastAsia="宋体" w:cs="Times New Roman"/>
                <w:color w:val="auto"/>
                <w:spacing w:val="-2"/>
                <w:sz w:val="24"/>
                <w:szCs w:val="24"/>
                <w:highlight w:val="none"/>
                <w:vertAlign w:val="superscript"/>
                <w:lang w:val="en-US" w:eastAsia="en-US" w:bidi="ar-SA"/>
              </w:rPr>
              <w:t>2</w:t>
            </w:r>
            <w:r>
              <w:rPr>
                <w:rFonts w:hint="default" w:ascii="Times New Roman" w:hAnsi="Times New Roman" w:cs="Times New Roman"/>
                <w:bCs/>
                <w:color w:val="auto"/>
                <w:kern w:val="0"/>
                <w:sz w:val="24"/>
                <w:szCs w:val="24"/>
                <w:highlight w:val="none"/>
                <w:lang w:eastAsia="zh-CN"/>
              </w:rPr>
              <w:t>）</w:t>
            </w:r>
            <w:r>
              <w:rPr>
                <w:rFonts w:hint="default" w:ascii="Times New Roman" w:hAnsi="Times New Roman" w:cs="Times New Roman"/>
                <w:bCs/>
                <w:color w:val="auto"/>
                <w:kern w:val="0"/>
                <w:sz w:val="24"/>
                <w:szCs w:val="24"/>
                <w:highlight w:val="none"/>
              </w:rPr>
              <w:t>，统一委托有资质的单位处置。</w:t>
            </w:r>
          </w:p>
          <w:p>
            <w:pPr>
              <w:pStyle w:val="115"/>
              <w:numPr>
                <w:ilvl w:val="0"/>
                <w:numId w:val="0"/>
              </w:numPr>
              <w:spacing w:line="360" w:lineRule="auto"/>
              <w:rPr>
                <w:rFonts w:hint="default" w:ascii="Times New Roman" w:hAnsi="Times New Roman" w:eastAsia="宋体" w:cs="Times New Roman"/>
                <w:b/>
                <w:color w:val="auto"/>
              </w:rPr>
            </w:pPr>
            <w:r>
              <w:rPr>
                <w:rFonts w:hint="default" w:ascii="Times New Roman" w:hAnsi="Times New Roman" w:eastAsia="宋体" w:cs="Times New Roman"/>
                <w:b/>
                <w:color w:val="auto"/>
                <w:lang w:val="en-US" w:eastAsia="zh-CN"/>
              </w:rPr>
              <w:t>4.2</w:t>
            </w:r>
            <w:r>
              <w:rPr>
                <w:rFonts w:hint="default" w:ascii="Times New Roman" w:hAnsi="Times New Roman" w:eastAsia="宋体" w:cs="Times New Roman"/>
                <w:b/>
                <w:color w:val="auto"/>
              </w:rPr>
              <w:t>固体废物属性</w:t>
            </w:r>
          </w:p>
          <w:p>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根据《国家危险废物名录（202</w:t>
            </w:r>
            <w:r>
              <w:rPr>
                <w:rFonts w:hint="eastAsia" w:ascii="Times New Roman" w:cs="Times New Roman"/>
                <w:color w:val="auto"/>
                <w:kern w:val="0"/>
                <w:sz w:val="24"/>
                <w:lang w:val="en-US" w:eastAsia="zh-CN"/>
              </w:rPr>
              <w:t>5</w:t>
            </w:r>
            <w:r>
              <w:rPr>
                <w:rFonts w:hint="default" w:ascii="Times New Roman" w:hAnsi="Times New Roman" w:cs="Times New Roman"/>
                <w:color w:val="auto"/>
                <w:kern w:val="0"/>
                <w:sz w:val="24"/>
              </w:rPr>
              <w:t xml:space="preserve">年本）》、《危险废物鉴别标准》以及《固体废物分类与代码目录》，判定项目固体废物是否属于危险废物，具体判定结果见下表。 </w:t>
            </w:r>
          </w:p>
          <w:p>
            <w:pPr>
              <w:keepNext w:val="0"/>
              <w:keepLines w:val="0"/>
              <w:pageBreakBefore w:val="0"/>
              <w:widowControl w:val="0"/>
              <w:kinsoku/>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表4-</w:t>
            </w:r>
            <w:r>
              <w:rPr>
                <w:rFonts w:hint="eastAsia" w:ascii="Times New Roman" w:cs="Times New Roman"/>
                <w:b/>
                <w:bCs/>
                <w:color w:val="auto"/>
                <w:sz w:val="21"/>
                <w:szCs w:val="21"/>
                <w:lang w:val="en-US" w:eastAsia="zh-CN"/>
              </w:rPr>
              <w:t xml:space="preserve">10 </w:t>
            </w:r>
            <w:r>
              <w:rPr>
                <w:rFonts w:hint="default" w:ascii="Times New Roman" w:hAnsi="Times New Roman" w:cs="Times New Roman"/>
                <w:b/>
                <w:bCs/>
                <w:color w:val="auto"/>
                <w:sz w:val="21"/>
                <w:szCs w:val="21"/>
              </w:rPr>
              <w:t xml:space="preserve"> 固体废物属性判别表</w:t>
            </w:r>
          </w:p>
          <w:tbl>
            <w:tblPr>
              <w:tblStyle w:val="3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15"/>
              <w:gridCol w:w="1802"/>
              <w:gridCol w:w="1703"/>
              <w:gridCol w:w="914"/>
              <w:gridCol w:w="1028"/>
              <w:gridCol w:w="21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16"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序号</w:t>
                  </w:r>
                </w:p>
              </w:tc>
              <w:tc>
                <w:tcPr>
                  <w:tcW w:w="1106"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固体废物名称</w:t>
                  </w:r>
                </w:p>
              </w:tc>
              <w:tc>
                <w:tcPr>
                  <w:tcW w:w="1045"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来源</w:t>
                  </w:r>
                </w:p>
              </w:tc>
              <w:tc>
                <w:tcPr>
                  <w:tcW w:w="561"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形态</w:t>
                  </w:r>
                </w:p>
              </w:tc>
              <w:tc>
                <w:tcPr>
                  <w:tcW w:w="631"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是否危险废物</w:t>
                  </w:r>
                </w:p>
              </w:tc>
              <w:tc>
                <w:tcPr>
                  <w:tcW w:w="1339"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废物类别或代码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6"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1106"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val="en-US" w:eastAsia="zh-CN"/>
                    </w:rPr>
                    <w:t>生活垃圾</w:t>
                  </w:r>
                </w:p>
              </w:tc>
              <w:tc>
                <w:tcPr>
                  <w:tcW w:w="1045" w:type="pct"/>
                  <w:vAlign w:val="center"/>
                </w:tcPr>
                <w:p>
                  <w:pPr>
                    <w:keepNext w:val="0"/>
                    <w:keepLines w:val="0"/>
                    <w:pageBreakBefore w:val="0"/>
                    <w:widowControl w:val="0"/>
                    <w:kinsoku/>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val="en-US" w:eastAsia="zh-CN"/>
                    </w:rPr>
                    <w:t>职工生活</w:t>
                  </w:r>
                </w:p>
              </w:tc>
              <w:tc>
                <w:tcPr>
                  <w:tcW w:w="561"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固态</w:t>
                  </w:r>
                </w:p>
              </w:tc>
              <w:tc>
                <w:tcPr>
                  <w:tcW w:w="631"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否</w:t>
                  </w:r>
                </w:p>
              </w:tc>
              <w:tc>
                <w:tcPr>
                  <w:tcW w:w="1339"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16"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2</w:t>
                  </w:r>
                </w:p>
              </w:tc>
              <w:tc>
                <w:tcPr>
                  <w:tcW w:w="1106"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废包装袋</w:t>
                  </w:r>
                </w:p>
              </w:tc>
              <w:tc>
                <w:tcPr>
                  <w:tcW w:w="1045" w:type="pct"/>
                  <w:vAlign w:val="center"/>
                </w:tcPr>
                <w:p>
                  <w:pPr>
                    <w:keepNext w:val="0"/>
                    <w:keepLines w:val="0"/>
                    <w:pageBreakBefore w:val="0"/>
                    <w:widowControl w:val="0"/>
                    <w:kinsoku/>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原辅料包装</w:t>
                  </w:r>
                </w:p>
              </w:tc>
              <w:tc>
                <w:tcPr>
                  <w:tcW w:w="561"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固体</w:t>
                  </w:r>
                </w:p>
              </w:tc>
              <w:tc>
                <w:tcPr>
                  <w:tcW w:w="631"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否</w:t>
                  </w:r>
                </w:p>
              </w:tc>
              <w:tc>
                <w:tcPr>
                  <w:tcW w:w="1339"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SW17：</w:t>
                  </w:r>
                </w:p>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900-003-S17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16"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3</w:t>
                  </w:r>
                </w:p>
              </w:tc>
              <w:tc>
                <w:tcPr>
                  <w:tcW w:w="1106"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default" w:ascii="Times New Roman" w:hAnsi="Times New Roman" w:cs="Times New Roman"/>
                      <w:spacing w:val="-2"/>
                      <w:sz w:val="21"/>
                      <w:szCs w:val="21"/>
                      <w:highlight w:val="none"/>
                      <w:lang w:val="en-US" w:eastAsia="zh-CN"/>
                    </w:rPr>
                    <w:t>锅炉灰渣/除尘灰</w:t>
                  </w:r>
                </w:p>
              </w:tc>
              <w:tc>
                <w:tcPr>
                  <w:tcW w:w="1045"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sz w:val="21"/>
                      <w:szCs w:val="21"/>
                      <w:lang w:val="en-US" w:eastAsia="zh-CN"/>
                    </w:rPr>
                    <w:t>锅炉</w:t>
                  </w:r>
                </w:p>
              </w:tc>
              <w:tc>
                <w:tcPr>
                  <w:tcW w:w="561"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固态</w:t>
                  </w:r>
                </w:p>
              </w:tc>
              <w:tc>
                <w:tcPr>
                  <w:tcW w:w="631"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否</w:t>
                  </w:r>
                </w:p>
              </w:tc>
              <w:tc>
                <w:tcPr>
                  <w:tcW w:w="1339"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SW03：</w:t>
                  </w:r>
                </w:p>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900-099-S</w:t>
                  </w:r>
                  <w:r>
                    <w:rPr>
                      <w:rFonts w:hint="default" w:ascii="Times New Roman" w:hAnsi="Times New Roman" w:cs="Times New Roman"/>
                      <w:color w:val="auto"/>
                      <w:kern w:val="0"/>
                      <w:sz w:val="21"/>
                      <w:szCs w:val="21"/>
                      <w:lang w:val="en-US" w:eastAsia="zh-CN"/>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16"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cs="Times New Roman"/>
                      <w:color w:val="auto"/>
                      <w:kern w:val="0"/>
                      <w:sz w:val="21"/>
                      <w:szCs w:val="21"/>
                      <w:lang w:val="en-US" w:eastAsia="zh-CN"/>
                    </w:rPr>
                    <w:t>4</w:t>
                  </w:r>
                </w:p>
              </w:tc>
              <w:tc>
                <w:tcPr>
                  <w:tcW w:w="1106"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污水处理站污泥</w:t>
                  </w:r>
                </w:p>
              </w:tc>
              <w:tc>
                <w:tcPr>
                  <w:tcW w:w="1045"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污水处理</w:t>
                  </w:r>
                </w:p>
              </w:tc>
              <w:tc>
                <w:tcPr>
                  <w:tcW w:w="561"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固态</w:t>
                  </w:r>
                </w:p>
              </w:tc>
              <w:tc>
                <w:tcPr>
                  <w:tcW w:w="631"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否</w:t>
                  </w:r>
                </w:p>
              </w:tc>
              <w:tc>
                <w:tcPr>
                  <w:tcW w:w="1339"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SW07：</w:t>
                  </w:r>
                </w:p>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900</w:t>
                  </w:r>
                  <w:r>
                    <w:rPr>
                      <w:rFonts w:hint="default" w:ascii="Times New Roman" w:hAnsi="Times New Roman" w:cs="Times New Roman"/>
                      <w:color w:val="auto"/>
                      <w:kern w:val="0"/>
                      <w:sz w:val="21"/>
                      <w:szCs w:val="21"/>
                    </w:rPr>
                    <w:t>-0</w:t>
                  </w:r>
                  <w:r>
                    <w:rPr>
                      <w:rFonts w:hint="default" w:ascii="Times New Roman" w:hAnsi="Times New Roman" w:cs="Times New Roman"/>
                      <w:color w:val="auto"/>
                      <w:kern w:val="0"/>
                      <w:sz w:val="21"/>
                      <w:szCs w:val="21"/>
                      <w:lang w:val="en-US" w:eastAsia="zh-CN"/>
                    </w:rPr>
                    <w:t>99</w:t>
                  </w:r>
                  <w:r>
                    <w:rPr>
                      <w:rFonts w:hint="default" w:ascii="Times New Roman" w:hAnsi="Times New Roman" w:cs="Times New Roman"/>
                      <w:color w:val="auto"/>
                      <w:kern w:val="0"/>
                      <w:sz w:val="21"/>
                      <w:szCs w:val="21"/>
                    </w:rPr>
                    <w:t>-S</w:t>
                  </w:r>
                  <w:r>
                    <w:rPr>
                      <w:rFonts w:hint="default" w:ascii="Times New Roman" w:hAnsi="Times New Roman" w:cs="Times New Roman"/>
                      <w:color w:val="auto"/>
                      <w:kern w:val="0"/>
                      <w:sz w:val="21"/>
                      <w:szCs w:val="21"/>
                      <w:lang w:val="en-US" w:eastAsia="zh-CN"/>
                    </w:rPr>
                    <w:t>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16"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5</w:t>
                  </w:r>
                </w:p>
              </w:tc>
              <w:tc>
                <w:tcPr>
                  <w:tcW w:w="1106"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spacing w:val="-2"/>
                      <w:sz w:val="21"/>
                      <w:szCs w:val="21"/>
                      <w:highlight w:val="none"/>
                      <w:lang w:val="en-US" w:eastAsia="zh-CN"/>
                    </w:rPr>
                  </w:pPr>
                  <w:r>
                    <w:rPr>
                      <w:rFonts w:hint="default" w:ascii="Times New Roman" w:hAnsi="Times New Roman" w:cs="Times New Roman"/>
                      <w:bCs/>
                      <w:sz w:val="21"/>
                      <w:szCs w:val="21"/>
                    </w:rPr>
                    <w:t>废离子交换树脂</w:t>
                  </w:r>
                </w:p>
              </w:tc>
              <w:tc>
                <w:tcPr>
                  <w:tcW w:w="1045"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软水制备</w:t>
                  </w:r>
                </w:p>
              </w:tc>
              <w:tc>
                <w:tcPr>
                  <w:tcW w:w="561"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固态</w:t>
                  </w:r>
                </w:p>
              </w:tc>
              <w:tc>
                <w:tcPr>
                  <w:tcW w:w="631"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否</w:t>
                  </w:r>
                </w:p>
              </w:tc>
              <w:tc>
                <w:tcPr>
                  <w:tcW w:w="1339"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SW59：</w:t>
                  </w:r>
                </w:p>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900-0</w:t>
                  </w:r>
                  <w:r>
                    <w:rPr>
                      <w:rFonts w:hint="default" w:ascii="Times New Roman" w:hAnsi="Times New Roman" w:cs="Times New Roman"/>
                      <w:color w:val="auto"/>
                      <w:kern w:val="0"/>
                      <w:sz w:val="21"/>
                      <w:szCs w:val="21"/>
                      <w:lang w:val="en-US" w:eastAsia="zh-CN"/>
                    </w:rPr>
                    <w:t>08</w:t>
                  </w:r>
                  <w:r>
                    <w:rPr>
                      <w:rFonts w:hint="default" w:ascii="Times New Roman" w:hAnsi="Times New Roman" w:cs="Times New Roman"/>
                      <w:color w:val="auto"/>
                      <w:kern w:val="0"/>
                      <w:sz w:val="21"/>
                      <w:szCs w:val="21"/>
                    </w:rPr>
                    <w:t>-S</w:t>
                  </w:r>
                  <w:r>
                    <w:rPr>
                      <w:rFonts w:hint="default" w:ascii="Times New Roman" w:hAnsi="Times New Roman" w:cs="Times New Roman"/>
                      <w:color w:val="auto"/>
                      <w:kern w:val="0"/>
                      <w:sz w:val="21"/>
                      <w:szCs w:val="21"/>
                      <w:lang w:val="en-US" w:eastAsia="zh-CN"/>
                    </w:rPr>
                    <w:t>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16"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6</w:t>
                  </w:r>
                </w:p>
              </w:tc>
              <w:tc>
                <w:tcPr>
                  <w:tcW w:w="1106"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废机油</w:t>
                  </w:r>
                </w:p>
              </w:tc>
              <w:tc>
                <w:tcPr>
                  <w:tcW w:w="1045"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机械维修、保养</w:t>
                  </w:r>
                </w:p>
              </w:tc>
              <w:tc>
                <w:tcPr>
                  <w:tcW w:w="561"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液态</w:t>
                  </w:r>
                </w:p>
              </w:tc>
              <w:tc>
                <w:tcPr>
                  <w:tcW w:w="631"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是</w:t>
                  </w:r>
                </w:p>
              </w:tc>
              <w:tc>
                <w:tcPr>
                  <w:tcW w:w="1339"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危险废物（HW08：900-249-08）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16"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rPr>
                    <w:t>7</w:t>
                  </w:r>
                </w:p>
              </w:tc>
              <w:tc>
                <w:tcPr>
                  <w:tcW w:w="1106"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废油桶</w:t>
                  </w:r>
                </w:p>
              </w:tc>
              <w:tc>
                <w:tcPr>
                  <w:tcW w:w="1045"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机油包装</w:t>
                  </w:r>
                </w:p>
              </w:tc>
              <w:tc>
                <w:tcPr>
                  <w:tcW w:w="561"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固态</w:t>
                  </w:r>
                </w:p>
              </w:tc>
              <w:tc>
                <w:tcPr>
                  <w:tcW w:w="631"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是</w:t>
                  </w:r>
                </w:p>
              </w:tc>
              <w:tc>
                <w:tcPr>
                  <w:tcW w:w="1339"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危险废物（HW08：900-249-08）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16" w:type="pct"/>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eastAsia" w:ascii="Times New Roman" w:cs="Times New Roman"/>
                      <w:color w:val="auto"/>
                      <w:kern w:val="0"/>
                      <w:sz w:val="21"/>
                      <w:szCs w:val="21"/>
                      <w:lang w:val="en-US" w:eastAsia="zh-CN" w:bidi="ar-SA"/>
                    </w:rPr>
                    <w:t>8</w:t>
                  </w:r>
                </w:p>
              </w:tc>
              <w:tc>
                <w:tcPr>
                  <w:tcW w:w="1106"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含油抹布</w:t>
                  </w:r>
                </w:p>
              </w:tc>
              <w:tc>
                <w:tcPr>
                  <w:tcW w:w="1045"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机械维修、保养</w:t>
                  </w:r>
                </w:p>
              </w:tc>
              <w:tc>
                <w:tcPr>
                  <w:tcW w:w="561"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固态</w:t>
                  </w:r>
                </w:p>
              </w:tc>
              <w:tc>
                <w:tcPr>
                  <w:tcW w:w="631"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是</w:t>
                  </w:r>
                </w:p>
              </w:tc>
              <w:tc>
                <w:tcPr>
                  <w:tcW w:w="1339" w:type="pc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危险废物（HW49：900-041-49）</w:t>
                  </w:r>
                </w:p>
              </w:tc>
            </w:tr>
          </w:tbl>
          <w:p>
            <w:pPr>
              <w:spacing w:line="460" w:lineRule="exact"/>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lang w:val="en-US" w:eastAsia="zh-CN"/>
              </w:rPr>
              <w:t>4.3</w:t>
            </w:r>
            <w:r>
              <w:rPr>
                <w:rFonts w:hint="default" w:ascii="Times New Roman" w:hAnsi="Times New Roman" w:cs="Times New Roman"/>
                <w:b/>
                <w:bCs/>
                <w:color w:val="auto"/>
                <w:kern w:val="0"/>
                <w:sz w:val="24"/>
              </w:rPr>
              <w:t>固体废物处置措施</w:t>
            </w:r>
          </w:p>
          <w:p>
            <w:pPr>
              <w:spacing w:line="460" w:lineRule="exact"/>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本项目各类固体废物的排放情况见下表。</w:t>
            </w:r>
          </w:p>
          <w:p>
            <w:pPr>
              <w:spacing w:line="46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表4-</w:t>
            </w:r>
            <w:r>
              <w:rPr>
                <w:rFonts w:hint="default" w:ascii="Times New Roman" w:hAnsi="Times New Roman" w:cs="Times New Roman"/>
                <w:b/>
                <w:bCs/>
                <w:color w:val="auto"/>
                <w:sz w:val="21"/>
                <w:szCs w:val="21"/>
                <w:lang w:val="en-US" w:eastAsia="zh-CN"/>
              </w:rPr>
              <w:t>1</w:t>
            </w:r>
            <w:r>
              <w:rPr>
                <w:rFonts w:hint="eastAsia" w:ascii="Times New Roman" w:cs="Times New Roman"/>
                <w:b/>
                <w:bCs/>
                <w:color w:val="auto"/>
                <w:sz w:val="21"/>
                <w:szCs w:val="21"/>
                <w:lang w:val="en-US" w:eastAsia="zh-CN"/>
              </w:rPr>
              <w:t>1</w:t>
            </w:r>
            <w:r>
              <w:rPr>
                <w:rFonts w:hint="default" w:ascii="Times New Roman" w:hAnsi="Times New Roman" w:cs="Times New Roman"/>
                <w:b/>
                <w:bCs/>
                <w:color w:val="auto"/>
                <w:sz w:val="21"/>
                <w:szCs w:val="21"/>
              </w:rPr>
              <w:t xml:space="preserve">  固体废物产排情况及治理措施表</w:t>
            </w:r>
          </w:p>
          <w:tbl>
            <w:tblPr>
              <w:tblStyle w:val="38"/>
              <w:tblW w:w="802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1893"/>
              <w:gridCol w:w="1200"/>
              <w:gridCol w:w="870"/>
              <w:gridCol w:w="35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序号</w:t>
                  </w:r>
                </w:p>
              </w:tc>
              <w:tc>
                <w:tcPr>
                  <w:tcW w:w="1893"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固废名称</w:t>
                  </w:r>
                </w:p>
              </w:tc>
              <w:tc>
                <w:tcPr>
                  <w:tcW w:w="1200"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产生工序</w:t>
                  </w:r>
                </w:p>
              </w:tc>
              <w:tc>
                <w:tcPr>
                  <w:tcW w:w="870"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产生量</w:t>
                  </w:r>
                </w:p>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t/a</w:t>
                  </w:r>
                </w:p>
              </w:tc>
              <w:tc>
                <w:tcPr>
                  <w:tcW w:w="3509"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排放去向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893"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生活垃圾</w:t>
                  </w:r>
                </w:p>
              </w:tc>
              <w:tc>
                <w:tcPr>
                  <w:tcW w:w="1200"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职工生活</w:t>
                  </w:r>
                </w:p>
              </w:tc>
              <w:tc>
                <w:tcPr>
                  <w:tcW w:w="870"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cs="Times New Roman"/>
                      <w:color w:val="auto"/>
                      <w:kern w:val="0"/>
                      <w:sz w:val="21"/>
                      <w:szCs w:val="21"/>
                      <w:highlight w:val="none"/>
                      <w:lang w:val="en-US" w:eastAsia="zh-CN"/>
                    </w:rPr>
                    <w:t>1.62</w:t>
                  </w:r>
                </w:p>
              </w:tc>
              <w:tc>
                <w:tcPr>
                  <w:tcW w:w="3509"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要求建设单位在厂区内设置集中式</w:t>
                  </w:r>
                  <w:r>
                    <w:rPr>
                      <w:rFonts w:hint="default" w:ascii="Times New Roman" w:hAnsi="Times New Roman" w:cs="Times New Roman"/>
                      <w:color w:val="auto"/>
                      <w:kern w:val="0"/>
                      <w:sz w:val="21"/>
                      <w:szCs w:val="21"/>
                      <w:lang w:val="en-US" w:eastAsia="zh-CN"/>
                    </w:rPr>
                    <w:t>垃圾桶</w:t>
                  </w:r>
                  <w:r>
                    <w:rPr>
                      <w:rFonts w:hint="default" w:ascii="Times New Roman" w:hAnsi="Times New Roman" w:eastAsia="宋体" w:cs="Times New Roman"/>
                      <w:color w:val="auto"/>
                      <w:kern w:val="0"/>
                      <w:sz w:val="21"/>
                      <w:szCs w:val="21"/>
                      <w:lang w:val="en-US" w:eastAsia="zh-CN"/>
                    </w:rPr>
                    <w:t>，定期交由环卫部门统一清运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557"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2</w:t>
                  </w:r>
                </w:p>
              </w:tc>
              <w:tc>
                <w:tcPr>
                  <w:tcW w:w="1893"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废包装袋</w:t>
                  </w:r>
                </w:p>
              </w:tc>
              <w:tc>
                <w:tcPr>
                  <w:tcW w:w="1200"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原辅料包装</w:t>
                  </w:r>
                </w:p>
              </w:tc>
              <w:tc>
                <w:tcPr>
                  <w:tcW w:w="870"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w:t>
                  </w:r>
                  <w:r>
                    <w:rPr>
                      <w:rFonts w:hint="eastAsia" w:ascii="Times New Roman" w:cs="Times New Roman"/>
                      <w:color w:val="auto"/>
                      <w:kern w:val="0"/>
                      <w:sz w:val="21"/>
                      <w:szCs w:val="21"/>
                      <w:lang w:val="en-US" w:eastAsia="zh-CN"/>
                    </w:rPr>
                    <w:t>8</w:t>
                  </w:r>
                </w:p>
              </w:tc>
              <w:tc>
                <w:tcPr>
                  <w:tcW w:w="3509"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集中收集后暂存于</w:t>
                  </w:r>
                  <w:r>
                    <w:rPr>
                      <w:rFonts w:hint="default" w:ascii="Times New Roman" w:hAnsi="Times New Roman" w:eastAsia="宋体" w:cs="Times New Roman"/>
                      <w:color w:val="auto"/>
                      <w:kern w:val="0"/>
                      <w:sz w:val="21"/>
                      <w:szCs w:val="21"/>
                      <w:lang w:eastAsia="zh-CN"/>
                    </w:rPr>
                    <w:t>一般固废暂存区</w:t>
                  </w:r>
                  <w:r>
                    <w:rPr>
                      <w:rFonts w:hint="default" w:ascii="Times New Roman" w:hAnsi="Times New Roman" w:eastAsia="宋体" w:cs="Times New Roman"/>
                      <w:color w:val="auto"/>
                      <w:kern w:val="0"/>
                      <w:sz w:val="21"/>
                      <w:szCs w:val="21"/>
                    </w:rPr>
                    <w:t>，定期外售于废品回收站综合利用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557" w:type="dxa"/>
                  <w:vMerge w:val="restar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3</w:t>
                  </w:r>
                </w:p>
              </w:tc>
              <w:tc>
                <w:tcPr>
                  <w:tcW w:w="1893"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锅炉灰渣</w:t>
                  </w:r>
                </w:p>
              </w:tc>
              <w:tc>
                <w:tcPr>
                  <w:tcW w:w="1200" w:type="dxa"/>
                  <w:vMerge w:val="restar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rPr>
                    <w:t>锅炉</w:t>
                  </w:r>
                </w:p>
              </w:tc>
              <w:tc>
                <w:tcPr>
                  <w:tcW w:w="870"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cs="Times New Roman"/>
                      <w:color w:val="auto"/>
                      <w:kern w:val="0"/>
                      <w:sz w:val="21"/>
                      <w:szCs w:val="21"/>
                      <w:highlight w:val="none"/>
                      <w:lang w:val="en-US" w:eastAsia="zh-CN"/>
                    </w:rPr>
                    <w:t>47.41</w:t>
                  </w:r>
                </w:p>
              </w:tc>
              <w:tc>
                <w:tcPr>
                  <w:tcW w:w="3509" w:type="dxa"/>
                  <w:vMerge w:val="restar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en-US"/>
                    </w:rPr>
                    <w:t>在</w:t>
                  </w:r>
                  <w:r>
                    <w:rPr>
                      <w:rFonts w:hint="default" w:ascii="Times New Roman" w:hAnsi="Times New Roman" w:eastAsia="宋体" w:cs="Times New Roman"/>
                      <w:color w:val="auto"/>
                      <w:kern w:val="0"/>
                      <w:sz w:val="21"/>
                      <w:szCs w:val="21"/>
                      <w:lang w:val="en-US" w:eastAsia="zh-CN"/>
                    </w:rPr>
                    <w:t>一般固废暂存区</w:t>
                  </w:r>
                  <w:r>
                    <w:rPr>
                      <w:rFonts w:hint="default" w:ascii="Times New Roman" w:hAnsi="Times New Roman" w:eastAsia="宋体" w:cs="Times New Roman"/>
                      <w:color w:val="auto"/>
                      <w:kern w:val="0"/>
                      <w:sz w:val="21"/>
                      <w:szCs w:val="21"/>
                      <w:lang w:val="en-US" w:eastAsia="en-US"/>
                    </w:rPr>
                    <w:t>暂存后外售至有机肥料厂综合利用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557" w:type="dxa"/>
                  <w:vMerge w:val="continue"/>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p>
              </w:tc>
              <w:tc>
                <w:tcPr>
                  <w:tcW w:w="1893"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除尘灰</w:t>
                  </w:r>
                </w:p>
              </w:tc>
              <w:tc>
                <w:tcPr>
                  <w:tcW w:w="1200" w:type="dxa"/>
                  <w:vMerge w:val="continue"/>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p>
              </w:tc>
              <w:tc>
                <w:tcPr>
                  <w:tcW w:w="870"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w:t>
                  </w:r>
                  <w:r>
                    <w:rPr>
                      <w:rFonts w:hint="eastAsia" w:ascii="Times New Roman" w:cs="Times New Roman"/>
                      <w:color w:val="auto"/>
                      <w:kern w:val="0"/>
                      <w:sz w:val="21"/>
                      <w:szCs w:val="21"/>
                      <w:highlight w:val="none"/>
                      <w:lang w:val="en-US" w:eastAsia="zh-CN"/>
                    </w:rPr>
                    <w:t>53</w:t>
                  </w:r>
                </w:p>
              </w:tc>
              <w:tc>
                <w:tcPr>
                  <w:tcW w:w="3509" w:type="dxa"/>
                  <w:vMerge w:val="continue"/>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宋体" w:cs="Times New Roman"/>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dxa"/>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4</w:t>
                  </w:r>
                </w:p>
              </w:tc>
              <w:tc>
                <w:tcPr>
                  <w:tcW w:w="1893" w:type="dxa"/>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污水处理站污泥</w:t>
                  </w:r>
                </w:p>
              </w:tc>
              <w:tc>
                <w:tcPr>
                  <w:tcW w:w="1200" w:type="dxa"/>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污水处理</w:t>
                  </w:r>
                </w:p>
              </w:tc>
              <w:tc>
                <w:tcPr>
                  <w:tcW w:w="870" w:type="dxa"/>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0.</w:t>
                  </w:r>
                  <w:r>
                    <w:rPr>
                      <w:rFonts w:hint="eastAsia" w:ascii="Times New Roman" w:hAnsi="Times New Roman" w:eastAsia="宋体" w:cs="Times New Roman"/>
                      <w:color w:val="auto"/>
                      <w:kern w:val="0"/>
                      <w:sz w:val="21"/>
                      <w:szCs w:val="21"/>
                      <w:lang w:val="en-US" w:eastAsia="zh-CN"/>
                    </w:rPr>
                    <w:t>8</w:t>
                  </w:r>
                </w:p>
              </w:tc>
              <w:tc>
                <w:tcPr>
                  <w:tcW w:w="3509" w:type="dxa"/>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定期清理，脱水后交由环卫部门清运，不在厂区内长时间停留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eastAsia="zh-CN"/>
                    </w:rPr>
                  </w:pPr>
                  <w:r>
                    <w:rPr>
                      <w:rFonts w:hint="eastAsia" w:ascii="Times New Roman" w:cs="Times New Roman"/>
                      <w:color w:val="auto"/>
                      <w:kern w:val="0"/>
                      <w:sz w:val="21"/>
                      <w:szCs w:val="21"/>
                      <w:lang w:val="en-US" w:eastAsia="zh-CN"/>
                    </w:rPr>
                    <w:t>5</w:t>
                  </w:r>
                </w:p>
              </w:tc>
              <w:tc>
                <w:tcPr>
                  <w:tcW w:w="1893"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废离子交换树脂</w:t>
                  </w:r>
                </w:p>
              </w:tc>
              <w:tc>
                <w:tcPr>
                  <w:tcW w:w="1200"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软水制备</w:t>
                  </w:r>
                </w:p>
              </w:tc>
              <w:tc>
                <w:tcPr>
                  <w:tcW w:w="870"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0.1</w:t>
                  </w:r>
                </w:p>
              </w:tc>
              <w:tc>
                <w:tcPr>
                  <w:tcW w:w="3509"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由设备公司定期上门更换和回收，不在厂内储存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cs="Times New Roman"/>
                      <w:color w:val="auto"/>
                      <w:kern w:val="0"/>
                      <w:sz w:val="21"/>
                      <w:szCs w:val="21"/>
                      <w:lang w:val="en-US" w:eastAsia="zh-CN"/>
                    </w:rPr>
                    <w:t>6</w:t>
                  </w:r>
                </w:p>
              </w:tc>
              <w:tc>
                <w:tcPr>
                  <w:tcW w:w="1893"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废机油</w:t>
                  </w:r>
                </w:p>
              </w:tc>
              <w:tc>
                <w:tcPr>
                  <w:tcW w:w="1200"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机械维修、保养</w:t>
                  </w:r>
                </w:p>
              </w:tc>
              <w:tc>
                <w:tcPr>
                  <w:tcW w:w="870"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0.2</w:t>
                  </w:r>
                </w:p>
              </w:tc>
              <w:tc>
                <w:tcPr>
                  <w:tcW w:w="3509" w:type="dxa"/>
                  <w:vMerge w:val="restar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暂存于</w:t>
                  </w:r>
                  <w:r>
                    <w:rPr>
                      <w:rFonts w:hint="default" w:ascii="Times New Roman" w:hAnsi="Times New Roman" w:eastAsia="宋体" w:cs="Times New Roman"/>
                      <w:color w:val="auto"/>
                      <w:kern w:val="0"/>
                      <w:sz w:val="21"/>
                      <w:szCs w:val="21"/>
                      <w:lang w:eastAsia="zh-CN"/>
                    </w:rPr>
                    <w:t>危废贮存库</w:t>
                  </w:r>
                  <w:r>
                    <w:rPr>
                      <w:rFonts w:hint="default" w:ascii="Times New Roman" w:hAnsi="Times New Roman" w:eastAsia="宋体" w:cs="Times New Roman"/>
                      <w:color w:val="auto"/>
                      <w:kern w:val="0"/>
                      <w:sz w:val="21"/>
                      <w:szCs w:val="21"/>
                    </w:rPr>
                    <w:t>，委托具有相应处理资质的单位进行定期处置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cs="Times New Roman"/>
                      <w:color w:val="auto"/>
                      <w:kern w:val="0"/>
                      <w:sz w:val="21"/>
                      <w:szCs w:val="21"/>
                      <w:lang w:val="en-US" w:eastAsia="zh-CN"/>
                    </w:rPr>
                    <w:t>7</w:t>
                  </w:r>
                </w:p>
              </w:tc>
              <w:tc>
                <w:tcPr>
                  <w:tcW w:w="1893"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废油桶</w:t>
                  </w:r>
                </w:p>
              </w:tc>
              <w:tc>
                <w:tcPr>
                  <w:tcW w:w="1200"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机油包装</w:t>
                  </w:r>
                </w:p>
              </w:tc>
              <w:tc>
                <w:tcPr>
                  <w:tcW w:w="870"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0.0</w:t>
                  </w:r>
                  <w:r>
                    <w:rPr>
                      <w:rFonts w:hint="default" w:ascii="Times New Roman" w:hAnsi="Times New Roman" w:eastAsia="宋体" w:cs="Times New Roman"/>
                      <w:color w:val="auto"/>
                      <w:kern w:val="0"/>
                      <w:sz w:val="21"/>
                      <w:szCs w:val="21"/>
                      <w:lang w:val="en-US" w:eastAsia="zh-CN"/>
                    </w:rPr>
                    <w:t>1</w:t>
                  </w:r>
                </w:p>
              </w:tc>
              <w:tc>
                <w:tcPr>
                  <w:tcW w:w="3509" w:type="dxa"/>
                  <w:vMerge w:val="continue"/>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7"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cs="Times New Roman"/>
                      <w:color w:val="auto"/>
                      <w:kern w:val="0"/>
                      <w:sz w:val="21"/>
                      <w:szCs w:val="21"/>
                      <w:lang w:val="en-US" w:eastAsia="zh-CN"/>
                    </w:rPr>
                    <w:t>8</w:t>
                  </w:r>
                </w:p>
              </w:tc>
              <w:tc>
                <w:tcPr>
                  <w:tcW w:w="1893"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含油抹布</w:t>
                  </w:r>
                </w:p>
              </w:tc>
              <w:tc>
                <w:tcPr>
                  <w:tcW w:w="1200"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机械维修、保养</w:t>
                  </w:r>
                </w:p>
              </w:tc>
              <w:tc>
                <w:tcPr>
                  <w:tcW w:w="870"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0.001</w:t>
                  </w:r>
                </w:p>
              </w:tc>
              <w:tc>
                <w:tcPr>
                  <w:tcW w:w="3509" w:type="dxa"/>
                  <w:vMerge w:val="continue"/>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p>
              </w:tc>
            </w:tr>
          </w:tbl>
          <w:p>
            <w:pPr>
              <w:pStyle w:val="115"/>
              <w:keepLines w:val="0"/>
              <w:pageBreakBefore w:val="0"/>
              <w:numPr>
                <w:ilvl w:val="0"/>
                <w:numId w:val="0"/>
              </w:numPr>
              <w:kinsoku/>
              <w:wordWrap/>
              <w:overflowPunct/>
              <w:topLinePunct w:val="0"/>
              <w:bidi w:val="0"/>
              <w:spacing w:line="360" w:lineRule="auto"/>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4.4危险废物环境管理要求</w:t>
            </w:r>
          </w:p>
          <w:p>
            <w:pPr>
              <w:widowControl/>
              <w:adjustRightInd/>
              <w:spacing w:line="360" w:lineRule="auto"/>
              <w:ind w:right="289" w:rightChars="85" w:firstLine="480" w:firstLineChars="200"/>
              <w:textAlignment w:val="auto"/>
              <w:rPr>
                <w:rFonts w:hint="default" w:ascii="Times New Roman" w:hAnsi="Times New Roman" w:cs="Times New Roman"/>
                <w:b/>
                <w:color w:val="auto"/>
                <w:szCs w:val="21"/>
              </w:rPr>
            </w:pPr>
            <w:r>
              <w:rPr>
                <w:rFonts w:hint="default" w:ascii="Times New Roman" w:hAnsi="Times New Roman" w:cs="Times New Roman"/>
                <w:color w:val="auto"/>
                <w:kern w:val="0"/>
                <w:sz w:val="24"/>
                <w:szCs w:val="24"/>
              </w:rPr>
              <w:t>本项目危险废物汇总见</w:t>
            </w:r>
            <w:r>
              <w:rPr>
                <w:rFonts w:hint="default" w:ascii="Times New Roman" w:hAnsi="Times New Roman" w:cs="Times New Roman"/>
                <w:color w:val="auto"/>
                <w:kern w:val="0"/>
                <w:sz w:val="24"/>
                <w:szCs w:val="24"/>
                <w:lang w:val="en-US" w:eastAsia="zh-CN"/>
              </w:rPr>
              <w:t>下</w:t>
            </w:r>
            <w:r>
              <w:rPr>
                <w:rFonts w:hint="default" w:ascii="Times New Roman" w:hAnsi="Times New Roman" w:cs="Times New Roman"/>
                <w:color w:val="auto"/>
                <w:kern w:val="0"/>
                <w:sz w:val="24"/>
                <w:szCs w:val="24"/>
              </w:rPr>
              <w:t>表。</w:t>
            </w:r>
          </w:p>
          <w:p>
            <w:pPr>
              <w:spacing w:line="36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4-1</w:t>
            </w:r>
            <w:r>
              <w:rPr>
                <w:rFonts w:hint="eastAsia" w:ascii="Times New Roman" w:cs="Times New Roman"/>
                <w:b/>
                <w:bCs/>
                <w:color w:val="auto"/>
                <w:sz w:val="21"/>
                <w:szCs w:val="21"/>
                <w:lang w:val="en-US" w:eastAsia="zh-CN"/>
              </w:rPr>
              <w:t>2</w:t>
            </w:r>
            <w:r>
              <w:rPr>
                <w:rFonts w:hint="default" w:ascii="Times New Roman" w:hAnsi="Times New Roman" w:cs="Times New Roman"/>
                <w:b/>
                <w:bCs/>
                <w:color w:val="auto"/>
                <w:sz w:val="21"/>
                <w:szCs w:val="21"/>
              </w:rPr>
              <w:t xml:space="preserve">  危险废物汇总表</w:t>
            </w:r>
          </w:p>
          <w:tbl>
            <w:tblPr>
              <w:tblStyle w:val="39"/>
              <w:tblW w:w="797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58"/>
              <w:gridCol w:w="1142"/>
              <w:gridCol w:w="1968"/>
              <w:gridCol w:w="897"/>
              <w:gridCol w:w="920"/>
              <w:gridCol w:w="987"/>
              <w:gridCol w:w="8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96" w:hRule="atLeast"/>
              </w:trPr>
              <w:tc>
                <w:tcPr>
                  <w:tcW w:w="1258"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主要生产单元</w:t>
                  </w:r>
                </w:p>
              </w:tc>
              <w:tc>
                <w:tcPr>
                  <w:tcW w:w="114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名称</w:t>
                  </w:r>
                </w:p>
              </w:tc>
              <w:tc>
                <w:tcPr>
                  <w:tcW w:w="1968"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代码</w:t>
                  </w:r>
                </w:p>
              </w:tc>
              <w:tc>
                <w:tcPr>
                  <w:tcW w:w="897"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产生量(t/a)</w:t>
                  </w:r>
                </w:p>
              </w:tc>
              <w:tc>
                <w:tcPr>
                  <w:tcW w:w="920"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处置量(t/a)</w:t>
                  </w:r>
                </w:p>
              </w:tc>
              <w:tc>
                <w:tcPr>
                  <w:tcW w:w="987"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有害</w:t>
                  </w:r>
                </w:p>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成分</w:t>
                  </w:r>
                </w:p>
              </w:tc>
              <w:tc>
                <w:tcPr>
                  <w:tcW w:w="806"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危险</w:t>
                  </w:r>
                </w:p>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64" w:hRule="atLeast"/>
              </w:trPr>
              <w:tc>
                <w:tcPr>
                  <w:tcW w:w="1258" w:type="dxa"/>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设备维修</w:t>
                  </w:r>
                </w:p>
              </w:tc>
              <w:tc>
                <w:tcPr>
                  <w:tcW w:w="114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废机油</w:t>
                  </w:r>
                </w:p>
              </w:tc>
              <w:tc>
                <w:tcPr>
                  <w:tcW w:w="1968"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HW08：900-249-08</w:t>
                  </w:r>
                </w:p>
              </w:tc>
              <w:tc>
                <w:tcPr>
                  <w:tcW w:w="897"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0.2</w:t>
                  </w:r>
                </w:p>
              </w:tc>
              <w:tc>
                <w:tcPr>
                  <w:tcW w:w="920"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0.2</w:t>
                  </w:r>
                </w:p>
              </w:tc>
              <w:tc>
                <w:tcPr>
                  <w:tcW w:w="987"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矿物油</w:t>
                  </w:r>
                </w:p>
              </w:tc>
              <w:tc>
                <w:tcPr>
                  <w:tcW w:w="806"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T，I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64" w:hRule="atLeast"/>
              </w:trPr>
              <w:tc>
                <w:tcPr>
                  <w:tcW w:w="1258"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p>
              </w:tc>
              <w:tc>
                <w:tcPr>
                  <w:tcW w:w="114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废油桶</w:t>
                  </w:r>
                </w:p>
              </w:tc>
              <w:tc>
                <w:tcPr>
                  <w:tcW w:w="1968"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HW08：900-249-08</w:t>
                  </w:r>
                </w:p>
              </w:tc>
              <w:tc>
                <w:tcPr>
                  <w:tcW w:w="897"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0.01</w:t>
                  </w:r>
                </w:p>
              </w:tc>
              <w:tc>
                <w:tcPr>
                  <w:tcW w:w="920"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0.01</w:t>
                  </w:r>
                </w:p>
              </w:tc>
              <w:tc>
                <w:tcPr>
                  <w:tcW w:w="987"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矿物油</w:t>
                  </w:r>
                </w:p>
              </w:tc>
              <w:tc>
                <w:tcPr>
                  <w:tcW w:w="806"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T，I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5" w:hRule="atLeast"/>
              </w:trPr>
              <w:tc>
                <w:tcPr>
                  <w:tcW w:w="1258"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p>
              </w:tc>
              <w:tc>
                <w:tcPr>
                  <w:tcW w:w="1142"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含油抹布</w:t>
                  </w:r>
                </w:p>
              </w:tc>
              <w:tc>
                <w:tcPr>
                  <w:tcW w:w="1968"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HW49：900-041-49</w:t>
                  </w:r>
                </w:p>
              </w:tc>
              <w:tc>
                <w:tcPr>
                  <w:tcW w:w="897"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0.001</w:t>
                  </w:r>
                </w:p>
              </w:tc>
              <w:tc>
                <w:tcPr>
                  <w:tcW w:w="920"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0.001</w:t>
                  </w:r>
                </w:p>
              </w:tc>
              <w:tc>
                <w:tcPr>
                  <w:tcW w:w="987"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矿物油</w:t>
                  </w:r>
                </w:p>
              </w:tc>
              <w:tc>
                <w:tcPr>
                  <w:tcW w:w="806"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T，I</w:t>
                  </w:r>
                </w:p>
              </w:tc>
            </w:tr>
          </w:tbl>
          <w:p>
            <w:pPr>
              <w:keepLines w:val="0"/>
              <w:pageBreakBefore w:val="0"/>
              <w:kinsoku/>
              <w:wordWrap/>
              <w:overflowPunct/>
              <w:topLinePunct w:val="0"/>
              <w:bidi w:val="0"/>
              <w:spacing w:line="360" w:lineRule="auto"/>
              <w:ind w:firstLine="480" w:firstLineChars="200"/>
              <w:textAlignment w:val="auto"/>
              <w:rPr>
                <w:rFonts w:hint="default" w:ascii="Times New Roman" w:hAnsi="Times New Roman" w:cs="Times New Roman"/>
                <w:iCs/>
                <w:color w:val="auto"/>
                <w:kern w:val="11"/>
                <w:sz w:val="24"/>
              </w:rPr>
            </w:pPr>
            <w:r>
              <w:rPr>
                <w:rFonts w:hint="default" w:ascii="Times New Roman" w:hAnsi="Times New Roman" w:cs="Times New Roman"/>
                <w:iCs/>
                <w:color w:val="auto"/>
                <w:kern w:val="11"/>
                <w:sz w:val="24"/>
                <w:highlight w:val="none"/>
                <w:lang w:val="en-US" w:eastAsia="zh-CN"/>
              </w:rPr>
              <w:t>本项目厂内建设一个</w:t>
            </w:r>
            <w:r>
              <w:rPr>
                <w:rFonts w:hint="default" w:ascii="Times New Roman" w:hAnsi="Times New Roman" w:cs="Times New Roman"/>
                <w:iCs/>
                <w:color w:val="auto"/>
                <w:kern w:val="11"/>
                <w:sz w:val="24"/>
                <w:highlight w:val="none"/>
              </w:rPr>
              <w:t>全封闭</w:t>
            </w:r>
            <w:r>
              <w:rPr>
                <w:rFonts w:hint="default" w:ascii="Times New Roman" w:hAnsi="Times New Roman" w:cs="Times New Roman"/>
                <w:iCs/>
                <w:color w:val="auto"/>
                <w:kern w:val="11"/>
                <w:sz w:val="24"/>
                <w:highlight w:val="none"/>
                <w:lang w:eastAsia="zh-CN"/>
              </w:rPr>
              <w:t>危废贮存库</w:t>
            </w:r>
            <w:r>
              <w:rPr>
                <w:rFonts w:hint="default" w:ascii="Times New Roman" w:hAnsi="Times New Roman" w:cs="Times New Roman"/>
                <w:iCs/>
                <w:color w:val="auto"/>
                <w:kern w:val="11"/>
                <w:sz w:val="24"/>
                <w:highlight w:val="none"/>
              </w:rPr>
              <w:t>，</w:t>
            </w:r>
            <w:r>
              <w:rPr>
                <w:rFonts w:hint="default" w:ascii="Times New Roman" w:hAnsi="Times New Roman" w:cs="Times New Roman"/>
                <w:iCs/>
                <w:color w:val="auto"/>
                <w:kern w:val="11"/>
                <w:sz w:val="24"/>
              </w:rPr>
              <w:t>面积为</w:t>
            </w:r>
            <w:r>
              <w:rPr>
                <w:rFonts w:hint="default" w:ascii="Times New Roman" w:hAnsi="Times New Roman" w:cs="Times New Roman"/>
                <w:iCs/>
                <w:color w:val="auto"/>
                <w:kern w:val="11"/>
                <w:sz w:val="24"/>
                <w:lang w:val="en-US" w:eastAsia="zh-CN"/>
              </w:rPr>
              <w:t>10</w:t>
            </w:r>
            <w:r>
              <w:rPr>
                <w:rFonts w:hint="default" w:ascii="Times New Roman" w:hAnsi="Times New Roman" w:cs="Times New Roman"/>
                <w:iCs/>
                <w:color w:val="auto"/>
                <w:kern w:val="11"/>
                <w:sz w:val="24"/>
              </w:rPr>
              <w:t>m</w:t>
            </w:r>
            <w:r>
              <w:rPr>
                <w:rFonts w:hint="default" w:ascii="Times New Roman" w:hAnsi="Times New Roman" w:cs="Times New Roman"/>
                <w:iCs/>
                <w:color w:val="auto"/>
                <w:kern w:val="11"/>
                <w:sz w:val="24"/>
                <w:vertAlign w:val="superscript"/>
              </w:rPr>
              <w:t>2</w:t>
            </w:r>
            <w:r>
              <w:rPr>
                <w:rFonts w:hint="default" w:ascii="Times New Roman" w:hAnsi="Times New Roman" w:cs="Times New Roman"/>
                <w:iCs/>
                <w:color w:val="auto"/>
                <w:kern w:val="11"/>
                <w:sz w:val="24"/>
              </w:rPr>
              <w:t>。</w:t>
            </w:r>
            <w:r>
              <w:rPr>
                <w:rFonts w:hint="default" w:ascii="Times New Roman" w:hAnsi="Times New Roman" w:cs="Times New Roman"/>
                <w:color w:val="auto"/>
                <w:sz w:val="24"/>
                <w:lang w:eastAsia="zh-CN"/>
              </w:rPr>
              <w:t>危废贮存库</w:t>
            </w:r>
            <w:r>
              <w:rPr>
                <w:rFonts w:hint="default" w:ascii="Times New Roman" w:hAnsi="Times New Roman" w:cs="Times New Roman"/>
                <w:color w:val="auto"/>
                <w:sz w:val="24"/>
              </w:rPr>
              <w:t>基本情况见下表。</w:t>
            </w:r>
          </w:p>
          <w:p>
            <w:pPr>
              <w:spacing w:line="36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表4-</w:t>
            </w:r>
            <w:r>
              <w:rPr>
                <w:rFonts w:hint="default" w:ascii="Times New Roman" w:hAnsi="Times New Roman" w:cs="Times New Roman"/>
                <w:b/>
                <w:bCs/>
                <w:color w:val="auto"/>
                <w:sz w:val="21"/>
                <w:szCs w:val="21"/>
                <w:lang w:val="en-US" w:eastAsia="zh-CN"/>
              </w:rPr>
              <w:t>1</w:t>
            </w:r>
            <w:r>
              <w:rPr>
                <w:rFonts w:hint="eastAsia" w:ascii="Times New Roman" w:cs="Times New Roman"/>
                <w:b/>
                <w:bCs/>
                <w:color w:val="auto"/>
                <w:sz w:val="21"/>
                <w:szCs w:val="21"/>
                <w:lang w:val="en-US" w:eastAsia="zh-CN"/>
              </w:rPr>
              <w:t>3</w:t>
            </w:r>
            <w:r>
              <w:rPr>
                <w:rFonts w:hint="default" w:ascii="Times New Roman" w:hAnsi="Times New Roman" w:cs="Times New Roman"/>
                <w:b/>
                <w:bCs/>
                <w:color w:val="auto"/>
                <w:sz w:val="21"/>
                <w:szCs w:val="21"/>
              </w:rPr>
              <w:t xml:space="preserve">  </w:t>
            </w:r>
            <w:r>
              <w:rPr>
                <w:rFonts w:hint="default" w:ascii="Times New Roman" w:hAnsi="Times New Roman" w:cs="Times New Roman"/>
                <w:b/>
                <w:bCs/>
                <w:color w:val="auto"/>
                <w:sz w:val="21"/>
                <w:szCs w:val="21"/>
                <w:lang w:eastAsia="zh-CN"/>
              </w:rPr>
              <w:t>危废贮存库</w:t>
            </w:r>
            <w:r>
              <w:rPr>
                <w:rFonts w:hint="default" w:ascii="Times New Roman" w:hAnsi="Times New Roman" w:cs="Times New Roman"/>
                <w:b/>
                <w:bCs/>
                <w:color w:val="auto"/>
                <w:sz w:val="21"/>
                <w:szCs w:val="21"/>
              </w:rPr>
              <w:t>基本情况表</w:t>
            </w:r>
          </w:p>
          <w:tbl>
            <w:tblPr>
              <w:tblStyle w:val="38"/>
              <w:tblW w:w="802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47"/>
              <w:gridCol w:w="552"/>
              <w:gridCol w:w="1484"/>
              <w:gridCol w:w="1881"/>
              <w:gridCol w:w="669"/>
              <w:gridCol w:w="587"/>
              <w:gridCol w:w="1177"/>
              <w:gridCol w:w="631"/>
              <w:gridCol w:w="6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447"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序号</w:t>
                  </w:r>
                </w:p>
              </w:tc>
              <w:tc>
                <w:tcPr>
                  <w:tcW w:w="552"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贮存场所</w:t>
                  </w:r>
                </w:p>
              </w:tc>
              <w:tc>
                <w:tcPr>
                  <w:tcW w:w="1484"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危险废物</w:t>
                  </w:r>
                </w:p>
              </w:tc>
              <w:tc>
                <w:tcPr>
                  <w:tcW w:w="1881"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危险废物类别</w:t>
                  </w:r>
                </w:p>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及代码</w:t>
                  </w:r>
                </w:p>
              </w:tc>
              <w:tc>
                <w:tcPr>
                  <w:tcW w:w="669"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位置</w:t>
                  </w:r>
                </w:p>
              </w:tc>
              <w:tc>
                <w:tcPr>
                  <w:tcW w:w="587"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占地</w:t>
                  </w:r>
                </w:p>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面积</w:t>
                  </w:r>
                </w:p>
              </w:tc>
              <w:tc>
                <w:tcPr>
                  <w:tcW w:w="1177"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贮存</w:t>
                  </w:r>
                </w:p>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方式</w:t>
                  </w:r>
                </w:p>
              </w:tc>
              <w:tc>
                <w:tcPr>
                  <w:tcW w:w="631"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贮存</w:t>
                  </w:r>
                </w:p>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能力</w:t>
                  </w:r>
                </w:p>
              </w:tc>
              <w:tc>
                <w:tcPr>
                  <w:tcW w:w="601"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贮存</w:t>
                  </w:r>
                </w:p>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周期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80" w:hRule="atLeast"/>
              </w:trPr>
              <w:tc>
                <w:tcPr>
                  <w:tcW w:w="447"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p>
              </w:tc>
              <w:tc>
                <w:tcPr>
                  <w:tcW w:w="552" w:type="dxa"/>
                  <w:vMerge w:val="restar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危废贮存库</w:t>
                  </w:r>
                </w:p>
              </w:tc>
              <w:tc>
                <w:tcPr>
                  <w:tcW w:w="1484"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废机油</w:t>
                  </w:r>
                </w:p>
              </w:tc>
              <w:tc>
                <w:tcPr>
                  <w:tcW w:w="1881"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HW08：900-249-08</w:t>
                  </w:r>
                </w:p>
              </w:tc>
              <w:tc>
                <w:tcPr>
                  <w:tcW w:w="669" w:type="dxa"/>
                  <w:vMerge w:val="restar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highlight w:val="none"/>
                      <w:lang w:val="en-US" w:eastAsia="zh-CN"/>
                    </w:rPr>
                    <w:t>厂区</w:t>
                  </w:r>
                  <w:r>
                    <w:rPr>
                      <w:rFonts w:hint="eastAsia" w:ascii="Times New Roman" w:cs="Times New Roman"/>
                      <w:color w:val="auto"/>
                      <w:kern w:val="0"/>
                      <w:sz w:val="21"/>
                      <w:szCs w:val="21"/>
                      <w:highlight w:val="none"/>
                      <w:lang w:val="en-US" w:eastAsia="zh-CN"/>
                    </w:rPr>
                    <w:t>西</w:t>
                  </w:r>
                  <w:r>
                    <w:rPr>
                      <w:rFonts w:hint="default" w:ascii="Times New Roman" w:hAnsi="Times New Roman" w:eastAsia="宋体" w:cs="Times New Roman"/>
                      <w:color w:val="auto"/>
                      <w:kern w:val="0"/>
                      <w:sz w:val="21"/>
                      <w:szCs w:val="21"/>
                      <w:highlight w:val="none"/>
                      <w:lang w:val="en-US" w:eastAsia="zh-CN"/>
                    </w:rPr>
                    <w:t>侧</w:t>
                  </w:r>
                </w:p>
              </w:tc>
              <w:tc>
                <w:tcPr>
                  <w:tcW w:w="587" w:type="dxa"/>
                  <w:vMerge w:val="restar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10m</w:t>
                  </w:r>
                  <w:r>
                    <w:rPr>
                      <w:rFonts w:hint="default" w:ascii="Times New Roman" w:hAnsi="Times New Roman" w:eastAsia="宋体" w:cs="Times New Roman"/>
                      <w:color w:val="auto"/>
                      <w:kern w:val="0"/>
                      <w:sz w:val="21"/>
                      <w:szCs w:val="21"/>
                      <w:vertAlign w:val="superscript"/>
                      <w:lang w:val="en-US" w:eastAsia="zh-CN"/>
                    </w:rPr>
                    <w:t>2</w:t>
                  </w:r>
                </w:p>
              </w:tc>
              <w:tc>
                <w:tcPr>
                  <w:tcW w:w="1177" w:type="dxa"/>
                  <w:vMerge w:val="restar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全封闭车间储存，危险废物桶装加盖密封，含油抹布装入塑料转运箱</w:t>
                  </w:r>
                </w:p>
              </w:tc>
              <w:tc>
                <w:tcPr>
                  <w:tcW w:w="631"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0.5t</w:t>
                  </w:r>
                </w:p>
              </w:tc>
              <w:tc>
                <w:tcPr>
                  <w:tcW w:w="601" w:type="dxa"/>
                  <w:vMerge w:val="restar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半年一次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5" w:hRule="atLeast"/>
              </w:trPr>
              <w:tc>
                <w:tcPr>
                  <w:tcW w:w="447"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w:t>
                  </w:r>
                </w:p>
              </w:tc>
              <w:tc>
                <w:tcPr>
                  <w:tcW w:w="552" w:type="dxa"/>
                  <w:vMerge w:val="continue"/>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p>
              </w:tc>
              <w:tc>
                <w:tcPr>
                  <w:tcW w:w="1484"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废油桶</w:t>
                  </w:r>
                </w:p>
              </w:tc>
              <w:tc>
                <w:tcPr>
                  <w:tcW w:w="1881"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HW08：900-249-08</w:t>
                  </w:r>
                </w:p>
              </w:tc>
              <w:tc>
                <w:tcPr>
                  <w:tcW w:w="669" w:type="dxa"/>
                  <w:vMerge w:val="continue"/>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p>
              </w:tc>
              <w:tc>
                <w:tcPr>
                  <w:tcW w:w="587" w:type="dxa"/>
                  <w:vMerge w:val="continue"/>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p>
              </w:tc>
              <w:tc>
                <w:tcPr>
                  <w:tcW w:w="1177" w:type="dxa"/>
                  <w:vMerge w:val="continue"/>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p>
              </w:tc>
              <w:tc>
                <w:tcPr>
                  <w:tcW w:w="631"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2个</w:t>
                  </w:r>
                </w:p>
              </w:tc>
              <w:tc>
                <w:tcPr>
                  <w:tcW w:w="601" w:type="dxa"/>
                  <w:vMerge w:val="continue"/>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4" w:hRule="atLeast"/>
              </w:trPr>
              <w:tc>
                <w:tcPr>
                  <w:tcW w:w="447"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w:t>
                  </w:r>
                </w:p>
              </w:tc>
              <w:tc>
                <w:tcPr>
                  <w:tcW w:w="552" w:type="dxa"/>
                  <w:vMerge w:val="continue"/>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p>
              </w:tc>
              <w:tc>
                <w:tcPr>
                  <w:tcW w:w="1484"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含油抹布</w:t>
                  </w:r>
                </w:p>
              </w:tc>
              <w:tc>
                <w:tcPr>
                  <w:tcW w:w="1881"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HW49：900-041-49</w:t>
                  </w:r>
                </w:p>
              </w:tc>
              <w:tc>
                <w:tcPr>
                  <w:tcW w:w="669" w:type="dxa"/>
                  <w:vMerge w:val="continue"/>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p>
              </w:tc>
              <w:tc>
                <w:tcPr>
                  <w:tcW w:w="587" w:type="dxa"/>
                  <w:vMerge w:val="continue"/>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p>
              </w:tc>
              <w:tc>
                <w:tcPr>
                  <w:tcW w:w="1177" w:type="dxa"/>
                  <w:vMerge w:val="continue"/>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p>
              </w:tc>
              <w:tc>
                <w:tcPr>
                  <w:tcW w:w="631"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0.01t</w:t>
                  </w:r>
                </w:p>
              </w:tc>
              <w:tc>
                <w:tcPr>
                  <w:tcW w:w="601" w:type="dxa"/>
                  <w:vMerge w:val="continue"/>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p>
              </w:tc>
            </w:tr>
          </w:tbl>
          <w:p>
            <w:pPr>
              <w:pStyle w:val="85"/>
              <w:keepNext w:val="0"/>
              <w:keepLines w:val="0"/>
              <w:pageBreakBefore w:val="0"/>
              <w:widowControl w:val="0"/>
              <w:kinsoku/>
              <w:wordWrap/>
              <w:overflowPunct/>
              <w:topLinePunct w:val="0"/>
              <w:autoSpaceDE/>
              <w:autoSpaceDN/>
              <w:bidi w:val="0"/>
              <w:adjustRightInd/>
              <w:snapToGrid/>
              <w:spacing w:line="460" w:lineRule="exact"/>
              <w:ind w:left="0" w:leftChars="0" w:right="0" w:rightChars="0"/>
              <w:jc w:val="both"/>
              <w:textAlignment w:val="auto"/>
              <w:outlineLvl w:val="9"/>
              <w:rPr>
                <w:rFonts w:hint="default" w:ascii="Times New Roman" w:hAnsi="Times New Roman" w:cs="Times New Roman"/>
                <w:color w:val="auto"/>
                <w:sz w:val="24"/>
                <w:highlight w:val="none"/>
                <w:lang w:val="en-GB" w:eastAsia="zh-CN"/>
              </w:rPr>
            </w:pPr>
            <w:r>
              <w:rPr>
                <w:rFonts w:hint="default" w:ascii="Times New Roman" w:hAnsi="Times New Roman" w:cs="Times New Roman"/>
                <w:color w:val="auto"/>
                <w:sz w:val="24"/>
                <w:highlight w:val="none"/>
                <w:lang w:val="en-GB" w:eastAsia="zh-CN"/>
              </w:rPr>
              <w:t>根据《危险废物贮存污染控制标准》（GB18597-20</w:t>
            </w:r>
            <w:r>
              <w:rPr>
                <w:rFonts w:hint="default" w:ascii="Times New Roman" w:hAnsi="Times New Roman" w:cs="Times New Roman"/>
                <w:color w:val="auto"/>
                <w:sz w:val="24"/>
                <w:highlight w:val="none"/>
                <w:lang w:val="en-US" w:eastAsia="zh-CN"/>
              </w:rPr>
              <w:t>23</w:t>
            </w:r>
            <w:r>
              <w:rPr>
                <w:rFonts w:hint="default" w:ascii="Times New Roman" w:hAnsi="Times New Roman" w:cs="Times New Roman"/>
                <w:color w:val="auto"/>
                <w:sz w:val="24"/>
                <w:highlight w:val="none"/>
                <w:lang w:val="en-GB" w:eastAsia="zh-CN"/>
              </w:rPr>
              <w:t>）中的规定，对本</w:t>
            </w:r>
            <w:r>
              <w:rPr>
                <w:rFonts w:hint="default" w:ascii="Times New Roman" w:hAnsi="Times New Roman" w:cs="Times New Roman"/>
                <w:color w:val="auto"/>
                <w:sz w:val="24"/>
                <w:highlight w:val="none"/>
                <w:lang w:val="en-US" w:eastAsia="zh-CN"/>
              </w:rPr>
              <w:t>项目</w:t>
            </w:r>
            <w:r>
              <w:rPr>
                <w:rFonts w:hint="default" w:ascii="Times New Roman" w:hAnsi="Times New Roman" w:cs="Times New Roman"/>
                <w:color w:val="auto"/>
                <w:sz w:val="24"/>
                <w:highlight w:val="none"/>
                <w:lang w:val="en-GB" w:eastAsia="zh-CN"/>
              </w:rPr>
              <w:t>中危险废物的收集、运输、转移及储存等提出以下管理要求：</w:t>
            </w:r>
          </w:p>
          <w:p>
            <w:pPr>
              <w:pStyle w:val="15"/>
              <w:keepNext w:val="0"/>
              <w:keepLines w:val="0"/>
              <w:pageBreakBefore w:val="0"/>
              <w:widowControl w:val="0"/>
              <w:kinsoku/>
              <w:wordWrap/>
              <w:overflowPunct/>
              <w:topLinePunct w:val="0"/>
              <w:autoSpaceDE/>
              <w:autoSpaceDN/>
              <w:bidi w:val="0"/>
              <w:adjustRightInd w:val="0"/>
              <w:snapToGrid w:val="0"/>
              <w:spacing w:before="0" w:after="0" w:line="460" w:lineRule="exact"/>
              <w:ind w:left="0" w:leftChars="0" w:right="0" w:rightChars="0" w:firstLine="338" w:firstLineChars="141"/>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（1）危险废物贮存容器要求</w:t>
            </w:r>
          </w:p>
          <w:p>
            <w:pPr>
              <w:pStyle w:val="15"/>
              <w:keepNext w:val="0"/>
              <w:keepLines w:val="0"/>
              <w:pageBreakBefore w:val="0"/>
              <w:widowControl w:val="0"/>
              <w:kinsoku/>
              <w:wordWrap/>
              <w:overflowPunct/>
              <w:topLinePunct w:val="0"/>
              <w:autoSpaceDE/>
              <w:autoSpaceDN/>
              <w:bidi w:val="0"/>
              <w:adjustRightInd w:val="0"/>
              <w:snapToGrid w:val="0"/>
              <w:spacing w:before="0" w:after="0" w:line="460" w:lineRule="exact"/>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 容器和包装物材质、内衬应与盛装的危险废物相容。</w:t>
            </w:r>
          </w:p>
          <w:p>
            <w:pPr>
              <w:pStyle w:val="15"/>
              <w:keepNext w:val="0"/>
              <w:keepLines w:val="0"/>
              <w:pageBreakBefore w:val="0"/>
              <w:widowControl w:val="0"/>
              <w:kinsoku/>
              <w:wordWrap/>
              <w:overflowPunct/>
              <w:topLinePunct w:val="0"/>
              <w:autoSpaceDE/>
              <w:autoSpaceDN/>
              <w:bidi w:val="0"/>
              <w:adjustRightInd w:val="0"/>
              <w:snapToGrid w:val="0"/>
              <w:spacing w:before="0" w:after="0" w:line="460" w:lineRule="exact"/>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 针对不同类别、形态、物理化学性质的危险废物，其容器和包装物应满足相应的防渗、防漏、防腐和强度等要求。</w:t>
            </w:r>
          </w:p>
          <w:p>
            <w:pPr>
              <w:pStyle w:val="15"/>
              <w:keepNext w:val="0"/>
              <w:keepLines w:val="0"/>
              <w:pageBreakBefore w:val="0"/>
              <w:widowControl w:val="0"/>
              <w:kinsoku/>
              <w:wordWrap/>
              <w:overflowPunct/>
              <w:topLinePunct w:val="0"/>
              <w:autoSpaceDE/>
              <w:autoSpaceDN/>
              <w:bidi w:val="0"/>
              <w:adjustRightInd w:val="0"/>
              <w:snapToGrid w:val="0"/>
              <w:spacing w:before="0" w:after="0" w:line="460" w:lineRule="exact"/>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③ 硬质容器和包装物及其支护结构堆叠码放时不应有明显变形，无破损泄漏。</w:t>
            </w:r>
          </w:p>
          <w:p>
            <w:pPr>
              <w:pStyle w:val="15"/>
              <w:keepNext w:val="0"/>
              <w:keepLines w:val="0"/>
              <w:pageBreakBefore w:val="0"/>
              <w:widowControl w:val="0"/>
              <w:kinsoku/>
              <w:wordWrap/>
              <w:overflowPunct/>
              <w:topLinePunct w:val="0"/>
              <w:autoSpaceDE/>
              <w:autoSpaceDN/>
              <w:bidi w:val="0"/>
              <w:adjustRightInd w:val="0"/>
              <w:snapToGrid w:val="0"/>
              <w:spacing w:before="0" w:after="0" w:line="460" w:lineRule="exact"/>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④ 柔性容器和包装物堆叠码放时应封口严密，无破损泄漏。</w:t>
            </w:r>
          </w:p>
          <w:p>
            <w:pPr>
              <w:pStyle w:val="15"/>
              <w:keepNext w:val="0"/>
              <w:keepLines w:val="0"/>
              <w:pageBreakBefore w:val="0"/>
              <w:widowControl w:val="0"/>
              <w:kinsoku/>
              <w:wordWrap/>
              <w:overflowPunct/>
              <w:topLinePunct w:val="0"/>
              <w:autoSpaceDE/>
              <w:autoSpaceDN/>
              <w:bidi w:val="0"/>
              <w:adjustRightInd w:val="0"/>
              <w:snapToGrid w:val="0"/>
              <w:spacing w:before="0" w:after="0" w:line="460" w:lineRule="exact"/>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⑤ 使用容器盛装液态、半固态危险废物时，容器内部应留有适当的空间，以适应因温度变化等可能引发的收缩和膨胀，防止其导致容器渗漏或永久变形。</w:t>
            </w:r>
          </w:p>
          <w:p>
            <w:pPr>
              <w:pStyle w:val="15"/>
              <w:keepNext w:val="0"/>
              <w:keepLines w:val="0"/>
              <w:pageBreakBefore w:val="0"/>
              <w:widowControl w:val="0"/>
              <w:kinsoku/>
              <w:wordWrap/>
              <w:overflowPunct/>
              <w:topLinePunct w:val="0"/>
              <w:autoSpaceDE/>
              <w:autoSpaceDN/>
              <w:bidi w:val="0"/>
              <w:adjustRightInd w:val="0"/>
              <w:snapToGrid w:val="0"/>
              <w:spacing w:before="0" w:after="0" w:line="460" w:lineRule="exact"/>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⑥ 容器和包装物外表面应保持清洁。</w:t>
            </w:r>
          </w:p>
          <w:p>
            <w:pPr>
              <w:keepNext w:val="0"/>
              <w:keepLines w:val="0"/>
              <w:pageBreakBefore w:val="0"/>
              <w:widowControl w:val="0"/>
              <w:kinsoku/>
              <w:wordWrap/>
              <w:overflowPunct/>
              <w:topLinePunct w:val="0"/>
              <w:autoSpaceDE/>
              <w:autoSpaceDN/>
              <w:bidi w:val="0"/>
              <w:adjustRightInd/>
              <w:spacing w:line="460" w:lineRule="exact"/>
              <w:ind w:left="0" w:leftChars="0" w:right="0" w:rightChars="0" w:firstLine="218" w:firstLineChars="91"/>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w:t>
            </w:r>
            <w:r>
              <w:rPr>
                <w:rFonts w:hint="default" w:ascii="Times New Roman" w:hAnsi="Times New Roman" w:cs="Times New Roman"/>
                <w:color w:val="auto"/>
                <w:kern w:val="2"/>
                <w:sz w:val="24"/>
                <w:szCs w:val="24"/>
                <w:lang w:val="en-US" w:eastAsia="zh-CN" w:bidi="ar-SA"/>
              </w:rPr>
              <w:t>危废贮存库</w:t>
            </w:r>
            <w:r>
              <w:rPr>
                <w:rFonts w:hint="default" w:ascii="Times New Roman" w:hAnsi="Times New Roman" w:eastAsia="宋体" w:cs="Times New Roman"/>
                <w:color w:val="auto"/>
                <w:kern w:val="2"/>
                <w:sz w:val="24"/>
                <w:szCs w:val="24"/>
                <w:lang w:val="en-US" w:eastAsia="zh-CN" w:bidi="ar-SA"/>
              </w:rPr>
              <w:t>污染控制要求</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① 贮存设施应根据危险废物的类别、数量、形态、物理化学性质和污染防治等要求设置必要的贮存分区，避免不相容的危险废物接触、混合。</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② 贮存设施或贮存分区内地面、墙面裙脚、堵截泄漏的围堰、接触危险废物的隔板和墙体等应采用坚固的材料建造，表面无裂缝。</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480" w:firstLineChars="200"/>
              <w:jc w:val="both"/>
              <w:textAlignment w:val="auto"/>
              <w:rPr>
                <w:rFonts w:hint="default" w:ascii="Times New Roman" w:hAnsi="Times New Roman" w:cs="Times New Roman"/>
                <w:color w:val="auto"/>
                <w:spacing w:val="0"/>
                <w:sz w:val="24"/>
                <w:lang w:val="en-US" w:eastAsia="zh-CN"/>
              </w:rPr>
            </w:pPr>
            <w:r>
              <w:rPr>
                <w:rFonts w:hint="default" w:ascii="Times New Roman" w:hAnsi="Times New Roman" w:eastAsia="宋体" w:cs="Times New Roman"/>
                <w:color w:val="auto"/>
                <w:kern w:val="2"/>
                <w:sz w:val="24"/>
                <w:szCs w:val="24"/>
                <w:lang w:val="en-US" w:eastAsia="zh-CN" w:bidi="ar-SA"/>
              </w:rPr>
              <w:t>③ 贮存设施地面与裙脚应采取表面防渗措施；表面防渗材料应与所接触的物料或污染物相容，可采用抗渗混凝土、高密度聚乙烯膜、钠基膨润土防水毯或其他防渗性能等效的材料</w:t>
            </w:r>
            <w:r>
              <w:rPr>
                <w:rFonts w:hint="default" w:ascii="Times New Roman" w:hAnsi="Times New Roman" w:cs="Times New Roman"/>
                <w:color w:val="auto"/>
                <w:spacing w:val="0"/>
                <w:sz w:val="24"/>
                <w:lang w:val="en-US" w:eastAsia="zh-CN"/>
              </w:rPr>
              <w:t>。贮存的危险废物直接接触地面的，还应进行基础防渗，防渗层为至少1m厚黏土层（渗透系数不大于10</w:t>
            </w:r>
            <w:r>
              <w:rPr>
                <w:rFonts w:hint="default" w:ascii="Times New Roman" w:hAnsi="Times New Roman" w:cs="Times New Roman"/>
                <w:color w:val="auto"/>
                <w:spacing w:val="0"/>
                <w:sz w:val="24"/>
                <w:vertAlign w:val="superscript"/>
                <w:lang w:val="en-US" w:eastAsia="zh-CN"/>
              </w:rPr>
              <w:t>-7</w:t>
            </w:r>
            <w:r>
              <w:rPr>
                <w:rFonts w:hint="default" w:ascii="Times New Roman" w:hAnsi="Times New Roman" w:cs="Times New Roman"/>
                <w:color w:val="auto"/>
                <w:spacing w:val="0"/>
                <w:sz w:val="24"/>
                <w:lang w:val="en-US" w:eastAsia="zh-CN"/>
              </w:rPr>
              <w:t>cm/s），或至少2mm厚高密度聚乙烯膜等人工防渗材料（渗透系数不大于10</w:t>
            </w:r>
            <w:r>
              <w:rPr>
                <w:rFonts w:hint="default" w:ascii="Times New Roman" w:hAnsi="Times New Roman" w:cs="Times New Roman"/>
                <w:color w:val="auto"/>
                <w:spacing w:val="0"/>
                <w:sz w:val="24"/>
                <w:vertAlign w:val="superscript"/>
                <w:lang w:val="en-US" w:eastAsia="zh-CN"/>
              </w:rPr>
              <w:t>-10</w:t>
            </w:r>
            <w:r>
              <w:rPr>
                <w:rFonts w:hint="default" w:ascii="Times New Roman" w:hAnsi="Times New Roman" w:cs="Times New Roman"/>
                <w:color w:val="auto"/>
                <w:spacing w:val="0"/>
                <w:sz w:val="24"/>
                <w:lang w:val="en-US" w:eastAsia="zh-CN"/>
              </w:rPr>
              <w:t>cm/s），或其他防渗性能等效的材料。</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480" w:firstLineChars="200"/>
              <w:jc w:val="both"/>
              <w:textAlignment w:val="auto"/>
              <w:rPr>
                <w:rFonts w:hint="default" w:ascii="Times New Roman" w:hAnsi="Times New Roman" w:cs="Times New Roman"/>
                <w:color w:val="auto"/>
                <w:spacing w:val="0"/>
                <w:sz w:val="24"/>
                <w:lang w:val="en-US" w:eastAsia="zh-CN"/>
              </w:rPr>
            </w:pPr>
            <w:r>
              <w:rPr>
                <w:rFonts w:hint="default" w:ascii="Times New Roman" w:hAnsi="Times New Roman" w:eastAsia="微软雅黑" w:cs="Times New Roman"/>
                <w:color w:val="auto"/>
                <w:spacing w:val="0"/>
                <w:sz w:val="24"/>
                <w:lang w:val="en-US" w:eastAsia="zh-CN"/>
              </w:rPr>
              <w:t xml:space="preserve">④ </w:t>
            </w:r>
            <w:r>
              <w:rPr>
                <w:rFonts w:hint="default" w:ascii="Times New Roman" w:hAnsi="Times New Roman" w:cs="Times New Roman"/>
                <w:color w:val="auto"/>
                <w:spacing w:val="0"/>
                <w:sz w:val="24"/>
                <w:lang w:val="en-US" w:eastAsia="zh-CN"/>
              </w:rPr>
              <w:t>同一贮存设施宜采用相同的防渗、防腐工艺（包括防渗、防腐结构或材料），防渗、防腐材料应覆盖所有可能与废物及其渗滤液、渗漏液等接触的构筑物表面；采用不同防渗、防腐工艺应分别建设贮存分区。</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480" w:firstLineChars="200"/>
              <w:jc w:val="both"/>
              <w:textAlignment w:val="auto"/>
              <w:rPr>
                <w:rFonts w:hint="default" w:ascii="Times New Roman" w:hAnsi="Times New Roman" w:cs="Times New Roman"/>
                <w:color w:val="auto"/>
                <w:spacing w:val="0"/>
                <w:sz w:val="24"/>
                <w:lang w:val="en-US" w:eastAsia="zh-CN"/>
              </w:rPr>
            </w:pPr>
            <w:r>
              <w:rPr>
                <w:rFonts w:hint="default" w:ascii="Times New Roman" w:hAnsi="Times New Roman" w:eastAsia="宋体" w:cs="Times New Roman"/>
                <w:color w:val="auto"/>
                <w:spacing w:val="0"/>
                <w:sz w:val="24"/>
                <w:lang w:val="en-US" w:eastAsia="zh-CN"/>
              </w:rPr>
              <w:t xml:space="preserve">⑤ </w:t>
            </w:r>
            <w:r>
              <w:rPr>
                <w:rFonts w:hint="default" w:ascii="Times New Roman" w:hAnsi="Times New Roman" w:cs="Times New Roman"/>
                <w:color w:val="auto"/>
                <w:spacing w:val="0"/>
                <w:sz w:val="24"/>
                <w:lang w:val="en-US" w:eastAsia="zh-CN"/>
              </w:rPr>
              <w:t>贮存设施应采取技术和管理措施防止无关人员进入。</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480" w:firstLineChars="200"/>
              <w:jc w:val="both"/>
              <w:textAlignment w:val="auto"/>
              <w:rPr>
                <w:rFonts w:hint="default" w:ascii="Times New Roman" w:hAnsi="Times New Roman" w:cs="Times New Roman"/>
                <w:color w:val="auto"/>
                <w:spacing w:val="0"/>
                <w:sz w:val="24"/>
                <w:lang w:val="en-US" w:eastAsia="zh-CN"/>
              </w:rPr>
            </w:pPr>
            <w:r>
              <w:rPr>
                <w:rFonts w:hint="default" w:ascii="Times New Roman" w:hAnsi="Times New Roman" w:eastAsia="宋体" w:cs="Times New Roman"/>
                <w:color w:val="auto"/>
                <w:spacing w:val="0"/>
                <w:sz w:val="24"/>
                <w:lang w:val="en-US" w:eastAsia="zh-CN"/>
              </w:rPr>
              <w:t xml:space="preserve">⑥ </w:t>
            </w:r>
            <w:r>
              <w:rPr>
                <w:rFonts w:hint="default" w:ascii="Times New Roman" w:hAnsi="Times New Roman" w:cs="Times New Roman"/>
                <w:color w:val="auto"/>
                <w:spacing w:val="0"/>
                <w:sz w:val="24"/>
                <w:lang w:val="en-US" w:eastAsia="zh-CN"/>
              </w:rPr>
              <w:t>贮存库内不同贮存分区之间应采取隔离措施。隔离措施可根据危险废物特性采用过道、隔板或隔墙等方式。</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480" w:firstLineChars="200"/>
              <w:jc w:val="both"/>
              <w:textAlignment w:val="auto"/>
              <w:rPr>
                <w:rFonts w:hint="default" w:ascii="Times New Roman" w:hAnsi="Times New Roman" w:cs="Times New Roman"/>
                <w:color w:val="auto"/>
                <w:spacing w:val="0"/>
                <w:sz w:val="24"/>
                <w:lang w:val="en-US" w:eastAsia="zh-CN"/>
              </w:rPr>
            </w:pPr>
            <w:r>
              <w:rPr>
                <w:rFonts w:hint="default" w:ascii="Times New Roman" w:hAnsi="Times New Roman" w:eastAsia="宋体" w:cs="Times New Roman"/>
                <w:color w:val="auto"/>
                <w:spacing w:val="0"/>
                <w:sz w:val="24"/>
                <w:lang w:val="en-US" w:eastAsia="zh-CN"/>
              </w:rPr>
              <w:t xml:space="preserve">⑦ </w:t>
            </w:r>
            <w:r>
              <w:rPr>
                <w:rFonts w:hint="default" w:ascii="Times New Roman" w:hAnsi="Times New Roman" w:cs="Times New Roman"/>
                <w:color w:val="auto"/>
                <w:spacing w:val="0"/>
                <w:sz w:val="24"/>
                <w:lang w:val="en-US" w:eastAsia="zh-CN"/>
              </w:rPr>
              <w:t>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338" w:firstLineChars="141"/>
              <w:jc w:val="both"/>
              <w:textAlignment w:val="auto"/>
              <w:rPr>
                <w:rFonts w:hint="default" w:ascii="Times New Roman" w:hAnsi="Times New Roman" w:eastAsia="宋体" w:cs="Times New Roman"/>
                <w:color w:val="auto"/>
                <w:spacing w:val="0"/>
                <w:sz w:val="24"/>
                <w:lang w:val="en-US" w:eastAsia="zh-CN"/>
              </w:rPr>
            </w:pPr>
            <w:r>
              <w:rPr>
                <w:rFonts w:hint="default" w:ascii="Times New Roman" w:hAnsi="Times New Roman" w:eastAsia="宋体" w:cs="Times New Roman"/>
                <w:color w:val="auto"/>
                <w:spacing w:val="0"/>
                <w:sz w:val="24"/>
                <w:lang w:val="en-US" w:eastAsia="zh-CN"/>
              </w:rPr>
              <w:t>（</w:t>
            </w:r>
            <w:r>
              <w:rPr>
                <w:rFonts w:hint="default" w:ascii="Times New Roman" w:hAnsi="Times New Roman" w:cs="Times New Roman"/>
                <w:color w:val="auto"/>
                <w:spacing w:val="0"/>
                <w:sz w:val="24"/>
                <w:lang w:val="en-US" w:eastAsia="zh-CN"/>
              </w:rPr>
              <w:t>3</w:t>
            </w:r>
            <w:r>
              <w:rPr>
                <w:rFonts w:hint="default" w:ascii="Times New Roman" w:hAnsi="Times New Roman" w:eastAsia="宋体" w:cs="Times New Roman"/>
                <w:color w:val="auto"/>
                <w:spacing w:val="0"/>
                <w:sz w:val="24"/>
                <w:lang w:val="en-US" w:eastAsia="zh-CN"/>
              </w:rPr>
              <w:t>）</w:t>
            </w:r>
            <w:r>
              <w:rPr>
                <w:rFonts w:hint="default" w:ascii="Times New Roman" w:hAnsi="Times New Roman" w:cs="Times New Roman"/>
                <w:color w:val="auto"/>
                <w:spacing w:val="0"/>
                <w:sz w:val="24"/>
                <w:lang w:val="en-US" w:eastAsia="zh-CN"/>
              </w:rPr>
              <w:t>危废贮存库</w:t>
            </w:r>
            <w:r>
              <w:rPr>
                <w:rFonts w:hint="default" w:ascii="Times New Roman" w:hAnsi="Times New Roman" w:eastAsia="宋体" w:cs="Times New Roman"/>
                <w:color w:val="auto"/>
                <w:spacing w:val="0"/>
                <w:sz w:val="24"/>
                <w:lang w:val="en-US" w:eastAsia="zh-CN"/>
              </w:rPr>
              <w:t>运行管理要求</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480" w:firstLineChars="200"/>
              <w:jc w:val="both"/>
              <w:textAlignment w:val="auto"/>
              <w:rPr>
                <w:rFonts w:hint="default" w:ascii="Times New Roman" w:hAnsi="Times New Roman" w:eastAsia="宋体" w:cs="Times New Roman"/>
                <w:color w:val="auto"/>
                <w:spacing w:val="0"/>
                <w:sz w:val="24"/>
                <w:lang w:val="en-US" w:eastAsia="zh-CN"/>
              </w:rPr>
            </w:pPr>
            <w:r>
              <w:rPr>
                <w:rFonts w:hint="default" w:ascii="Times New Roman" w:hAnsi="Times New Roman" w:eastAsia="宋体" w:cs="Times New Roman"/>
                <w:color w:val="auto"/>
                <w:spacing w:val="0"/>
                <w:sz w:val="24"/>
                <w:lang w:val="en-US" w:eastAsia="zh-CN"/>
              </w:rPr>
              <w:t>① 危险废物存入贮存设施前应对危险废物类别和特性与危险废物标签等危险废物识别标志的一致性进行核验，不一致的或类别、特性不明的不应存入。</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480" w:firstLineChars="200"/>
              <w:jc w:val="both"/>
              <w:textAlignment w:val="auto"/>
              <w:rPr>
                <w:rFonts w:hint="default" w:ascii="Times New Roman" w:hAnsi="Times New Roman" w:eastAsia="宋体" w:cs="Times New Roman"/>
                <w:color w:val="auto"/>
                <w:spacing w:val="0"/>
                <w:sz w:val="24"/>
                <w:lang w:val="en-US" w:eastAsia="zh-CN"/>
              </w:rPr>
            </w:pPr>
            <w:r>
              <w:rPr>
                <w:rFonts w:hint="default" w:ascii="Times New Roman" w:hAnsi="Times New Roman" w:eastAsia="宋体" w:cs="Times New Roman"/>
                <w:color w:val="auto"/>
                <w:spacing w:val="0"/>
                <w:sz w:val="24"/>
                <w:lang w:val="en-US" w:eastAsia="zh-CN"/>
              </w:rPr>
              <w:t>② 应定期检查危险废物的贮存状况，及时清理贮存设施地面，更换破损泄漏的危险废物贮存容器和包装物，保证堆存危险废物的防雨、防风、防扬尘等设施功能完好。</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480" w:firstLineChars="200"/>
              <w:jc w:val="both"/>
              <w:textAlignment w:val="auto"/>
              <w:rPr>
                <w:rFonts w:hint="default" w:ascii="Times New Roman" w:hAnsi="Times New Roman" w:eastAsia="宋体" w:cs="Times New Roman"/>
                <w:color w:val="auto"/>
                <w:spacing w:val="0"/>
                <w:sz w:val="24"/>
                <w:lang w:val="en-US" w:eastAsia="zh-CN"/>
              </w:rPr>
            </w:pPr>
            <w:r>
              <w:rPr>
                <w:rFonts w:hint="default" w:ascii="Times New Roman" w:hAnsi="Times New Roman" w:eastAsia="宋体" w:cs="Times New Roman"/>
                <w:color w:val="auto"/>
                <w:spacing w:val="0"/>
                <w:sz w:val="24"/>
                <w:lang w:val="en-US" w:eastAsia="zh-CN"/>
              </w:rPr>
              <w:t>③ 作业设备及车辆等结束作业离开贮存设施时，应对其残留的危险废物进行清理，清理的废物或清洗废水应收集处理。</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480" w:firstLineChars="200"/>
              <w:jc w:val="both"/>
              <w:textAlignment w:val="auto"/>
              <w:rPr>
                <w:rFonts w:hint="default" w:ascii="Times New Roman" w:hAnsi="Times New Roman" w:eastAsia="宋体" w:cs="Times New Roman"/>
                <w:color w:val="auto"/>
                <w:spacing w:val="0"/>
                <w:sz w:val="24"/>
                <w:lang w:val="en-US" w:eastAsia="zh-CN"/>
              </w:rPr>
            </w:pPr>
            <w:r>
              <w:rPr>
                <w:rFonts w:hint="default" w:ascii="Times New Roman" w:hAnsi="Times New Roman" w:eastAsia="宋体" w:cs="Times New Roman"/>
                <w:color w:val="auto"/>
                <w:spacing w:val="0"/>
                <w:sz w:val="24"/>
                <w:lang w:val="en-US" w:eastAsia="zh-CN"/>
              </w:rPr>
              <w:t>④ 贮存设施运行期间，应按国家有关标准和规定建立危险废物管理台账并保存。</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480" w:firstLineChars="200"/>
              <w:jc w:val="both"/>
              <w:textAlignment w:val="auto"/>
              <w:rPr>
                <w:rFonts w:hint="default" w:ascii="Times New Roman" w:hAnsi="Times New Roman" w:eastAsia="宋体" w:cs="Times New Roman"/>
                <w:color w:val="auto"/>
                <w:spacing w:val="0"/>
                <w:sz w:val="24"/>
                <w:lang w:val="en-US" w:eastAsia="zh-CN"/>
              </w:rPr>
            </w:pPr>
            <w:r>
              <w:rPr>
                <w:rFonts w:hint="default" w:ascii="Times New Roman" w:hAnsi="Times New Roman" w:eastAsia="宋体" w:cs="Times New Roman"/>
                <w:color w:val="auto"/>
                <w:spacing w:val="0"/>
                <w:sz w:val="24"/>
                <w:lang w:val="en-US" w:eastAsia="zh-CN"/>
              </w:rPr>
              <w:t>⑤ 贮存设施所有者或运营者应建立贮存设施环境管理制度、管理人员岗位职责制度、设施运行操作制度、人员岗位培训制度等。</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480" w:firstLineChars="200"/>
              <w:jc w:val="both"/>
              <w:textAlignment w:val="auto"/>
              <w:rPr>
                <w:rFonts w:hint="default" w:ascii="Times New Roman" w:hAnsi="Times New Roman" w:eastAsia="宋体" w:cs="Times New Roman"/>
                <w:color w:val="auto"/>
                <w:spacing w:val="0"/>
                <w:sz w:val="24"/>
                <w:lang w:val="en-US" w:eastAsia="zh-CN"/>
              </w:rPr>
            </w:pPr>
            <w:r>
              <w:rPr>
                <w:rFonts w:hint="default" w:ascii="Times New Roman" w:hAnsi="Times New Roman" w:eastAsia="宋体" w:cs="Times New Roman"/>
                <w:color w:val="auto"/>
                <w:spacing w:val="0"/>
                <w:sz w:val="24"/>
                <w:lang w:val="en-US" w:eastAsia="zh-CN"/>
              </w:rPr>
              <w:t>⑥ 贮存设施所有者或运营者应依据国家土壤和地下水污染防治的有关规定，结合贮存设施特点建立土壤和地下水污染隐患排查制度，并定期开展隐患排查；发现隐患应及时采取措施消除隐患，并建立档案。</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480" w:firstLineChars="200"/>
              <w:jc w:val="both"/>
              <w:textAlignment w:val="auto"/>
              <w:rPr>
                <w:rFonts w:hint="default" w:ascii="Times New Roman" w:hAnsi="Times New Roman" w:eastAsia="宋体" w:cs="Times New Roman"/>
                <w:color w:val="auto"/>
                <w:spacing w:val="0"/>
                <w:sz w:val="24"/>
                <w:lang w:val="en-US" w:eastAsia="zh-CN"/>
              </w:rPr>
            </w:pPr>
            <w:r>
              <w:rPr>
                <w:rFonts w:hint="default" w:ascii="Times New Roman" w:hAnsi="Times New Roman" w:eastAsia="宋体" w:cs="Times New Roman"/>
                <w:color w:val="auto"/>
                <w:spacing w:val="0"/>
                <w:sz w:val="24"/>
                <w:lang w:val="en-US" w:eastAsia="zh-CN"/>
              </w:rPr>
              <w:t>⑦贮存设施所有者或运营者应建立贮存设施全部档案，包括设计、施工、验收、运行、监测和环境应急等，应按国家有关档案管理的法律法规进行整理和归档。</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338" w:firstLineChars="141"/>
              <w:jc w:val="both"/>
              <w:textAlignment w:val="auto"/>
              <w:rPr>
                <w:rFonts w:hint="default" w:ascii="Times New Roman" w:hAnsi="Times New Roman" w:eastAsia="宋体" w:cs="Times New Roman"/>
                <w:color w:val="auto"/>
                <w:spacing w:val="0"/>
                <w:sz w:val="24"/>
                <w:lang w:val="en-US" w:eastAsia="zh-CN"/>
              </w:rPr>
            </w:pPr>
            <w:r>
              <w:rPr>
                <w:rFonts w:hint="default" w:ascii="Times New Roman" w:hAnsi="Times New Roman" w:eastAsia="宋体" w:cs="Times New Roman"/>
                <w:color w:val="auto"/>
                <w:spacing w:val="0"/>
                <w:sz w:val="24"/>
                <w:lang w:val="en-US" w:eastAsia="zh-CN"/>
              </w:rPr>
              <w:t>（</w:t>
            </w:r>
            <w:r>
              <w:rPr>
                <w:rFonts w:hint="default" w:ascii="Times New Roman" w:hAnsi="Times New Roman" w:cs="Times New Roman"/>
                <w:color w:val="auto"/>
                <w:spacing w:val="0"/>
                <w:sz w:val="24"/>
                <w:lang w:val="en-US" w:eastAsia="zh-CN"/>
              </w:rPr>
              <w:t>4</w:t>
            </w:r>
            <w:r>
              <w:rPr>
                <w:rFonts w:hint="default" w:ascii="Times New Roman" w:hAnsi="Times New Roman" w:eastAsia="宋体" w:cs="Times New Roman"/>
                <w:color w:val="auto"/>
                <w:spacing w:val="0"/>
                <w:sz w:val="24"/>
                <w:lang w:val="en-US" w:eastAsia="zh-CN"/>
              </w:rPr>
              <w:t>）危险废物的转运</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480" w:firstLineChars="200"/>
              <w:jc w:val="both"/>
              <w:textAlignment w:val="auto"/>
              <w:rPr>
                <w:rFonts w:hint="default" w:ascii="Times New Roman" w:hAnsi="Times New Roman" w:eastAsia="宋体" w:cs="Times New Roman"/>
                <w:color w:val="auto"/>
                <w:spacing w:val="0"/>
                <w:sz w:val="24"/>
                <w:lang w:val="en-US" w:eastAsia="zh-CN"/>
              </w:rPr>
            </w:pPr>
            <w:r>
              <w:rPr>
                <w:rFonts w:hint="default" w:ascii="Times New Roman" w:hAnsi="Times New Roman" w:eastAsia="宋体" w:cs="Times New Roman"/>
                <w:color w:val="auto"/>
                <w:spacing w:val="0"/>
                <w:sz w:val="24"/>
                <w:lang w:val="en-US" w:eastAsia="zh-CN"/>
              </w:rPr>
              <w:t>① 建设单位应安排专人负责将危险废物分类收集后，由专人负责运送至</w:t>
            </w:r>
            <w:r>
              <w:rPr>
                <w:rFonts w:hint="default" w:ascii="Times New Roman" w:hAnsi="Times New Roman" w:cs="Times New Roman"/>
                <w:color w:val="auto"/>
                <w:spacing w:val="0"/>
                <w:sz w:val="24"/>
                <w:lang w:val="en-US" w:eastAsia="zh-CN"/>
              </w:rPr>
              <w:t>危废贮存库</w:t>
            </w:r>
            <w:r>
              <w:rPr>
                <w:rFonts w:hint="default" w:ascii="Times New Roman" w:hAnsi="Times New Roman" w:eastAsia="宋体" w:cs="Times New Roman"/>
                <w:color w:val="auto"/>
                <w:spacing w:val="0"/>
                <w:sz w:val="24"/>
                <w:lang w:val="en-US" w:eastAsia="zh-CN"/>
              </w:rPr>
              <w:t>。盛装危险废物的容器上宜根据容器或包装物的容积按照《危险废物识别标志设置技术规范》（HJ1276-2022）的要求设置合适的标签，并填写完整，暂存间也应设置贮存标志。</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480" w:firstLineChars="200"/>
              <w:jc w:val="both"/>
              <w:textAlignment w:val="auto"/>
              <w:rPr>
                <w:rFonts w:hint="default" w:ascii="Times New Roman" w:hAnsi="Times New Roman" w:eastAsia="宋体" w:cs="Times New Roman"/>
                <w:color w:val="auto"/>
                <w:spacing w:val="0"/>
                <w:sz w:val="24"/>
                <w:lang w:val="en-US" w:eastAsia="zh-CN"/>
              </w:rPr>
            </w:pPr>
            <w:r>
              <w:rPr>
                <w:rFonts w:hint="default" w:ascii="Times New Roman" w:hAnsi="Times New Roman" w:eastAsia="宋体" w:cs="Times New Roman"/>
                <w:color w:val="auto"/>
                <w:spacing w:val="0"/>
                <w:sz w:val="24"/>
                <w:lang w:val="en-US" w:eastAsia="zh-CN"/>
              </w:rPr>
              <w:t xml:space="preserve">② </w:t>
            </w:r>
            <w:r>
              <w:rPr>
                <w:rFonts w:hint="default" w:ascii="Times New Roman" w:hAnsi="Times New Roman" w:eastAsia="宋体" w:cs="Times New Roman"/>
                <w:color w:val="auto"/>
                <w:kern w:val="2"/>
                <w:sz w:val="24"/>
                <w:szCs w:val="24"/>
                <w:highlight w:val="none"/>
                <w:lang w:val="en-US" w:eastAsia="zh-CN"/>
              </w:rPr>
              <w:t>危废贮存库</w:t>
            </w:r>
            <w:r>
              <w:rPr>
                <w:rFonts w:hint="default" w:ascii="Times New Roman" w:hAnsi="Times New Roman" w:eastAsia="宋体" w:cs="Times New Roman"/>
                <w:color w:val="auto"/>
                <w:spacing w:val="0"/>
                <w:sz w:val="24"/>
                <w:lang w:val="en-US" w:eastAsia="zh-CN"/>
              </w:rPr>
              <w:t>不得接收未粘贴上述规定的标签或标签填写不规范的危险废物；</w:t>
            </w:r>
          </w:p>
          <w:p>
            <w:pPr>
              <w:keepNext w:val="0"/>
              <w:keepLines w:val="0"/>
              <w:pageBreakBefore w:val="0"/>
              <w:widowControl w:val="0"/>
              <w:kinsoku/>
              <w:wordWrap/>
              <w:overflowPunct/>
              <w:topLinePunct w:val="0"/>
              <w:autoSpaceDE/>
              <w:autoSpaceDN/>
              <w:bidi w:val="0"/>
              <w:adjustRightInd/>
              <w:snapToGrid w:val="0"/>
              <w:spacing w:line="460" w:lineRule="exact"/>
              <w:ind w:left="0" w:leftChars="0" w:right="0" w:rightChars="0" w:firstLine="480" w:firstLineChars="200"/>
              <w:jc w:val="both"/>
              <w:textAlignment w:val="auto"/>
              <w:rPr>
                <w:rFonts w:hint="default" w:ascii="Times New Roman" w:hAnsi="Times New Roman" w:eastAsia="宋体" w:cs="Times New Roman"/>
                <w:color w:val="auto"/>
                <w:spacing w:val="0"/>
                <w:sz w:val="24"/>
                <w:lang w:val="en-US" w:eastAsia="zh-CN"/>
              </w:rPr>
            </w:pPr>
            <w:r>
              <w:rPr>
                <w:rFonts w:hint="default" w:ascii="Times New Roman" w:hAnsi="Times New Roman" w:eastAsia="宋体" w:cs="Times New Roman"/>
                <w:color w:val="auto"/>
                <w:spacing w:val="0"/>
                <w:sz w:val="24"/>
                <w:lang w:val="en-US" w:eastAsia="zh-CN"/>
              </w:rPr>
              <w:t>③ 在转移危险废物前，建设单位须按照国家有关规定报批危险废物转移计划；经批准后，建设单位应当向当地环境保护行政主管部门申请领取国务院环境保护行政主管部门统一制定的联单。并在危险废物转移前三日内报告当地环境保护行政主管部门，并同时将预期到达时间报告接受地环境保护行政主管部门。</w:t>
            </w:r>
          </w:p>
          <w:p>
            <w:pPr>
              <w:pStyle w:val="2"/>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危险废物标志牌按</w:t>
            </w:r>
            <w:r>
              <w:rPr>
                <w:rFonts w:hint="default" w:ascii="Times New Roman" w:hAnsi="Times New Roman" w:eastAsia="宋体" w:cs="Times New Roman"/>
                <w:color w:val="auto"/>
                <w:sz w:val="24"/>
                <w:szCs w:val="24"/>
                <w:lang w:eastAsia="zh-CN"/>
              </w:rPr>
              <w:t>《危险废物识别标志设置技术规范》</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HJ 1276-2022</w:t>
            </w:r>
            <w:r>
              <w:rPr>
                <w:rFonts w:hint="default" w:ascii="Times New Roman" w:hAnsi="Times New Roman" w:eastAsia="宋体" w:cs="Times New Roman"/>
                <w:color w:val="auto"/>
                <w:sz w:val="24"/>
                <w:szCs w:val="24"/>
              </w:rPr>
              <w:t>）设置。标志牌参考样式见下图：</w:t>
            </w:r>
          </w:p>
          <w:tbl>
            <w:tblPr>
              <w:tblStyle w:val="39"/>
              <w:tblW w:w="7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3"/>
              <w:gridCol w:w="3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5" w:hRule="atLeast"/>
                <w:jc w:val="center"/>
              </w:trPr>
              <w:tc>
                <w:tcPr>
                  <w:tcW w:w="3973" w:type="dxa"/>
                  <w:vAlign w:val="center"/>
                </w:tcPr>
                <w:p>
                  <w:pPr>
                    <w:pStyle w:val="47"/>
                    <w:spacing w:line="240" w:lineRule="auto"/>
                    <w:ind w:left="0" w:leftChars="0" w:firstLine="0" w:firstLineChars="0"/>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drawing>
                      <wp:anchor distT="0" distB="0" distL="114300" distR="114300" simplePos="0" relativeHeight="251662336" behindDoc="0" locked="0" layoutInCell="1" allowOverlap="1">
                        <wp:simplePos x="0" y="0"/>
                        <wp:positionH relativeFrom="column">
                          <wp:posOffset>-68580</wp:posOffset>
                        </wp:positionH>
                        <wp:positionV relativeFrom="paragraph">
                          <wp:posOffset>75565</wp:posOffset>
                        </wp:positionV>
                        <wp:extent cx="2511425" cy="2091055"/>
                        <wp:effectExtent l="0" t="0" r="3175" b="4445"/>
                        <wp:wrapSquare wrapText="bothSides"/>
                        <wp:docPr id="18"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2"/>
                                <pic:cNvPicPr>
                                  <a:picLocks noChangeAspect="1"/>
                                </pic:cNvPicPr>
                              </pic:nvPicPr>
                              <pic:blipFill>
                                <a:blip r:embed="rId25"/>
                                <a:stretch>
                                  <a:fillRect/>
                                </a:stretch>
                              </pic:blipFill>
                              <pic:spPr>
                                <a:xfrm>
                                  <a:off x="0" y="0"/>
                                  <a:ext cx="2511425" cy="2091055"/>
                                </a:xfrm>
                                <a:prstGeom prst="rect">
                                  <a:avLst/>
                                </a:prstGeom>
                                <a:noFill/>
                                <a:ln>
                                  <a:noFill/>
                                </a:ln>
                              </pic:spPr>
                            </pic:pic>
                          </a:graphicData>
                        </a:graphic>
                      </wp:anchor>
                    </w:drawing>
                  </w:r>
                </w:p>
              </w:tc>
              <w:tc>
                <w:tcPr>
                  <w:tcW w:w="3973" w:type="dxa"/>
                  <w:vAlign w:val="center"/>
                </w:tcPr>
                <w:p>
                  <w:pPr>
                    <w:pStyle w:val="47"/>
                    <w:spacing w:line="240" w:lineRule="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危险废物标签印刷的油墨应均匀，图案和文字应清晰、完整。危险废物标签的文字边缘宜加黑色边框，边框宽度不小于1mm，边框外宜留不小于3mm的空白。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973" w:type="dxa"/>
                  <w:vAlign w:val="center"/>
                </w:tcPr>
                <w:p>
                  <w:pPr>
                    <w:pStyle w:val="47"/>
                    <w:spacing w:line="240" w:lineRule="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drawing>
                      <wp:anchor distT="0" distB="0" distL="114300" distR="114300" simplePos="0" relativeHeight="251663360" behindDoc="0" locked="0" layoutInCell="1" allowOverlap="1">
                        <wp:simplePos x="0" y="0"/>
                        <wp:positionH relativeFrom="column">
                          <wp:posOffset>-97155</wp:posOffset>
                        </wp:positionH>
                        <wp:positionV relativeFrom="paragraph">
                          <wp:posOffset>104775</wp:posOffset>
                        </wp:positionV>
                        <wp:extent cx="2524125" cy="2081530"/>
                        <wp:effectExtent l="0" t="0" r="9525" b="13970"/>
                        <wp:wrapSquare wrapText="bothSides"/>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6"/>
                                <a:stretch>
                                  <a:fillRect/>
                                </a:stretch>
                              </pic:blipFill>
                              <pic:spPr>
                                <a:xfrm>
                                  <a:off x="0" y="0"/>
                                  <a:ext cx="2524125" cy="2081530"/>
                                </a:xfrm>
                                <a:prstGeom prst="rect">
                                  <a:avLst/>
                                </a:prstGeom>
                                <a:noFill/>
                                <a:ln>
                                  <a:noFill/>
                                </a:ln>
                              </pic:spPr>
                            </pic:pic>
                          </a:graphicData>
                        </a:graphic>
                      </wp:anchor>
                    </w:drawing>
                  </w:r>
                </w:p>
              </w:tc>
              <w:tc>
                <w:tcPr>
                  <w:tcW w:w="3973" w:type="dxa"/>
                  <w:vAlign w:val="center"/>
                </w:tcPr>
                <w:p>
                  <w:pPr>
                    <w:pStyle w:val="47"/>
                    <w:spacing w:line="240" w:lineRule="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危险废物分区标志背景色应采用黄色，RGB颜色值为（255,255,0）。废物种类信息应采用醒目的橘黄色，RGB颜色值为（255,150,0）。字体颜色为黑色，RGB颜色值为（0,0,0）。危险废物分区标志的字体宜采用黑体字，其中“危险废物贮存分区标志”字样应加粗放大并居中显示。“危险废物贮存分区标志”字样与其他信息宜加黑色分界线区分，分界线的宽度不小于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973" w:type="dxa"/>
                  <w:vAlign w:val="center"/>
                </w:tcPr>
                <w:p>
                  <w:pPr>
                    <w:pStyle w:val="47"/>
                    <w:spacing w:line="240" w:lineRule="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drawing>
                      <wp:anchor distT="0" distB="0" distL="114300" distR="114300" simplePos="0" relativeHeight="251661312" behindDoc="0" locked="0" layoutInCell="1" allowOverlap="1">
                        <wp:simplePos x="0" y="0"/>
                        <wp:positionH relativeFrom="column">
                          <wp:posOffset>12065</wp:posOffset>
                        </wp:positionH>
                        <wp:positionV relativeFrom="paragraph">
                          <wp:posOffset>193675</wp:posOffset>
                        </wp:positionV>
                        <wp:extent cx="2513330" cy="1690370"/>
                        <wp:effectExtent l="0" t="0" r="1270" b="5080"/>
                        <wp:wrapSquare wrapText="bothSides"/>
                        <wp:docPr id="17"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3"/>
                                <pic:cNvPicPr>
                                  <a:picLocks noChangeAspect="1"/>
                                </pic:cNvPicPr>
                              </pic:nvPicPr>
                              <pic:blipFill>
                                <a:blip r:embed="rId27"/>
                                <a:stretch>
                                  <a:fillRect/>
                                </a:stretch>
                              </pic:blipFill>
                              <pic:spPr>
                                <a:xfrm>
                                  <a:off x="0" y="0"/>
                                  <a:ext cx="2513330" cy="1690370"/>
                                </a:xfrm>
                                <a:prstGeom prst="rect">
                                  <a:avLst/>
                                </a:prstGeom>
                                <a:noFill/>
                                <a:ln>
                                  <a:noFill/>
                                </a:ln>
                              </pic:spPr>
                            </pic:pic>
                          </a:graphicData>
                        </a:graphic>
                      </wp:anchor>
                    </w:drawing>
                  </w:r>
                </w:p>
              </w:tc>
              <w:tc>
                <w:tcPr>
                  <w:tcW w:w="3973" w:type="dxa"/>
                  <w:vAlign w:val="center"/>
                </w:tcPr>
                <w:p>
                  <w:pPr>
                    <w:pStyle w:val="47"/>
                    <w:spacing w:line="240" w:lineRule="auto"/>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lang w:val="en-US" w:eastAsia="zh-CN"/>
                    </w:rPr>
                    <w:t>危险废物设施标志背景颜色为黄色，RGB 颜色值为（255,255,0；字体和边框颜色为黑色，RGB颜色值为（0,0,0）；危险废物设施标志字体应采用黑体字，其中危险废物设施类型的字样应加粗放大并居中显示。危险废物贮存设施标志宜采用坚固耐用的材料（如1.5mm～2mm冷轧钢板），并做搪瓷处理或贴膜处理。柱式标志牌的立柱可采用38×4无缝钢管或其他坚固耐用的材料，并经过防腐处理。三角形警告性图形与其他信息间宜加黑色分界线区分，分界线的宽度宜不小于3mm。危险废物贮存设施标志可采用横版或竖版的形式</w:t>
                  </w:r>
                  <w:r>
                    <w:rPr>
                      <w:rFonts w:hint="default" w:ascii="Times New Roman" w:hAnsi="Times New Roman" w:eastAsia="宋体" w:cs="Times New Roman"/>
                      <w:color w:val="auto"/>
                      <w:sz w:val="20"/>
                      <w:szCs w:val="20"/>
                      <w:lang w:eastAsia="zh-CN"/>
                    </w:rPr>
                    <w:t>。</w:t>
                  </w:r>
                </w:p>
              </w:tc>
            </w:tr>
          </w:tbl>
          <w:p>
            <w:pPr>
              <w:keepNext w:val="0"/>
              <w:keepLines w:val="0"/>
              <w:pageBreakBefore w:val="0"/>
              <w:widowControl w:val="0"/>
              <w:kinsoku/>
              <w:wordWrap/>
              <w:overflowPunct/>
              <w:topLinePunct w:val="0"/>
              <w:autoSpaceDE/>
              <w:autoSpaceDN/>
              <w:bidi w:val="0"/>
              <w:adjustRightInd w:val="0"/>
              <w:snapToGrid w:val="0"/>
              <w:spacing w:line="460" w:lineRule="exact"/>
              <w:jc w:val="left"/>
              <w:textAlignment w:val="auto"/>
              <w:rPr>
                <w:rFonts w:hint="default" w:ascii="Times New Roman" w:hAnsi="Times New Roman" w:cs="Times New Roman"/>
                <w:b/>
                <w:bCs/>
                <w:iCs/>
                <w:color w:val="auto"/>
                <w:kern w:val="11"/>
                <w:sz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460" w:lineRule="exact"/>
              <w:jc w:val="left"/>
              <w:textAlignment w:val="auto"/>
              <w:rPr>
                <w:rFonts w:hint="default" w:ascii="Times New Roman" w:hAnsi="Times New Roman" w:cs="Times New Roman"/>
                <w:b/>
                <w:bCs/>
                <w:iCs/>
                <w:color w:val="auto"/>
                <w:kern w:val="11"/>
                <w:sz w:val="24"/>
              </w:rPr>
            </w:pPr>
            <w:r>
              <w:rPr>
                <w:rFonts w:hint="default" w:ascii="Times New Roman" w:hAnsi="Times New Roman" w:cs="Times New Roman"/>
                <w:b/>
                <w:bCs/>
                <w:iCs/>
                <w:color w:val="auto"/>
                <w:kern w:val="11"/>
                <w:sz w:val="24"/>
                <w:lang w:val="en-US" w:eastAsia="zh-CN"/>
              </w:rPr>
              <w:t>4.5</w:t>
            </w:r>
            <w:r>
              <w:rPr>
                <w:rFonts w:hint="default" w:ascii="Times New Roman" w:hAnsi="Times New Roman" w:cs="Times New Roman"/>
                <w:b/>
                <w:bCs/>
                <w:iCs/>
                <w:color w:val="auto"/>
                <w:kern w:val="11"/>
                <w:sz w:val="24"/>
              </w:rPr>
              <w:t>一般固废管理要求</w:t>
            </w:r>
          </w:p>
          <w:p>
            <w:pPr>
              <w:keepNext w:val="0"/>
              <w:keepLines w:val="0"/>
              <w:pageBreakBefore w:val="0"/>
              <w:widowControl w:val="0"/>
              <w:kinsoku/>
              <w:wordWrap/>
              <w:overflowPunct/>
              <w:topLinePunct w:val="0"/>
              <w:autoSpaceDE/>
              <w:autoSpaceDN/>
              <w:bidi w:val="0"/>
              <w:spacing w:line="460" w:lineRule="exact"/>
              <w:ind w:firstLine="480" w:firstLineChars="200"/>
              <w:textAlignment w:val="auto"/>
              <w:rPr>
                <w:rFonts w:hint="default" w:ascii="Times New Roman" w:hAnsi="Times New Roman" w:eastAsia="宋体" w:cs="Times New Roman"/>
                <w:color w:val="auto"/>
                <w:spacing w:val="4"/>
                <w:sz w:val="24"/>
                <w:highlight w:val="none"/>
                <w:lang w:eastAsia="zh-CN"/>
              </w:rPr>
            </w:pPr>
            <w:r>
              <w:rPr>
                <w:rFonts w:hint="default" w:ascii="Times New Roman" w:hAnsi="Times New Roman" w:cs="Times New Roman"/>
                <w:color w:val="auto"/>
                <w:sz w:val="24"/>
                <w:highlight w:val="none"/>
              </w:rPr>
              <w:t>①</w:t>
            </w:r>
            <w:r>
              <w:rPr>
                <w:rFonts w:hint="eastAsia" w:ascii="Times New Roman" w:cs="Times New Roman"/>
                <w:color w:val="auto"/>
                <w:spacing w:val="4"/>
                <w:sz w:val="24"/>
                <w:highlight w:val="none"/>
                <w:lang w:val="en-US" w:eastAsia="zh-CN"/>
              </w:rPr>
              <w:t>库房南侧设置</w:t>
            </w:r>
            <w:r>
              <w:rPr>
                <w:rFonts w:hint="default" w:ascii="Times New Roman" w:hAnsi="Times New Roman" w:cs="Times New Roman"/>
                <w:color w:val="auto"/>
                <w:sz w:val="24"/>
                <w:highlight w:val="none"/>
              </w:rPr>
              <w:t>一般固废暂存</w:t>
            </w:r>
            <w:r>
              <w:rPr>
                <w:rFonts w:hint="default" w:ascii="Times New Roman" w:hAnsi="Times New Roman" w:cs="Times New Roman"/>
                <w:color w:val="auto"/>
                <w:sz w:val="24"/>
                <w:highlight w:val="none"/>
                <w:lang w:val="en-US" w:eastAsia="zh-CN"/>
              </w:rPr>
              <w:t>区</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面积为10m</w:t>
            </w:r>
            <w:r>
              <w:rPr>
                <w:rFonts w:hint="default" w:ascii="Times New Roman" w:hAnsi="Times New Roman" w:cs="Times New Roman"/>
                <w:color w:val="auto"/>
                <w:sz w:val="24"/>
                <w:highlight w:val="none"/>
                <w:vertAlign w:val="superscript"/>
                <w:lang w:val="en-US" w:eastAsia="zh-CN"/>
              </w:rPr>
              <w:t>2</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pacing w:val="4"/>
                <w:sz w:val="24"/>
                <w:highlight w:val="none"/>
              </w:rPr>
              <w:t>本项目产生</w:t>
            </w:r>
            <w:r>
              <w:rPr>
                <w:rFonts w:hint="default" w:ascii="Times New Roman" w:hAnsi="Times New Roman" w:cs="Times New Roman"/>
                <w:color w:val="auto"/>
                <w:spacing w:val="4"/>
                <w:sz w:val="24"/>
                <w:highlight w:val="none"/>
                <w:lang w:val="en-US" w:eastAsia="zh-CN"/>
              </w:rPr>
              <w:t>的一般固废</w:t>
            </w:r>
            <w:r>
              <w:rPr>
                <w:rFonts w:hint="default" w:ascii="Times New Roman" w:hAnsi="Times New Roman" w:cs="Times New Roman"/>
                <w:color w:val="auto"/>
                <w:sz w:val="24"/>
                <w:highlight w:val="none"/>
              </w:rPr>
              <w:t>经收集后暂存于一般固废暂存区</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一般固废暂存区</w:t>
            </w:r>
            <w:r>
              <w:rPr>
                <w:rFonts w:hint="default" w:ascii="Times New Roman" w:hAnsi="Times New Roman" w:cs="Times New Roman"/>
                <w:bCs/>
                <w:color w:val="auto"/>
                <w:sz w:val="24"/>
                <w:highlight w:val="none"/>
                <w:lang w:eastAsia="zh-CN"/>
              </w:rPr>
              <w:t>应满足相应防渗漏、防雨淋、防扬尘等环境保护要求</w:t>
            </w:r>
            <w:r>
              <w:rPr>
                <w:rFonts w:hint="default" w:ascii="Times New Roman" w:hAnsi="Times New Roman" w:cs="Times New Roman"/>
                <w:color w:val="auto"/>
                <w:spacing w:val="4"/>
                <w:sz w:val="24"/>
                <w:highlight w:val="none"/>
              </w:rPr>
              <w:t>。</w:t>
            </w:r>
          </w:p>
          <w:p>
            <w:pPr>
              <w:keepNext w:val="0"/>
              <w:keepLines w:val="0"/>
              <w:pageBreakBefore w:val="0"/>
              <w:widowControl w:val="0"/>
              <w:kinsoku/>
              <w:wordWrap/>
              <w:overflowPunct/>
              <w:topLinePunct w:val="0"/>
              <w:autoSpaceDE/>
              <w:autoSpaceDN/>
              <w:bidi w:val="0"/>
              <w:spacing w:line="460" w:lineRule="exact"/>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②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禁止向生活垃圾收集设施中投放工业固体废物。</w:t>
            </w:r>
          </w:p>
          <w:p>
            <w:pPr>
              <w:keepNext w:val="0"/>
              <w:keepLines w:val="0"/>
              <w:pageBreakBefore w:val="0"/>
              <w:widowControl w:val="0"/>
              <w:kinsoku/>
              <w:wordWrap/>
              <w:overflowPunct/>
              <w:topLinePunct w:val="0"/>
              <w:autoSpaceDE/>
              <w:autoSpaceDN/>
              <w:bidi w:val="0"/>
              <w:adjustRightInd w:val="0"/>
              <w:snapToGrid w:val="0"/>
              <w:spacing w:line="460" w:lineRule="exact"/>
              <w:ind w:firstLine="480" w:firstLineChars="200"/>
              <w:jc w:val="left"/>
              <w:textAlignment w:val="auto"/>
              <w:rPr>
                <w:rFonts w:hint="default" w:ascii="Times New Roman" w:hAnsi="Times New Roman" w:cs="Times New Roman"/>
                <w:b/>
                <w:bCs/>
                <w:iCs/>
                <w:color w:val="auto"/>
                <w:kern w:val="11"/>
                <w:sz w:val="24"/>
              </w:rPr>
            </w:pPr>
            <w:r>
              <w:rPr>
                <w:rFonts w:hint="default" w:ascii="Times New Roman" w:hAnsi="Times New Roman" w:cs="Times New Roman"/>
                <w:color w:val="auto"/>
                <w:sz w:val="24"/>
              </w:rPr>
              <w:t>③委托他人运输、利用、处置工业固体废物的，应当对受托方的主体资格和技术能力进行核实，依法签订书面合同，在合同中约定污染防治要求。受托方运输、利用、处置工业固体废物，应当依照有关法律法规的规定和合同约定履行污染防治要求，并将运输、利用、处置情况告知产生工业固体废物的单位。</w:t>
            </w:r>
          </w:p>
          <w:p>
            <w:pPr>
              <w:pStyle w:val="47"/>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rFonts w:hint="default" w:ascii="Times New Roman" w:hAnsi="Times New Roman" w:eastAsia="宋体" w:cs="Times New Roman"/>
                <w:b/>
                <w:bCs/>
                <w:color w:val="auto"/>
                <w:sz w:val="24"/>
                <w:szCs w:val="24"/>
              </w:rPr>
            </w:pPr>
            <w:r>
              <w:rPr>
                <w:rFonts w:hint="default" w:ascii="Times New Roman" w:hAnsi="Times New Roman" w:cs="Times New Roman"/>
                <w:b/>
                <w:bCs/>
                <w:color w:val="auto"/>
                <w:sz w:val="24"/>
                <w:szCs w:val="24"/>
                <w:lang w:val="en-US" w:eastAsia="zh-CN"/>
              </w:rPr>
              <w:t>4.6</w:t>
            </w:r>
            <w:r>
              <w:rPr>
                <w:rFonts w:hint="default" w:ascii="Times New Roman" w:hAnsi="Times New Roman" w:eastAsia="宋体" w:cs="Times New Roman"/>
                <w:b/>
                <w:bCs/>
                <w:color w:val="auto"/>
                <w:sz w:val="24"/>
                <w:szCs w:val="24"/>
              </w:rPr>
              <w:t>影响分析</w:t>
            </w:r>
          </w:p>
          <w:p>
            <w:pPr>
              <w:pStyle w:val="85"/>
              <w:keepNext w:val="0"/>
              <w:keepLines w:val="0"/>
              <w:pageBreakBefore w:val="0"/>
              <w:widowControl w:val="0"/>
              <w:kinsoku/>
              <w:wordWrap/>
              <w:overflowPunct/>
              <w:topLinePunct w:val="0"/>
              <w:autoSpaceDE/>
              <w:autoSpaceDN/>
              <w:bidi w:val="0"/>
              <w:adjustRightInd/>
              <w:snapToGrid/>
              <w:spacing w:line="460" w:lineRule="exact"/>
              <w:ind w:left="0" w:leftChars="0" w:right="0" w:rightChars="0"/>
              <w:jc w:val="both"/>
              <w:textAlignment w:val="auto"/>
              <w:outlineLvl w:val="9"/>
              <w:rPr>
                <w:rFonts w:hint="default" w:ascii="Times New Roman" w:hAnsi="Times New Roman" w:eastAsia="宋体" w:cs="Times New Roman"/>
                <w:color w:val="auto"/>
                <w:sz w:val="24"/>
                <w:highlight w:val="none"/>
                <w:lang w:val="en-GB" w:eastAsia="zh-CN"/>
              </w:rPr>
            </w:pPr>
            <w:r>
              <w:rPr>
                <w:rFonts w:hint="default" w:ascii="Times New Roman" w:hAnsi="Times New Roman" w:eastAsia="宋体" w:cs="Times New Roman"/>
                <w:color w:val="auto"/>
                <w:sz w:val="24"/>
                <w:highlight w:val="none"/>
                <w:lang w:val="en-US" w:eastAsia="zh-CN"/>
              </w:rPr>
              <w:t>综上所述，本项目产生的各类固体废物都按环评提出的要求进行合理处置和综合利用，不会对周围环境产生影响。</w:t>
            </w:r>
          </w:p>
          <w:p>
            <w:pPr>
              <w:pStyle w:val="85"/>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textAlignment w:val="auto"/>
              <w:rPr>
                <w:rFonts w:hint="default" w:ascii="Times New Roman" w:hAnsi="Times New Roman" w:eastAsia="宋体" w:cs="Times New Roman"/>
                <w:color w:val="auto"/>
                <w:spacing w:val="4"/>
                <w:sz w:val="24"/>
                <w:highlight w:val="none"/>
                <w:lang w:val="en-US" w:eastAsia="zh-CN"/>
              </w:rPr>
            </w:pPr>
            <w:r>
              <w:rPr>
                <w:rFonts w:hint="default" w:ascii="Times New Roman" w:hAnsi="Times New Roman" w:cs="Times New Roman"/>
                <w:b/>
                <w:bCs/>
                <w:color w:val="auto"/>
                <w:sz w:val="24"/>
                <w:highlight w:val="none"/>
                <w:lang w:val="en-US" w:eastAsia="zh-CN"/>
              </w:rPr>
              <w:t>五</w:t>
            </w:r>
            <w:r>
              <w:rPr>
                <w:rFonts w:hint="default" w:ascii="Times New Roman" w:hAnsi="Times New Roman" w:cs="Times New Roman"/>
                <w:b/>
                <w:bCs/>
                <w:color w:val="auto"/>
                <w:sz w:val="24"/>
                <w:highlight w:val="none"/>
              </w:rPr>
              <w:t>、土壤</w:t>
            </w:r>
            <w:r>
              <w:rPr>
                <w:rFonts w:hint="default" w:ascii="Times New Roman" w:hAnsi="Times New Roman" w:cs="Times New Roman"/>
                <w:b/>
                <w:bCs/>
                <w:color w:val="auto"/>
                <w:sz w:val="24"/>
                <w:highlight w:val="none"/>
                <w:lang w:eastAsia="zh-CN"/>
              </w:rPr>
              <w:t>、地下水</w:t>
            </w:r>
            <w:r>
              <w:rPr>
                <w:rFonts w:hint="default" w:ascii="Times New Roman" w:hAnsi="Times New Roman" w:cs="Times New Roman"/>
                <w:b/>
                <w:bCs/>
                <w:color w:val="auto"/>
                <w:sz w:val="24"/>
                <w:highlight w:val="none"/>
                <w:lang w:val="en-US" w:eastAsia="zh-CN"/>
              </w:rPr>
              <w:t>影响分析</w:t>
            </w:r>
          </w:p>
          <w:p>
            <w:pPr>
              <w:keepNext w:val="0"/>
              <w:keepLines w:val="0"/>
              <w:pageBreakBefore w:val="0"/>
              <w:widowControl w:val="0"/>
              <w:kinsoku/>
              <w:wordWrap/>
              <w:overflowPunct/>
              <w:topLinePunct w:val="0"/>
              <w:autoSpaceDE/>
              <w:autoSpaceDN/>
              <w:bidi w:val="0"/>
              <w:adjustRightInd/>
              <w:snapToGrid/>
              <w:spacing w:line="460" w:lineRule="exact"/>
              <w:ind w:left="0" w:leftChars="0" w:firstLine="338" w:firstLineChars="141"/>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（1）污染物类型及污染途径</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经对本项目生产过程的全面分析，本项目运营期可能对地下水、土壤造成污染</w:t>
            </w:r>
            <w:r>
              <w:rPr>
                <w:rFonts w:hint="default" w:ascii="Times New Roman" w:hAnsi="Times New Roman" w:cs="Times New Roman"/>
                <w:color w:val="auto"/>
                <w:sz w:val="24"/>
                <w:szCs w:val="24"/>
                <w:highlight w:val="none"/>
                <w:lang w:val="en-US" w:eastAsia="zh-CN"/>
              </w:rPr>
              <w:t>源、污染物类型和污染途径主要见下表：</w:t>
            </w:r>
          </w:p>
          <w:p>
            <w:pPr>
              <w:pStyle w:val="89"/>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表4-1</w:t>
            </w:r>
            <w:r>
              <w:rPr>
                <w:rFonts w:hint="eastAsia" w:ascii="Times New Roman" w:cs="Times New Roman"/>
                <w:b/>
                <w:bCs/>
                <w:color w:val="auto"/>
                <w:kern w:val="2"/>
                <w:sz w:val="21"/>
                <w:szCs w:val="21"/>
                <w:highlight w:val="none"/>
                <w:lang w:val="en-US" w:eastAsia="zh-CN" w:bidi="ar-SA"/>
              </w:rPr>
              <w:t>4</w:t>
            </w:r>
            <w:r>
              <w:rPr>
                <w:rFonts w:hint="default" w:ascii="Times New Roman" w:hAnsi="Times New Roman" w:eastAsia="宋体" w:cs="Times New Roman"/>
                <w:b/>
                <w:bCs/>
                <w:color w:val="auto"/>
                <w:kern w:val="2"/>
                <w:sz w:val="21"/>
                <w:szCs w:val="21"/>
                <w:highlight w:val="none"/>
                <w:lang w:val="en-US" w:eastAsia="zh-CN" w:bidi="ar-SA"/>
              </w:rPr>
              <w:t xml:space="preserve">  项目地下水、土壤污染源、污染物类型和污染途径</w:t>
            </w:r>
          </w:p>
          <w:tbl>
            <w:tblPr>
              <w:tblStyle w:val="38"/>
              <w:tblW w:w="802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777"/>
              <w:gridCol w:w="1963"/>
              <w:gridCol w:w="1963"/>
              <w:gridCol w:w="16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5" w:type="dxa"/>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序号</w:t>
                  </w:r>
                </w:p>
              </w:tc>
              <w:tc>
                <w:tcPr>
                  <w:tcW w:w="1777" w:type="dxa"/>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污染源</w:t>
                  </w:r>
                </w:p>
              </w:tc>
              <w:tc>
                <w:tcPr>
                  <w:tcW w:w="1963" w:type="dxa"/>
                  <w:vMerge w:val="restart"/>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污染物类型</w:t>
                  </w:r>
                </w:p>
              </w:tc>
              <w:tc>
                <w:tcPr>
                  <w:tcW w:w="3594" w:type="dxa"/>
                  <w:gridSpan w:val="2"/>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污染途径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5"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p>
              </w:tc>
              <w:tc>
                <w:tcPr>
                  <w:tcW w:w="1777"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p>
              </w:tc>
              <w:tc>
                <w:tcPr>
                  <w:tcW w:w="1963" w:type="dxa"/>
                  <w:vMerge w:val="continue"/>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p>
              </w:tc>
              <w:tc>
                <w:tcPr>
                  <w:tcW w:w="1963"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地下水</w:t>
                  </w:r>
                </w:p>
              </w:tc>
              <w:tc>
                <w:tcPr>
                  <w:tcW w:w="1631"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土壤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5"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1</w:t>
                  </w:r>
                </w:p>
              </w:tc>
              <w:tc>
                <w:tcPr>
                  <w:tcW w:w="1777"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危废贮存库废机油泄漏</w:t>
                  </w:r>
                </w:p>
              </w:tc>
              <w:tc>
                <w:tcPr>
                  <w:tcW w:w="1963"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重金属、持久性有机物污染物</w:t>
                  </w:r>
                </w:p>
              </w:tc>
              <w:tc>
                <w:tcPr>
                  <w:tcW w:w="1963"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危废贮存库内废机油泄漏下渗，污染地下水</w:t>
                  </w:r>
                </w:p>
              </w:tc>
              <w:tc>
                <w:tcPr>
                  <w:tcW w:w="1631"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垂直入渗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5"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2</w:t>
                  </w:r>
                </w:p>
              </w:tc>
              <w:tc>
                <w:tcPr>
                  <w:tcW w:w="1777"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eastAsia" w:ascii="Times New Roman" w:cs="Times New Roman"/>
                      <w:b w:val="0"/>
                      <w:bCs/>
                      <w:color w:val="auto"/>
                      <w:sz w:val="21"/>
                      <w:szCs w:val="21"/>
                      <w:highlight w:val="none"/>
                      <w:lang w:val="en-US" w:eastAsia="zh-CN" w:bidi="ar-SA"/>
                    </w:rPr>
                    <w:t>污水处理站</w:t>
                  </w:r>
                </w:p>
              </w:tc>
              <w:tc>
                <w:tcPr>
                  <w:tcW w:w="1963"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COD</w:t>
                  </w:r>
                  <w:r>
                    <w:rPr>
                      <w:rFonts w:hint="default" w:ascii="Times New Roman" w:hAnsi="Times New Roman" w:eastAsia="宋体" w:cs="Times New Roman"/>
                      <w:b w:val="0"/>
                      <w:bCs/>
                      <w:color w:val="auto"/>
                      <w:sz w:val="21"/>
                      <w:szCs w:val="21"/>
                      <w:highlight w:val="none"/>
                      <w:vertAlign w:val="subscript"/>
                      <w:lang w:val="en-US" w:eastAsia="zh-CN" w:bidi="ar-SA"/>
                    </w:rPr>
                    <w:t>Cr</w:t>
                  </w:r>
                  <w:r>
                    <w:rPr>
                      <w:rFonts w:hint="default" w:ascii="Times New Roman" w:hAnsi="Times New Roman" w:eastAsia="宋体" w:cs="Times New Roman"/>
                      <w:b w:val="0"/>
                      <w:bCs/>
                      <w:color w:val="auto"/>
                      <w:sz w:val="21"/>
                      <w:szCs w:val="21"/>
                      <w:highlight w:val="none"/>
                      <w:lang w:val="en-US" w:eastAsia="zh-CN" w:bidi="ar-SA"/>
                    </w:rPr>
                    <w:t>、BOD</w:t>
                  </w:r>
                  <w:r>
                    <w:rPr>
                      <w:rFonts w:hint="default" w:ascii="Times New Roman" w:hAnsi="Times New Roman" w:eastAsia="宋体" w:cs="Times New Roman"/>
                      <w:b w:val="0"/>
                      <w:bCs/>
                      <w:color w:val="auto"/>
                      <w:sz w:val="21"/>
                      <w:szCs w:val="21"/>
                      <w:highlight w:val="none"/>
                      <w:vertAlign w:val="subscript"/>
                      <w:lang w:val="en-US" w:eastAsia="zh-CN" w:bidi="ar-SA"/>
                    </w:rPr>
                    <w:t>5</w:t>
                  </w:r>
                  <w:r>
                    <w:rPr>
                      <w:rFonts w:hint="default" w:ascii="Times New Roman" w:hAnsi="Times New Roman" w:eastAsia="宋体" w:cs="Times New Roman"/>
                      <w:b w:val="0"/>
                      <w:bCs/>
                      <w:color w:val="auto"/>
                      <w:sz w:val="21"/>
                      <w:szCs w:val="21"/>
                      <w:highlight w:val="none"/>
                      <w:lang w:val="en-US" w:eastAsia="zh-CN" w:bidi="ar-SA"/>
                    </w:rPr>
                    <w:t>、SS、NH</w:t>
                  </w:r>
                  <w:r>
                    <w:rPr>
                      <w:rFonts w:hint="default" w:ascii="Times New Roman" w:hAnsi="Times New Roman" w:eastAsia="宋体" w:cs="Times New Roman"/>
                      <w:b w:val="0"/>
                      <w:bCs/>
                      <w:color w:val="auto"/>
                      <w:sz w:val="21"/>
                      <w:szCs w:val="21"/>
                      <w:highlight w:val="none"/>
                      <w:vertAlign w:val="subscript"/>
                      <w:lang w:val="en-US" w:eastAsia="zh-CN" w:bidi="ar-SA"/>
                    </w:rPr>
                    <w:t>3</w:t>
                  </w:r>
                  <w:r>
                    <w:rPr>
                      <w:rFonts w:hint="default" w:ascii="Times New Roman" w:hAnsi="Times New Roman" w:eastAsia="宋体" w:cs="Times New Roman"/>
                      <w:b w:val="0"/>
                      <w:bCs/>
                      <w:color w:val="auto"/>
                      <w:sz w:val="21"/>
                      <w:szCs w:val="21"/>
                      <w:highlight w:val="none"/>
                      <w:lang w:val="en-US" w:eastAsia="zh-CN" w:bidi="ar-SA"/>
                    </w:rPr>
                    <w:t>-N、LAS</w:t>
                  </w:r>
                  <w:r>
                    <w:rPr>
                      <w:rFonts w:hint="eastAsia" w:ascii="Times New Roman" w:cs="Times New Roman"/>
                      <w:b w:val="0"/>
                      <w:bCs/>
                      <w:color w:val="auto"/>
                      <w:sz w:val="21"/>
                      <w:szCs w:val="21"/>
                      <w:highlight w:val="none"/>
                      <w:lang w:val="en-US" w:eastAsia="zh-CN" w:bidi="ar-SA"/>
                    </w:rPr>
                    <w:t>等</w:t>
                  </w:r>
                </w:p>
              </w:tc>
              <w:tc>
                <w:tcPr>
                  <w:tcW w:w="1963"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污水泄漏下渗，污染地下水</w:t>
                  </w:r>
                </w:p>
              </w:tc>
              <w:tc>
                <w:tcPr>
                  <w:tcW w:w="1631"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垂直入渗</w:t>
                  </w:r>
                </w:p>
              </w:tc>
            </w:tr>
          </w:tbl>
          <w:p>
            <w:pPr>
              <w:keepNext w:val="0"/>
              <w:keepLines w:val="0"/>
              <w:pageBreakBefore w:val="0"/>
              <w:widowControl w:val="0"/>
              <w:kinsoku/>
              <w:wordWrap/>
              <w:overflowPunct/>
              <w:topLinePunct w:val="0"/>
              <w:autoSpaceDE/>
              <w:autoSpaceDN/>
              <w:bidi w:val="0"/>
              <w:adjustRightInd/>
              <w:snapToGrid/>
              <w:spacing w:line="460" w:lineRule="exact"/>
              <w:ind w:left="0" w:leftChars="0" w:firstLine="338" w:firstLineChars="141"/>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（2）预防措施</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按照“源头控制、分区防控、污染监控、应急响应”的原则进行地下水、土壤污染预防。在做好防止和减少跑冒滴漏等源头防治措施的基础上，进行分区防控，具体如下：</w:t>
            </w:r>
          </w:p>
          <w:p>
            <w:pPr>
              <w:keepNext w:val="0"/>
              <w:keepLines w:val="0"/>
              <w:pageBreakBefore w:val="0"/>
              <w:widowControl w:val="0"/>
              <w:kinsoku/>
              <w:wordWrap/>
              <w:overflowPunct/>
              <w:topLinePunct w:val="0"/>
              <w:autoSpaceDE/>
              <w:autoSpaceDN/>
              <w:bidi w:val="0"/>
              <w:adjustRightInd/>
              <w:snapToGrid/>
              <w:spacing w:line="460" w:lineRule="exact"/>
              <w:ind w:left="0" w:leftChars="0" w:firstLine="420" w:firstLineChars="175"/>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①重</w:t>
            </w:r>
            <w:r>
              <w:rPr>
                <w:rFonts w:hint="default" w:ascii="Times New Roman" w:hAnsi="Times New Roman" w:eastAsia="宋体" w:cs="Times New Roman"/>
                <w:color w:val="auto"/>
                <w:kern w:val="2"/>
                <w:sz w:val="24"/>
                <w:szCs w:val="24"/>
                <w:highlight w:val="none"/>
                <w:lang w:val="en-US" w:eastAsia="zh-CN"/>
              </w:rPr>
              <w:t>点防渗区</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重点防渗区主要是：危废贮存库</w:t>
            </w:r>
            <w:r>
              <w:rPr>
                <w:rFonts w:hint="default" w:ascii="Times New Roman" w:hAnsi="Times New Roman" w:cs="Times New Roman"/>
                <w:color w:val="auto"/>
                <w:kern w:val="2"/>
                <w:sz w:val="24"/>
                <w:szCs w:val="24"/>
                <w:highlight w:val="none"/>
                <w:lang w:val="en-US" w:eastAsia="zh-CN"/>
              </w:rPr>
              <w:t>、污水处理站。</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cs="Times New Roman"/>
                <w:color w:val="auto"/>
                <w:kern w:val="2"/>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rPr>
              <w:t>重点防渗区的防渗要求为：</w:t>
            </w:r>
            <w:r>
              <w:rPr>
                <w:rFonts w:hint="default" w:ascii="Times New Roman" w:hAnsi="Times New Roman" w:cs="Times New Roman"/>
                <w:color w:val="auto"/>
                <w:kern w:val="2"/>
                <w:sz w:val="24"/>
                <w:szCs w:val="24"/>
                <w:highlight w:val="none"/>
                <w:lang w:val="en-US" w:eastAsia="zh-CN"/>
              </w:rPr>
              <w:t>基础必须防渗，防渗层为至少1m厚粘土层（渗透系数≤</w:t>
            </w:r>
            <w:r>
              <w:rPr>
                <w:rFonts w:hint="default" w:ascii="Times New Roman" w:hAnsi="Times New Roman" w:cs="Times New Roman"/>
                <w:color w:val="auto"/>
                <w:kern w:val="2"/>
                <w:sz w:val="24"/>
                <w:szCs w:val="24"/>
                <w:highlight w:val="none"/>
              </w:rPr>
              <w:t>10</w:t>
            </w:r>
            <w:r>
              <w:rPr>
                <w:rFonts w:hint="default" w:ascii="Times New Roman" w:hAnsi="Times New Roman" w:cs="Times New Roman"/>
                <w:color w:val="auto"/>
                <w:kern w:val="2"/>
                <w:sz w:val="24"/>
                <w:szCs w:val="24"/>
                <w:highlight w:val="none"/>
                <w:vertAlign w:val="superscript"/>
              </w:rPr>
              <w:t>-</w:t>
            </w:r>
            <w:r>
              <w:rPr>
                <w:rFonts w:hint="default" w:ascii="Times New Roman" w:hAnsi="Times New Roman" w:cs="Times New Roman"/>
                <w:color w:val="auto"/>
                <w:kern w:val="2"/>
                <w:sz w:val="24"/>
                <w:szCs w:val="24"/>
                <w:highlight w:val="none"/>
                <w:vertAlign w:val="superscript"/>
                <w:lang w:val="en-US" w:eastAsia="zh-CN"/>
              </w:rPr>
              <w:t>7</w:t>
            </w:r>
            <w:r>
              <w:rPr>
                <w:rFonts w:hint="default" w:ascii="Times New Roman" w:hAnsi="Times New Roman" w:cs="Times New Roman"/>
                <w:color w:val="auto"/>
                <w:kern w:val="2"/>
                <w:sz w:val="24"/>
                <w:szCs w:val="24"/>
                <w:highlight w:val="none"/>
              </w:rPr>
              <w:t>cm/s</w:t>
            </w:r>
            <w:r>
              <w:rPr>
                <w:rFonts w:hint="default" w:ascii="Times New Roman" w:hAnsi="Times New Roman" w:cs="Times New Roman"/>
                <w:color w:val="auto"/>
                <w:kern w:val="2"/>
                <w:sz w:val="24"/>
                <w:szCs w:val="24"/>
                <w:highlight w:val="none"/>
                <w:lang w:val="en-US" w:eastAsia="zh-CN"/>
              </w:rPr>
              <w:t>）或2mm厚的高密度聚乙烯，或至少2mm厚的其他人工材料，</w:t>
            </w:r>
            <w:r>
              <w:rPr>
                <w:rFonts w:hint="default" w:ascii="Times New Roman" w:hAnsi="Times New Roman" w:cs="Times New Roman"/>
                <w:color w:val="auto"/>
                <w:kern w:val="2"/>
                <w:sz w:val="24"/>
                <w:szCs w:val="24"/>
                <w:highlight w:val="none"/>
              </w:rPr>
              <w:t>防渗</w:t>
            </w:r>
            <w:r>
              <w:rPr>
                <w:rFonts w:hint="default" w:ascii="Times New Roman" w:hAnsi="Times New Roman" w:cs="Times New Roman"/>
                <w:color w:val="auto"/>
                <w:kern w:val="2"/>
                <w:sz w:val="24"/>
                <w:szCs w:val="24"/>
                <w:highlight w:val="none"/>
                <w:lang w:eastAsia="zh-CN"/>
              </w:rPr>
              <w:t>系数小于</w:t>
            </w:r>
            <w:r>
              <w:rPr>
                <w:rFonts w:hint="default" w:ascii="Times New Roman" w:hAnsi="Times New Roman" w:cs="Times New Roman"/>
                <w:color w:val="auto"/>
                <w:kern w:val="2"/>
                <w:sz w:val="24"/>
                <w:szCs w:val="24"/>
                <w:highlight w:val="none"/>
              </w:rPr>
              <w:t>10</w:t>
            </w:r>
            <w:r>
              <w:rPr>
                <w:rFonts w:hint="default" w:ascii="Times New Roman" w:hAnsi="Times New Roman" w:cs="Times New Roman"/>
                <w:color w:val="auto"/>
                <w:kern w:val="2"/>
                <w:sz w:val="24"/>
                <w:szCs w:val="24"/>
                <w:highlight w:val="none"/>
                <w:vertAlign w:val="superscript"/>
              </w:rPr>
              <w:t>-</w:t>
            </w:r>
            <w:r>
              <w:rPr>
                <w:rFonts w:hint="default" w:ascii="Times New Roman" w:hAnsi="Times New Roman" w:cs="Times New Roman"/>
                <w:color w:val="auto"/>
                <w:kern w:val="2"/>
                <w:sz w:val="24"/>
                <w:szCs w:val="24"/>
                <w:highlight w:val="none"/>
                <w:vertAlign w:val="superscript"/>
                <w:lang w:val="en-US" w:eastAsia="zh-CN"/>
              </w:rPr>
              <w:t>10</w:t>
            </w:r>
            <w:r>
              <w:rPr>
                <w:rFonts w:hint="default" w:ascii="Times New Roman" w:hAnsi="Times New Roman" w:cs="Times New Roman"/>
                <w:color w:val="auto"/>
                <w:kern w:val="2"/>
                <w:sz w:val="24"/>
                <w:szCs w:val="24"/>
                <w:highlight w:val="none"/>
              </w:rPr>
              <w:t>cm/s</w:t>
            </w:r>
            <w:r>
              <w:rPr>
                <w:rFonts w:hint="default" w:ascii="Times New Roman" w:hAnsi="Times New Roman" w:cs="Times New Roman"/>
                <w:color w:val="auto"/>
                <w:kern w:val="2"/>
                <w:sz w:val="24"/>
                <w:szCs w:val="24"/>
                <w:highlight w:val="none"/>
                <w:lang w:eastAsia="zh-CN"/>
              </w:rPr>
              <w:t>。</w:t>
            </w:r>
          </w:p>
          <w:p>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left"/>
              <w:textAlignment w:val="auto"/>
              <w:rPr>
                <w:rFonts w:hint="default" w:ascii="Times New Roman" w:hAnsi="Times New Roman"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②</w:t>
            </w:r>
            <w:r>
              <w:rPr>
                <w:rFonts w:hint="default" w:ascii="Times New Roman" w:hAnsi="Times New Roman" w:cs="Times New Roman"/>
                <w:color w:val="auto"/>
                <w:kern w:val="2"/>
                <w:sz w:val="24"/>
                <w:szCs w:val="24"/>
                <w:highlight w:val="none"/>
                <w:lang w:val="en-US" w:eastAsia="zh-CN"/>
              </w:rPr>
              <w:t>一般防渗区</w:t>
            </w:r>
          </w:p>
          <w:p>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cs="Times New Roman"/>
                <w:color w:val="auto"/>
                <w:kern w:val="2"/>
                <w:sz w:val="24"/>
                <w:szCs w:val="24"/>
                <w:highlight w:val="none"/>
                <w:lang w:val="en-US" w:eastAsia="zh-CN"/>
              </w:rPr>
              <w:t>生产车间、锅炉房。</w:t>
            </w:r>
          </w:p>
          <w:p>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cs="Times New Roman"/>
                <w:color w:val="auto"/>
                <w:kern w:val="2"/>
                <w:sz w:val="24"/>
                <w:szCs w:val="24"/>
                <w:highlight w:val="none"/>
                <w:lang w:val="en-US" w:eastAsia="zh-CN"/>
              </w:rPr>
              <w:t>③</w:t>
            </w:r>
            <w:r>
              <w:rPr>
                <w:rFonts w:hint="default" w:ascii="Times New Roman" w:hAnsi="Times New Roman" w:eastAsia="宋体" w:cs="Times New Roman"/>
                <w:color w:val="auto"/>
                <w:kern w:val="2"/>
                <w:sz w:val="24"/>
                <w:szCs w:val="24"/>
                <w:highlight w:val="none"/>
                <w:lang w:val="en-US" w:eastAsia="zh-CN"/>
              </w:rPr>
              <w:t>简单防渗区</w:t>
            </w:r>
          </w:p>
          <w:p>
            <w:pPr>
              <w:keepNext w:val="0"/>
              <w:keepLines w:val="0"/>
              <w:pageBreakBefore w:val="0"/>
              <w:widowControl w:val="0"/>
              <w:kinsoku/>
              <w:wordWrap/>
              <w:overflowPunct/>
              <w:topLinePunct w:val="0"/>
              <w:autoSpaceDE/>
              <w:autoSpaceDN/>
              <w:bidi w:val="0"/>
              <w:adjustRightInd/>
              <w:snapToGrid/>
              <w:spacing w:line="460" w:lineRule="exact"/>
              <w:ind w:left="476" w:leftChars="140" w:firstLine="0" w:firstLineChars="0"/>
              <w:textAlignment w:val="auto"/>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cs="Times New Roman"/>
                <w:color w:val="auto"/>
                <w:kern w:val="2"/>
                <w:sz w:val="24"/>
                <w:szCs w:val="24"/>
                <w:highlight w:val="none"/>
                <w:lang w:val="en-US" w:eastAsia="zh-CN"/>
              </w:rPr>
              <w:t>办公区及其他区域</w:t>
            </w:r>
            <w:r>
              <w:rPr>
                <w:rFonts w:hint="default" w:ascii="Times New Roman" w:hAnsi="Times New Roman" w:eastAsia="宋体" w:cs="Times New Roman"/>
                <w:color w:val="auto"/>
                <w:kern w:val="2"/>
                <w:sz w:val="24"/>
                <w:szCs w:val="24"/>
                <w:highlight w:val="none"/>
                <w:lang w:val="en-US" w:eastAsia="zh-CN"/>
              </w:rPr>
              <w:t>为简单防渗区</w:t>
            </w:r>
            <w:r>
              <w:rPr>
                <w:rFonts w:hint="default" w:ascii="Times New Roman" w:hAnsi="Times New Roman" w:cs="Times New Roman"/>
                <w:color w:val="auto"/>
                <w:kern w:val="2"/>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rPr>
              <w:t>地面硬化即可。</w:t>
            </w:r>
          </w:p>
          <w:p>
            <w:pPr>
              <w:keepNext w:val="0"/>
              <w:keepLines w:val="0"/>
              <w:pageBreakBefore w:val="0"/>
              <w:widowControl w:val="0"/>
              <w:kinsoku/>
              <w:wordWrap/>
              <w:overflowPunct/>
              <w:topLinePunct w:val="0"/>
              <w:autoSpaceDE/>
              <w:autoSpaceDN/>
              <w:bidi w:val="0"/>
              <w:adjustRightInd/>
              <w:snapToGrid/>
              <w:spacing w:line="460" w:lineRule="exact"/>
              <w:ind w:left="476" w:leftChars="140" w:firstLine="0" w:firstLineChars="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kern w:val="2"/>
                <w:sz w:val="24"/>
                <w:szCs w:val="24"/>
                <w:highlight w:val="none"/>
                <w:lang w:val="en-US" w:eastAsia="zh-CN"/>
              </w:rPr>
              <w:t>本项目防渗分区见下表。</w:t>
            </w:r>
          </w:p>
          <w:p>
            <w:pPr>
              <w:pStyle w:val="8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2" w:firstLineChars="200"/>
              <w:jc w:val="center"/>
              <w:textAlignment w:val="auto"/>
              <w:outlineLvl w:val="9"/>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
                <w:sz w:val="21"/>
                <w:szCs w:val="21"/>
                <w:highlight w:val="none"/>
                <w:lang w:val="en-US" w:eastAsia="zh-CN" w:bidi="ar-SA"/>
              </w:rPr>
              <w:t>表4-</w:t>
            </w:r>
            <w:r>
              <w:rPr>
                <w:rFonts w:hint="default" w:ascii="Times New Roman" w:hAnsi="Times New Roman" w:cs="Times New Roman"/>
                <w:b/>
                <w:bCs/>
                <w:color w:val="auto"/>
                <w:kern w:val="2"/>
                <w:sz w:val="21"/>
                <w:szCs w:val="21"/>
                <w:highlight w:val="none"/>
                <w:lang w:val="en-US" w:eastAsia="zh-CN" w:bidi="ar-SA"/>
              </w:rPr>
              <w:t>1</w:t>
            </w:r>
            <w:r>
              <w:rPr>
                <w:rFonts w:hint="eastAsia" w:ascii="Times New Roman" w:cs="Times New Roman"/>
                <w:b/>
                <w:bCs/>
                <w:color w:val="auto"/>
                <w:kern w:val="2"/>
                <w:sz w:val="21"/>
                <w:szCs w:val="21"/>
                <w:highlight w:val="none"/>
                <w:lang w:val="en-US" w:eastAsia="zh-CN" w:bidi="ar-SA"/>
              </w:rPr>
              <w:t>5</w:t>
            </w:r>
            <w:r>
              <w:rPr>
                <w:rFonts w:hint="default" w:ascii="Times New Roman" w:hAnsi="Times New Roman" w:eastAsia="宋体" w:cs="Times New Roman"/>
                <w:b/>
                <w:bCs/>
                <w:color w:val="auto"/>
                <w:kern w:val="2"/>
                <w:sz w:val="21"/>
                <w:szCs w:val="21"/>
                <w:highlight w:val="none"/>
                <w:lang w:val="en-US" w:eastAsia="zh-CN" w:bidi="ar-SA"/>
              </w:rPr>
              <w:t xml:space="preserve">  项目主要防渗分区</w:t>
            </w:r>
          </w:p>
          <w:tbl>
            <w:tblPr>
              <w:tblStyle w:val="38"/>
              <w:tblW w:w="802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2425"/>
              <w:gridCol w:w="1266"/>
              <w:gridCol w:w="38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43"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val="en-US" w:eastAsia="zh-CN" w:bidi="ar-SA"/>
                    </w:rPr>
                    <w:t>序号</w:t>
                  </w:r>
                </w:p>
              </w:tc>
              <w:tc>
                <w:tcPr>
                  <w:tcW w:w="2425"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val="en-US" w:eastAsia="zh-CN" w:bidi="ar-SA"/>
                    </w:rPr>
                    <w:t>名称</w:t>
                  </w:r>
                </w:p>
              </w:tc>
              <w:tc>
                <w:tcPr>
                  <w:tcW w:w="1266"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val="en-US" w:eastAsia="zh-CN" w:bidi="ar-SA"/>
                    </w:rPr>
                    <w:t>防渗</w:t>
                  </w:r>
                  <w:r>
                    <w:rPr>
                      <w:rFonts w:hint="default" w:ascii="Times New Roman" w:hAnsi="Times New Roman" w:cs="Times New Roman"/>
                      <w:b/>
                      <w:bCs w:val="0"/>
                      <w:color w:val="auto"/>
                      <w:sz w:val="21"/>
                      <w:szCs w:val="21"/>
                      <w:highlight w:val="none"/>
                      <w:lang w:val="en-US" w:eastAsia="zh-CN" w:bidi="ar-SA"/>
                    </w:rPr>
                    <w:t>分区</w:t>
                  </w:r>
                </w:p>
              </w:tc>
              <w:tc>
                <w:tcPr>
                  <w:tcW w:w="3895"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highlight w:val="none"/>
                      <w:lang w:val="en-US" w:eastAsia="zh-CN" w:bidi="ar-SA"/>
                    </w:rPr>
                  </w:pPr>
                  <w:r>
                    <w:rPr>
                      <w:rFonts w:hint="default" w:ascii="Times New Roman" w:hAnsi="Times New Roman" w:eastAsia="宋体" w:cs="Times New Roman"/>
                      <w:b/>
                      <w:bCs w:val="0"/>
                      <w:color w:val="auto"/>
                      <w:sz w:val="21"/>
                      <w:szCs w:val="21"/>
                      <w:highlight w:val="none"/>
                      <w:lang w:val="en-US" w:eastAsia="zh-CN" w:bidi="ar-SA"/>
                    </w:rPr>
                    <w:t>具体措施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43"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1</w:t>
                  </w:r>
                </w:p>
              </w:tc>
              <w:tc>
                <w:tcPr>
                  <w:tcW w:w="2425"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rPr>
                    <w:t>危废贮存库</w:t>
                  </w:r>
                  <w:r>
                    <w:rPr>
                      <w:rFonts w:hint="default" w:ascii="Times New Roman" w:hAnsi="Times New Roman" w:cs="Times New Roman"/>
                      <w:b w:val="0"/>
                      <w:bCs/>
                      <w:color w:val="auto"/>
                      <w:kern w:val="2"/>
                      <w:sz w:val="21"/>
                      <w:szCs w:val="21"/>
                      <w:highlight w:val="none"/>
                      <w:lang w:val="en-US" w:eastAsia="zh-CN"/>
                    </w:rPr>
                    <w:t>、</w:t>
                  </w:r>
                  <w:r>
                    <w:rPr>
                      <w:rFonts w:hint="eastAsia" w:ascii="Times New Roman" w:cs="Times New Roman"/>
                      <w:b w:val="0"/>
                      <w:bCs/>
                      <w:color w:val="auto"/>
                      <w:sz w:val="21"/>
                      <w:szCs w:val="21"/>
                      <w:highlight w:val="none"/>
                      <w:lang w:val="en-US" w:eastAsia="zh-CN" w:bidi="ar-SA"/>
                    </w:rPr>
                    <w:t>污水处理站</w:t>
                  </w:r>
                </w:p>
              </w:tc>
              <w:tc>
                <w:tcPr>
                  <w:tcW w:w="1266" w:type="dxa"/>
                  <w:tcBorders>
                    <w:tl2br w:val="nil"/>
                    <w:tr2bl w:val="nil"/>
                  </w:tcBorders>
                  <w:vAlign w:val="center"/>
                </w:tcPr>
                <w:p>
                  <w:pPr>
                    <w:widowControl/>
                    <w:spacing w:line="240" w:lineRule="auto"/>
                    <w:jc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重点防渗区</w:t>
                  </w:r>
                </w:p>
              </w:tc>
              <w:tc>
                <w:tcPr>
                  <w:tcW w:w="3895" w:type="dxa"/>
                  <w:tcBorders>
                    <w:tl2br w:val="nil"/>
                    <w:tr2bl w:val="nil"/>
                  </w:tcBorders>
                  <w:vAlign w:val="center"/>
                </w:tcPr>
                <w:p>
                  <w:pPr>
                    <w:widowControl/>
                    <w:spacing w:line="240" w:lineRule="auto"/>
                    <w:jc w:val="both"/>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bidi="ar"/>
                    </w:rPr>
                    <w:t>基础黏土夯实，地面底层为水泥砂浆，上面铺设为2mm厚高密度聚乙烯防渗布，最后以防渗混凝土做地面，地面及裙脚防腐防渗处理，渗透系数≤1×10</w:t>
                  </w:r>
                  <w:r>
                    <w:rPr>
                      <w:rFonts w:hint="default" w:ascii="Times New Roman" w:hAnsi="Times New Roman" w:eastAsia="宋体" w:cs="Times New Roman"/>
                      <w:b w:val="0"/>
                      <w:bCs/>
                      <w:color w:val="auto"/>
                      <w:kern w:val="0"/>
                      <w:sz w:val="21"/>
                      <w:szCs w:val="21"/>
                      <w:vertAlign w:val="superscript"/>
                      <w:lang w:bidi="ar"/>
                    </w:rPr>
                    <w:t>-10</w:t>
                  </w:r>
                  <w:r>
                    <w:rPr>
                      <w:rFonts w:hint="default" w:ascii="Times New Roman" w:hAnsi="Times New Roman" w:eastAsia="宋体" w:cs="Times New Roman"/>
                      <w:b w:val="0"/>
                      <w:bCs/>
                      <w:color w:val="auto"/>
                      <w:kern w:val="0"/>
                      <w:sz w:val="21"/>
                      <w:szCs w:val="21"/>
                      <w:lang w:bidi="ar"/>
                    </w:rPr>
                    <w:t>cm/s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86" w:hRule="atLeast"/>
                <w:jc w:val="center"/>
              </w:trPr>
              <w:tc>
                <w:tcPr>
                  <w:tcW w:w="443"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2</w:t>
                  </w:r>
                </w:p>
              </w:tc>
              <w:tc>
                <w:tcPr>
                  <w:tcW w:w="2425"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生产车间、锅炉房</w:t>
                  </w:r>
                </w:p>
              </w:tc>
              <w:tc>
                <w:tcPr>
                  <w:tcW w:w="1266" w:type="dxa"/>
                  <w:tcBorders>
                    <w:tl2br w:val="nil"/>
                    <w:tr2bl w:val="nil"/>
                  </w:tcBorders>
                  <w:vAlign w:val="center"/>
                </w:tcPr>
                <w:p>
                  <w:pPr>
                    <w:wordWrap w:val="0"/>
                    <w:spacing w:line="240" w:lineRule="auto"/>
                    <w:jc w:val="center"/>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rPr>
                    <w:t>一般防渗区</w:t>
                  </w:r>
                </w:p>
              </w:tc>
              <w:tc>
                <w:tcPr>
                  <w:tcW w:w="3895" w:type="dxa"/>
                  <w:tcBorders>
                    <w:tl2br w:val="nil"/>
                    <w:tr2bl w:val="nil"/>
                  </w:tcBorders>
                  <w:vAlign w:val="center"/>
                </w:tcPr>
                <w:p>
                  <w:pPr>
                    <w:widowControl/>
                    <w:spacing w:line="240" w:lineRule="auto"/>
                    <w:jc w:val="both"/>
                    <w:rPr>
                      <w:rFonts w:hint="default" w:ascii="Times New Roman" w:hAnsi="Times New Roman" w:cs="Times New Roman"/>
                      <w:b w:val="0"/>
                      <w:bCs/>
                      <w:color w:val="auto"/>
                      <w:kern w:val="2"/>
                      <w:sz w:val="21"/>
                      <w:szCs w:val="21"/>
                      <w:highlight w:val="none"/>
                      <w:lang w:val="en-US" w:eastAsia="zh-CN"/>
                    </w:rPr>
                  </w:pPr>
                  <w:r>
                    <w:rPr>
                      <w:rFonts w:hint="default" w:ascii="Times New Roman" w:hAnsi="Times New Roman" w:cs="Times New Roman"/>
                      <w:b w:val="0"/>
                      <w:bCs/>
                      <w:color w:val="auto"/>
                      <w:kern w:val="0"/>
                      <w:sz w:val="21"/>
                      <w:szCs w:val="21"/>
                      <w:lang w:bidi="ar"/>
                    </w:rPr>
                    <w:t>等效粘土防渗层Mb≥1.5m，K≤1×10</w:t>
                  </w:r>
                  <w:r>
                    <w:rPr>
                      <w:rFonts w:hint="default" w:ascii="Times New Roman" w:hAnsi="Times New Roman" w:cs="Times New Roman"/>
                      <w:b w:val="0"/>
                      <w:bCs/>
                      <w:color w:val="auto"/>
                      <w:kern w:val="0"/>
                      <w:sz w:val="21"/>
                      <w:szCs w:val="21"/>
                      <w:vertAlign w:val="superscript"/>
                      <w:lang w:bidi="ar"/>
                    </w:rPr>
                    <w:t>-7</w:t>
                  </w:r>
                  <w:r>
                    <w:rPr>
                      <w:rFonts w:hint="default" w:ascii="Times New Roman" w:hAnsi="Times New Roman" w:cs="Times New Roman"/>
                      <w:b w:val="0"/>
                      <w:bCs/>
                      <w:color w:val="auto"/>
                      <w:kern w:val="0"/>
                      <w:sz w:val="21"/>
                      <w:szCs w:val="21"/>
                      <w:lang w:bidi="ar"/>
                    </w:rPr>
                    <w:t>cm/s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43"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3</w:t>
                  </w:r>
                </w:p>
              </w:tc>
              <w:tc>
                <w:tcPr>
                  <w:tcW w:w="2425"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办公区及其他区域</w:t>
                  </w:r>
                </w:p>
              </w:tc>
              <w:tc>
                <w:tcPr>
                  <w:tcW w:w="1266"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bidi="ar-SA"/>
                    </w:rPr>
                    <w:t>简单防渗区</w:t>
                  </w:r>
                </w:p>
              </w:tc>
              <w:tc>
                <w:tcPr>
                  <w:tcW w:w="3895"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color w:val="auto"/>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bidi="ar-SA"/>
                    </w:rPr>
                    <w:t>一般</w:t>
                  </w:r>
                  <w:r>
                    <w:rPr>
                      <w:rFonts w:hint="default" w:ascii="Times New Roman" w:hAnsi="Times New Roman" w:eastAsia="宋体" w:cs="Times New Roman"/>
                      <w:b w:val="0"/>
                      <w:bCs/>
                      <w:color w:val="auto"/>
                      <w:sz w:val="21"/>
                      <w:szCs w:val="21"/>
                      <w:highlight w:val="none"/>
                      <w:lang w:val="en-US" w:eastAsia="zh-CN" w:bidi="ar-SA"/>
                    </w:rPr>
                    <w:t>地面硬化</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38" w:firstLineChars="141"/>
              <w:jc w:val="both"/>
              <w:textAlignment w:val="auto"/>
              <w:outlineLvl w:val="9"/>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（3）影响分析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综上所述，本项目按环评要求进行实施</w:t>
            </w:r>
            <w:r>
              <w:rPr>
                <w:rFonts w:hint="default" w:ascii="Times New Roman" w:hAnsi="Times New Roman" w:cs="Times New Roman"/>
                <w:color w:val="auto"/>
                <w:sz w:val="24"/>
                <w:szCs w:val="24"/>
                <w:highlight w:val="none"/>
                <w:lang w:val="en-US" w:eastAsia="zh-CN"/>
              </w:rPr>
              <w:t>分区防渗</w:t>
            </w:r>
            <w:r>
              <w:rPr>
                <w:rFonts w:hint="default" w:ascii="Times New Roman" w:hAnsi="Times New Roman" w:eastAsia="宋体" w:cs="Times New Roman"/>
                <w:color w:val="auto"/>
                <w:sz w:val="24"/>
                <w:szCs w:val="24"/>
                <w:highlight w:val="none"/>
                <w:lang w:val="en-US" w:eastAsia="zh-CN"/>
              </w:rPr>
              <w:t>，可防止污染物渗漏进入</w:t>
            </w:r>
            <w:r>
              <w:rPr>
                <w:rFonts w:hint="default" w:ascii="Times New Roman" w:hAnsi="Times New Roman" w:cs="Times New Roman"/>
                <w:color w:val="auto"/>
                <w:sz w:val="24"/>
                <w:szCs w:val="24"/>
                <w:highlight w:val="none"/>
                <w:lang w:val="en-US" w:eastAsia="zh-CN"/>
              </w:rPr>
              <w:t>地下水、</w:t>
            </w:r>
            <w:r>
              <w:rPr>
                <w:rFonts w:hint="default" w:ascii="Times New Roman" w:hAnsi="Times New Roman" w:eastAsia="宋体" w:cs="Times New Roman"/>
                <w:color w:val="auto"/>
                <w:sz w:val="24"/>
                <w:szCs w:val="24"/>
                <w:highlight w:val="none"/>
                <w:lang w:val="en-US" w:eastAsia="zh-CN"/>
              </w:rPr>
              <w:t>土壤环境，不会对区域</w:t>
            </w:r>
            <w:r>
              <w:rPr>
                <w:rFonts w:hint="default" w:ascii="Times New Roman" w:hAnsi="Times New Roman" w:cs="Times New Roman"/>
                <w:color w:val="auto"/>
                <w:sz w:val="24"/>
                <w:szCs w:val="24"/>
                <w:highlight w:val="none"/>
                <w:lang w:val="en-US" w:eastAsia="zh-CN"/>
              </w:rPr>
              <w:t>地下水、</w:t>
            </w:r>
            <w:r>
              <w:rPr>
                <w:rFonts w:hint="default" w:ascii="Times New Roman" w:hAnsi="Times New Roman" w:eastAsia="宋体" w:cs="Times New Roman"/>
                <w:color w:val="auto"/>
                <w:sz w:val="24"/>
                <w:szCs w:val="24"/>
                <w:highlight w:val="none"/>
                <w:lang w:val="en-US" w:eastAsia="zh-CN"/>
              </w:rPr>
              <w:t>土壤环境造成污染。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六、环境风险</w:t>
            </w:r>
            <w:r>
              <w:rPr>
                <w:rFonts w:hint="default" w:ascii="Times New Roman" w:hAnsi="Times New Roman" w:cs="Times New Roman"/>
                <w:b/>
                <w:bCs/>
                <w:color w:val="auto"/>
                <w:sz w:val="24"/>
                <w:highlight w:val="none"/>
                <w:lang w:val="en-US" w:eastAsia="zh-CN"/>
              </w:rPr>
              <w:t>影响分析</w:t>
            </w:r>
          </w:p>
          <w:p>
            <w:pPr>
              <w:keepNext w:val="0"/>
              <w:keepLines w:val="0"/>
              <w:pageBreakBefore w:val="0"/>
              <w:widowControl w:val="0"/>
              <w:kinsoku/>
              <w:wordWrap/>
              <w:overflowPunct/>
              <w:topLinePunct w:val="0"/>
              <w:bidi w:val="0"/>
              <w:spacing w:line="360" w:lineRule="auto"/>
              <w:textAlignment w:val="auto"/>
              <w:rPr>
                <w:rFonts w:hint="default" w:ascii="Times New Roman" w:hAnsi="Times New Roman" w:eastAsia="宋体" w:cs="Times New Roman"/>
                <w:b/>
                <w:bCs/>
                <w:color w:val="auto"/>
                <w:kern w:val="2"/>
                <w:sz w:val="24"/>
                <w:szCs w:val="24"/>
                <w:highlight w:val="none"/>
                <w:lang w:val="en-US" w:eastAsia="zh-CN"/>
              </w:rPr>
            </w:pPr>
            <w:r>
              <w:rPr>
                <w:rFonts w:hint="default" w:ascii="Times New Roman" w:hAnsi="Times New Roman" w:cs="Times New Roman"/>
                <w:b/>
                <w:bCs/>
                <w:color w:val="auto"/>
                <w:kern w:val="2"/>
                <w:sz w:val="24"/>
                <w:szCs w:val="24"/>
                <w:highlight w:val="none"/>
                <w:lang w:val="en-US" w:eastAsia="zh-CN"/>
              </w:rPr>
              <w:t>6.1</w:t>
            </w:r>
            <w:r>
              <w:rPr>
                <w:rFonts w:hint="default" w:ascii="Times New Roman" w:hAnsi="Times New Roman" w:cs="Times New Roman"/>
                <w:b/>
                <w:bCs/>
                <w:color w:val="auto"/>
                <w:kern w:val="2"/>
                <w:sz w:val="24"/>
                <w:szCs w:val="24"/>
                <w:highlight w:val="none"/>
              </w:rPr>
              <w:t>风险</w:t>
            </w:r>
            <w:r>
              <w:rPr>
                <w:rFonts w:hint="default" w:ascii="Times New Roman" w:hAnsi="Times New Roman" w:cs="Times New Roman"/>
                <w:b/>
                <w:bCs/>
                <w:color w:val="auto"/>
                <w:kern w:val="2"/>
                <w:sz w:val="24"/>
                <w:szCs w:val="24"/>
                <w:highlight w:val="none"/>
                <w:lang w:val="en-US" w:eastAsia="zh-CN"/>
              </w:rPr>
              <w:t>识别</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按照《建设项目环境风险评价技术导则》（HJ/T169-2018）中附录B对本项目涉及的物质进行识别，</w:t>
            </w:r>
            <w:r>
              <w:rPr>
                <w:rFonts w:hint="default" w:ascii="Times New Roman" w:hAnsi="Times New Roman" w:cs="Times New Roman"/>
                <w:color w:val="auto"/>
                <w:kern w:val="2"/>
                <w:sz w:val="24"/>
                <w:szCs w:val="24"/>
                <w:highlight w:val="none"/>
                <w:lang w:val="en-US" w:eastAsia="zh-CN"/>
              </w:rPr>
              <w:t>本项目涉及</w:t>
            </w:r>
            <w:r>
              <w:rPr>
                <w:rFonts w:hint="default" w:ascii="Times New Roman" w:hAnsi="Times New Roman" w:cs="Times New Roman"/>
                <w:kern w:val="24"/>
                <w:sz w:val="24"/>
                <w:szCs w:val="24"/>
              </w:rPr>
              <w:t>的</w:t>
            </w:r>
            <w:r>
              <w:rPr>
                <w:rFonts w:hint="default" w:ascii="Times New Roman" w:hAnsi="Times New Roman" w:cs="Times New Roman"/>
                <w:kern w:val="24"/>
                <w:sz w:val="24"/>
                <w:szCs w:val="24"/>
                <w:highlight w:val="none"/>
              </w:rPr>
              <w:t>危废贮存库</w:t>
            </w:r>
            <w:r>
              <w:rPr>
                <w:rFonts w:hint="default" w:ascii="Times New Roman" w:hAnsi="Times New Roman" w:cs="Times New Roman"/>
                <w:kern w:val="24"/>
                <w:sz w:val="24"/>
                <w:szCs w:val="24"/>
              </w:rPr>
              <w:t>内暂存的</w:t>
            </w:r>
            <w:r>
              <w:rPr>
                <w:rFonts w:hint="default" w:ascii="Times New Roman" w:hAnsi="Times New Roman" w:cs="Times New Roman"/>
                <w:color w:val="auto"/>
                <w:kern w:val="2"/>
                <w:sz w:val="24"/>
                <w:szCs w:val="24"/>
                <w:highlight w:val="none"/>
                <w:lang w:val="en-US" w:eastAsia="zh-CN"/>
              </w:rPr>
              <w:t>废机油</w:t>
            </w:r>
            <w:r>
              <w:rPr>
                <w:rFonts w:hint="default" w:ascii="Times New Roman" w:hAnsi="Times New Roman" w:cs="Times New Roman"/>
                <w:color w:val="auto"/>
                <w:kern w:val="2"/>
                <w:sz w:val="24"/>
                <w:szCs w:val="24"/>
                <w:highlight w:val="none"/>
              </w:rPr>
              <w:t>属于突发环境事件风险物质</w:t>
            </w:r>
            <w:r>
              <w:rPr>
                <w:rFonts w:hint="default" w:ascii="Times New Roman" w:hAnsi="Times New Roman" w:cs="Times New Roman"/>
                <w:kern w:val="24"/>
                <w:sz w:val="24"/>
                <w:lang w:eastAsia="zh-CN"/>
              </w:rPr>
              <w:t>。</w:t>
            </w:r>
            <w:r>
              <w:rPr>
                <w:rFonts w:hint="default" w:ascii="Times New Roman" w:hAnsi="Times New Roman" w:cs="Times New Roman"/>
                <w:kern w:val="24"/>
                <w:sz w:val="24"/>
                <w:szCs w:val="24"/>
              </w:rPr>
              <w:t>各物质的储量、临界量及其与临界量比值见</w:t>
            </w:r>
            <w:r>
              <w:rPr>
                <w:rFonts w:hint="default" w:ascii="Times New Roman" w:hAnsi="Times New Roman" w:cs="Times New Roman"/>
                <w:kern w:val="24"/>
                <w:sz w:val="24"/>
                <w:szCs w:val="24"/>
                <w:lang w:val="en-US" w:eastAsia="zh-CN"/>
              </w:rPr>
              <w:t>下</w:t>
            </w:r>
            <w:r>
              <w:rPr>
                <w:rFonts w:hint="default" w:ascii="Times New Roman" w:hAnsi="Times New Roman" w:cs="Times New Roman"/>
                <w:kern w:val="24"/>
                <w:sz w:val="24"/>
                <w:szCs w:val="24"/>
              </w:rPr>
              <w:t>表。</w:t>
            </w:r>
          </w:p>
          <w:p>
            <w:pPr>
              <w:ind w:right="289" w:rightChars="85"/>
              <w:contextualSpacing/>
              <w:jc w:val="center"/>
              <w:rPr>
                <w:rFonts w:hint="default" w:ascii="Times New Roman" w:hAnsi="Times New Roman" w:cs="Times New Roman"/>
                <w:b/>
                <w:kern w:val="24"/>
                <w:sz w:val="21"/>
                <w:szCs w:val="21"/>
              </w:rPr>
            </w:pPr>
          </w:p>
          <w:p>
            <w:pPr>
              <w:ind w:right="289" w:rightChars="85"/>
              <w:contextualSpacing/>
              <w:jc w:val="center"/>
              <w:rPr>
                <w:rFonts w:hint="default" w:ascii="Times New Roman" w:hAnsi="Times New Roman" w:cs="Times New Roman"/>
                <w:b/>
                <w:kern w:val="24"/>
                <w:sz w:val="21"/>
                <w:szCs w:val="21"/>
              </w:rPr>
            </w:pPr>
          </w:p>
          <w:p>
            <w:pPr>
              <w:ind w:right="289" w:rightChars="85"/>
              <w:contextualSpacing/>
              <w:jc w:val="center"/>
              <w:rPr>
                <w:rFonts w:hint="default" w:ascii="Times New Roman" w:hAnsi="Times New Roman" w:cs="Times New Roman"/>
                <w:b/>
                <w:kern w:val="24"/>
                <w:sz w:val="21"/>
                <w:szCs w:val="21"/>
              </w:rPr>
            </w:pPr>
          </w:p>
          <w:p>
            <w:pPr>
              <w:ind w:right="289" w:rightChars="85"/>
              <w:contextualSpacing/>
              <w:jc w:val="center"/>
              <w:rPr>
                <w:rFonts w:hint="default" w:ascii="Times New Roman" w:hAnsi="Times New Roman" w:cs="Times New Roman"/>
                <w:b/>
                <w:kern w:val="24"/>
                <w:sz w:val="21"/>
                <w:szCs w:val="21"/>
              </w:rPr>
            </w:pPr>
            <w:r>
              <w:rPr>
                <w:rFonts w:hint="default" w:ascii="Times New Roman" w:hAnsi="Times New Roman" w:cs="Times New Roman"/>
                <w:b/>
                <w:kern w:val="24"/>
                <w:sz w:val="21"/>
                <w:szCs w:val="21"/>
              </w:rPr>
              <w:t>表</w:t>
            </w:r>
            <w:r>
              <w:rPr>
                <w:rFonts w:hint="default" w:ascii="Times New Roman" w:hAnsi="Times New Roman" w:cs="Times New Roman"/>
                <w:b/>
                <w:kern w:val="24"/>
                <w:sz w:val="21"/>
                <w:szCs w:val="21"/>
                <w:lang w:val="en-US" w:eastAsia="zh-CN"/>
              </w:rPr>
              <w:t>4-1</w:t>
            </w:r>
            <w:r>
              <w:rPr>
                <w:rFonts w:hint="eastAsia" w:ascii="Times New Roman" w:cs="Times New Roman"/>
                <w:b/>
                <w:kern w:val="24"/>
                <w:sz w:val="21"/>
                <w:szCs w:val="21"/>
                <w:lang w:val="en-US" w:eastAsia="zh-CN"/>
              </w:rPr>
              <w:t>6</w:t>
            </w:r>
            <w:r>
              <w:rPr>
                <w:rFonts w:hint="default" w:ascii="Times New Roman" w:hAnsi="Times New Roman" w:cs="Times New Roman"/>
                <w:b/>
                <w:kern w:val="24"/>
                <w:sz w:val="21"/>
                <w:szCs w:val="21"/>
              </w:rPr>
              <w:t xml:space="preserve">  危险物质及临界量</w:t>
            </w:r>
          </w:p>
          <w:tbl>
            <w:tblPr>
              <w:tblStyle w:val="38"/>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39"/>
              <w:gridCol w:w="2147"/>
              <w:gridCol w:w="2302"/>
              <w:gridCol w:w="16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8" w:hRule="exact"/>
                <w:jc w:val="center"/>
              </w:trPr>
              <w:tc>
                <w:tcPr>
                  <w:tcW w:w="1252" w:type="pct"/>
                  <w:tcBorders>
                    <w:tl2br w:val="nil"/>
                    <w:tr2bl w:val="nil"/>
                  </w:tcBorders>
                  <w:vAlign w:val="center"/>
                </w:tcPr>
                <w:p>
                  <w:pPr>
                    <w:contextualSpacing/>
                    <w:jc w:val="center"/>
                    <w:rPr>
                      <w:rFonts w:hint="default" w:ascii="Times New Roman" w:hAnsi="Times New Roman" w:cs="Times New Roman"/>
                      <w:b/>
                      <w:sz w:val="21"/>
                      <w:szCs w:val="21"/>
                    </w:rPr>
                  </w:pPr>
                  <w:bookmarkStart w:id="48" w:name="_Hlk39498913"/>
                  <w:r>
                    <w:rPr>
                      <w:rFonts w:hint="default" w:ascii="Times New Roman" w:hAnsi="Times New Roman" w:cs="Times New Roman"/>
                      <w:b/>
                      <w:sz w:val="21"/>
                      <w:szCs w:val="21"/>
                    </w:rPr>
                    <w:t>风险物质</w:t>
                  </w:r>
                </w:p>
              </w:tc>
              <w:tc>
                <w:tcPr>
                  <w:tcW w:w="1318" w:type="pct"/>
                  <w:tcBorders>
                    <w:tl2br w:val="nil"/>
                    <w:tr2bl w:val="nil"/>
                  </w:tcBorders>
                  <w:vAlign w:val="center"/>
                </w:tcPr>
                <w:p>
                  <w:pPr>
                    <w:contextualSpacing/>
                    <w:jc w:val="center"/>
                    <w:rPr>
                      <w:rFonts w:hint="default" w:ascii="Times New Roman" w:hAnsi="Times New Roman" w:cs="Times New Roman"/>
                      <w:b/>
                      <w:sz w:val="21"/>
                      <w:szCs w:val="21"/>
                    </w:rPr>
                  </w:pPr>
                  <w:r>
                    <w:rPr>
                      <w:rFonts w:hint="default" w:ascii="Times New Roman" w:hAnsi="Times New Roman" w:cs="Times New Roman"/>
                      <w:b/>
                      <w:sz w:val="21"/>
                      <w:szCs w:val="21"/>
                    </w:rPr>
                    <w:t>最大储存量t</w:t>
                  </w:r>
                </w:p>
              </w:tc>
              <w:tc>
                <w:tcPr>
                  <w:tcW w:w="1413" w:type="pct"/>
                  <w:tcBorders>
                    <w:tl2br w:val="nil"/>
                    <w:tr2bl w:val="nil"/>
                  </w:tcBorders>
                  <w:vAlign w:val="center"/>
                </w:tcPr>
                <w:p>
                  <w:pPr>
                    <w:contextualSpacing/>
                    <w:jc w:val="center"/>
                    <w:rPr>
                      <w:rFonts w:hint="default" w:ascii="Times New Roman" w:hAnsi="Times New Roman" w:cs="Times New Roman"/>
                      <w:b/>
                      <w:sz w:val="21"/>
                      <w:szCs w:val="21"/>
                    </w:rPr>
                  </w:pPr>
                  <w:r>
                    <w:rPr>
                      <w:rFonts w:hint="default" w:ascii="Times New Roman" w:hAnsi="Times New Roman" w:cs="Times New Roman"/>
                      <w:b/>
                      <w:sz w:val="21"/>
                      <w:szCs w:val="21"/>
                    </w:rPr>
                    <w:t>临界量t</w:t>
                  </w:r>
                </w:p>
              </w:tc>
              <w:tc>
                <w:tcPr>
                  <w:tcW w:w="1016" w:type="pct"/>
                  <w:tcBorders>
                    <w:tl2br w:val="nil"/>
                    <w:tr2bl w:val="nil"/>
                  </w:tcBorders>
                  <w:vAlign w:val="center"/>
                </w:tcPr>
                <w:p>
                  <w:pPr>
                    <w:contextualSpacing/>
                    <w:jc w:val="center"/>
                    <w:rPr>
                      <w:rFonts w:hint="default" w:ascii="Times New Roman" w:hAnsi="Times New Roman" w:cs="Times New Roman"/>
                      <w:b/>
                      <w:sz w:val="21"/>
                      <w:szCs w:val="21"/>
                    </w:rPr>
                  </w:pPr>
                  <w:r>
                    <w:rPr>
                      <w:rFonts w:hint="default" w:ascii="Times New Roman" w:hAnsi="Times New Roman" w:cs="Times New Roman"/>
                      <w:b/>
                      <w:sz w:val="21"/>
                      <w:szCs w:val="21"/>
                    </w:rPr>
                    <w:t>q</w:t>
                  </w:r>
                  <w:r>
                    <w:rPr>
                      <w:rFonts w:hint="default" w:ascii="Times New Roman" w:hAnsi="Times New Roman" w:cs="Times New Roman"/>
                      <w:b/>
                      <w:sz w:val="21"/>
                      <w:szCs w:val="21"/>
                      <w:vertAlign w:val="subscript"/>
                    </w:rPr>
                    <w:t>i</w:t>
                  </w:r>
                  <w:r>
                    <w:rPr>
                      <w:rFonts w:hint="default" w:ascii="Times New Roman" w:hAnsi="Times New Roman" w:cs="Times New Roman"/>
                      <w:b/>
                      <w:sz w:val="21"/>
                      <w:szCs w:val="21"/>
                    </w:rPr>
                    <w:t>/Q</w:t>
                  </w:r>
                  <w:r>
                    <w:rPr>
                      <w:rFonts w:hint="default" w:ascii="Times New Roman" w:hAnsi="Times New Roman" w:cs="Times New Roman"/>
                      <w:b/>
                      <w:sz w:val="21"/>
                      <w:szCs w:val="21"/>
                      <w:vertAlign w:val="subscript"/>
                    </w:rPr>
                    <w:t>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252" w:type="pct"/>
                  <w:tcBorders>
                    <w:tl2br w:val="nil"/>
                    <w:tr2bl w:val="nil"/>
                  </w:tcBorders>
                  <w:shd w:val="clear" w:color="000000" w:fill="FFFFFF"/>
                  <w:vAlign w:val="center"/>
                </w:tcPr>
                <w:p>
                  <w:pPr>
                    <w:contextualSpacing/>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废机油</w:t>
                  </w:r>
                </w:p>
              </w:tc>
              <w:tc>
                <w:tcPr>
                  <w:tcW w:w="1318" w:type="pct"/>
                  <w:tcBorders>
                    <w:tl2br w:val="nil"/>
                    <w:tr2bl w:val="nil"/>
                  </w:tcBorders>
                  <w:vAlign w:val="center"/>
                </w:tcPr>
                <w:p>
                  <w:pPr>
                    <w:contextualSpacing/>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0.2</w:t>
                  </w:r>
                </w:p>
              </w:tc>
              <w:tc>
                <w:tcPr>
                  <w:tcW w:w="1413" w:type="pct"/>
                  <w:tcBorders>
                    <w:tl2br w:val="nil"/>
                    <w:tr2bl w:val="nil"/>
                  </w:tcBorders>
                  <w:vAlign w:val="center"/>
                </w:tcPr>
                <w:p>
                  <w:pPr>
                    <w:contextualSpacing/>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2500</w:t>
                  </w:r>
                </w:p>
              </w:tc>
              <w:tc>
                <w:tcPr>
                  <w:tcW w:w="1016" w:type="pct"/>
                  <w:tcBorders>
                    <w:tl2br w:val="nil"/>
                    <w:tr2bl w:val="nil"/>
                  </w:tcBorders>
                  <w:vAlign w:val="center"/>
                </w:tcPr>
                <w:p>
                  <w:pPr>
                    <w:contextualSpacing/>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0.00008</w:t>
                  </w:r>
                </w:p>
              </w:tc>
            </w:tr>
            <w:bookmarkEnd w:id="48"/>
          </w:tbl>
          <w:p>
            <w:pPr>
              <w:spacing w:line="520" w:lineRule="exact"/>
              <w:ind w:firstLine="480" w:firstLineChars="200"/>
              <w:jc w:val="both"/>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由上表可知，Q</w:t>
            </w:r>
            <w:r>
              <w:rPr>
                <w:rFonts w:hint="default" w:ascii="Times New Roman" w:hAnsi="Times New Roman" w:cs="Times New Roman"/>
                <w:b w:val="0"/>
                <w:bCs w:val="0"/>
                <w:color w:val="auto"/>
                <w:sz w:val="24"/>
                <w:szCs w:val="24"/>
                <w:highlight w:val="none"/>
                <w:vertAlign w:val="baseline"/>
                <w:lang w:val="en-US" w:eastAsia="zh-CN"/>
              </w:rPr>
              <w:t>＜1</w:t>
            </w:r>
            <w:r>
              <w:rPr>
                <w:rFonts w:hint="default" w:ascii="Times New Roman" w:hAnsi="Times New Roman" w:eastAsia="宋体" w:cs="Times New Roman"/>
                <w:b w:val="0"/>
                <w:bCs w:val="0"/>
                <w:color w:val="auto"/>
                <w:sz w:val="24"/>
                <w:szCs w:val="24"/>
                <w:highlight w:val="none"/>
                <w:lang w:val="en-US" w:eastAsia="zh-CN"/>
              </w:rPr>
              <w:t>，则本项目环境风险潜势为Ⅰ，不涉及重大风险源</w:t>
            </w:r>
            <w:r>
              <w:rPr>
                <w:rFonts w:hint="eastAsia" w:ascii="Times New Roman" w:cs="Times New Roman"/>
                <w:b w:val="0"/>
                <w:bCs w:val="0"/>
                <w:color w:val="auto"/>
                <w:sz w:val="24"/>
                <w:szCs w:val="24"/>
                <w:highlight w:val="none"/>
                <w:lang w:val="en-US" w:eastAsia="zh-CN"/>
              </w:rPr>
              <w:t>，</w:t>
            </w:r>
            <w:r>
              <w:rPr>
                <w:rFonts w:hint="eastAsia" w:ascii="Times New Roman" w:hAnsi="Times New Roman" w:eastAsia="宋体" w:cs="Times New Roman"/>
                <w:color w:val="auto"/>
                <w:kern w:val="24"/>
                <w:sz w:val="24"/>
                <w:szCs w:val="24"/>
                <w:highlight w:val="none"/>
                <w:lang w:val="en-US" w:eastAsia="zh-CN" w:bidi="ar-SA"/>
              </w:rPr>
              <w:t>评价工作等级</w:t>
            </w:r>
            <w:r>
              <w:rPr>
                <w:rFonts w:hint="eastAsia" w:ascii="Times New Roman" w:cs="Times New Roman"/>
                <w:b w:val="0"/>
                <w:bCs w:val="0"/>
                <w:color w:val="auto"/>
                <w:sz w:val="24"/>
                <w:szCs w:val="24"/>
                <w:highlight w:val="none"/>
                <w:lang w:val="en-US" w:eastAsia="zh-CN"/>
              </w:rPr>
              <w:t>为简单分析</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cs="Times New Roman"/>
                <w:b w:val="0"/>
                <w:bCs w:val="0"/>
                <w:color w:val="auto"/>
                <w:sz w:val="24"/>
                <w:szCs w:val="24"/>
                <w:highlight w:val="none"/>
                <w:lang w:val="en-US" w:eastAsia="zh-CN"/>
              </w:rPr>
              <w:t>本项目</w:t>
            </w:r>
            <w:r>
              <w:rPr>
                <w:rFonts w:hint="default" w:ascii="Times New Roman" w:hAnsi="Times New Roman" w:eastAsia="宋体" w:cs="Times New Roman"/>
                <w:b w:val="0"/>
                <w:bCs w:val="0"/>
                <w:color w:val="auto"/>
                <w:sz w:val="24"/>
                <w:szCs w:val="24"/>
                <w:highlight w:val="none"/>
                <w:lang w:val="en-US" w:eastAsia="zh-CN"/>
              </w:rPr>
              <w:t>风险物质理化性</w:t>
            </w:r>
            <w:r>
              <w:rPr>
                <w:rFonts w:hint="default" w:ascii="Times New Roman" w:hAnsi="Times New Roman" w:cs="Times New Roman"/>
                <w:b w:val="0"/>
                <w:bCs w:val="0"/>
                <w:color w:val="auto"/>
                <w:sz w:val="24"/>
                <w:szCs w:val="24"/>
                <w:highlight w:val="none"/>
                <w:lang w:val="en-US" w:eastAsia="zh-CN"/>
              </w:rPr>
              <w:t>见下表。</w:t>
            </w:r>
          </w:p>
          <w:p>
            <w:pPr>
              <w:spacing w:line="520" w:lineRule="exact"/>
              <w:jc w:val="center"/>
              <w:rPr>
                <w:rFonts w:hint="default" w:ascii="Times New Roman" w:hAnsi="Times New Roman" w:cs="Times New Roman"/>
                <w:b/>
                <w:bCs/>
                <w:color w:val="auto"/>
                <w:spacing w:val="6"/>
                <w:sz w:val="21"/>
                <w:szCs w:val="21"/>
              </w:rPr>
            </w:pPr>
            <w:r>
              <w:rPr>
                <w:rFonts w:hint="default" w:ascii="Times New Roman" w:hAnsi="Times New Roman" w:cs="Times New Roman"/>
                <w:b/>
                <w:bCs/>
                <w:color w:val="auto"/>
                <w:spacing w:val="6"/>
                <w:sz w:val="21"/>
                <w:szCs w:val="21"/>
              </w:rPr>
              <w:t>表</w:t>
            </w:r>
            <w:r>
              <w:rPr>
                <w:rFonts w:hint="default" w:ascii="Times New Roman" w:hAnsi="Times New Roman" w:cs="Times New Roman"/>
                <w:b/>
                <w:bCs/>
                <w:color w:val="auto"/>
                <w:spacing w:val="6"/>
                <w:sz w:val="21"/>
                <w:szCs w:val="21"/>
                <w:lang w:val="en-US" w:eastAsia="zh-CN"/>
              </w:rPr>
              <w:t>4-1</w:t>
            </w:r>
            <w:r>
              <w:rPr>
                <w:rFonts w:hint="eastAsia" w:ascii="Times New Roman" w:cs="Times New Roman"/>
                <w:b/>
                <w:bCs/>
                <w:color w:val="auto"/>
                <w:spacing w:val="6"/>
                <w:sz w:val="21"/>
                <w:szCs w:val="21"/>
                <w:lang w:val="en-US" w:eastAsia="zh-CN"/>
              </w:rPr>
              <w:t>7</w:t>
            </w:r>
            <w:r>
              <w:rPr>
                <w:rFonts w:hint="default" w:ascii="Times New Roman" w:hAnsi="Times New Roman" w:cs="Times New Roman"/>
                <w:b/>
                <w:bCs/>
                <w:color w:val="auto"/>
                <w:spacing w:val="6"/>
                <w:sz w:val="21"/>
                <w:szCs w:val="21"/>
              </w:rPr>
              <w:t xml:space="preserve">  废机油的理化性质及危险特性表</w:t>
            </w:r>
          </w:p>
          <w:tbl>
            <w:tblPr>
              <w:tblStyle w:val="38"/>
              <w:tblW w:w="802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71"/>
              <w:gridCol w:w="2457"/>
              <w:gridCol w:w="1048"/>
              <w:gridCol w:w="2078"/>
              <w:gridCol w:w="12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29" w:type="dxa"/>
                  <w:gridSpan w:val="5"/>
                  <w:vAlign w:val="center"/>
                </w:tcPr>
                <w:p>
                  <w:pPr>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理化性质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71" w:type="dxa"/>
                  <w:vAlign w:val="center"/>
                </w:tcPr>
                <w:p>
                  <w:pPr>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6858" w:type="dxa"/>
                  <w:gridSpan w:val="4"/>
                  <w:vAlign w:val="center"/>
                </w:tcPr>
                <w:p>
                  <w:pPr>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废机油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71" w:type="dxa"/>
                  <w:vAlign w:val="center"/>
                </w:tcPr>
                <w:p>
                  <w:pPr>
                    <w:spacing w:line="320" w:lineRule="exact"/>
                    <w:jc w:val="center"/>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en-US"/>
                    </w:rPr>
                    <w:t>熔点</w:t>
                  </w:r>
                </w:p>
              </w:tc>
              <w:tc>
                <w:tcPr>
                  <w:tcW w:w="2457" w:type="dxa"/>
                  <w:vAlign w:val="center"/>
                </w:tcPr>
                <w:p>
                  <w:pPr>
                    <w:spacing w:line="320" w:lineRule="exact"/>
                    <w:jc w:val="center"/>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en-US"/>
                    </w:rPr>
                    <w:t>-</w:t>
                  </w:r>
                  <w:r>
                    <w:rPr>
                      <w:rFonts w:hint="default" w:ascii="Times New Roman" w:hAnsi="Times New Roman" w:cs="Times New Roman"/>
                      <w:color w:val="auto"/>
                      <w:sz w:val="21"/>
                      <w:szCs w:val="21"/>
                    </w:rPr>
                    <w:t>95.3</w:t>
                  </w:r>
                  <w:r>
                    <w:rPr>
                      <w:rFonts w:hint="default" w:ascii="Times New Roman" w:hAnsi="Times New Roman" w:cs="Times New Roman"/>
                      <w:color w:val="auto"/>
                      <w:sz w:val="21"/>
                      <w:szCs w:val="21"/>
                      <w:lang w:eastAsia="en-US"/>
                    </w:rPr>
                    <w:t>~</w:t>
                  </w:r>
                  <w:r>
                    <w:rPr>
                      <w:rFonts w:hint="default" w:ascii="Times New Roman" w:hAnsi="Times New Roman" w:cs="Times New Roman"/>
                      <w:color w:val="auto"/>
                      <w:sz w:val="21"/>
                      <w:szCs w:val="21"/>
                    </w:rPr>
                    <w:t>94.3</w:t>
                  </w:r>
                  <w:r>
                    <w:rPr>
                      <w:rFonts w:hint="default" w:ascii="Times New Roman" w:hAnsi="Times New Roman" w:cs="Times New Roman"/>
                      <w:color w:val="auto"/>
                      <w:sz w:val="21"/>
                      <w:szCs w:val="21"/>
                      <w:lang w:eastAsia="en-US"/>
                    </w:rPr>
                    <w:t>℃</w:t>
                  </w:r>
                </w:p>
              </w:tc>
              <w:tc>
                <w:tcPr>
                  <w:tcW w:w="1048" w:type="dxa"/>
                  <w:vAlign w:val="center"/>
                </w:tcPr>
                <w:p>
                  <w:pPr>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引燃温度</w:t>
                  </w:r>
                </w:p>
              </w:tc>
              <w:tc>
                <w:tcPr>
                  <w:tcW w:w="2078" w:type="dxa"/>
                  <w:vAlign w:val="center"/>
                </w:tcPr>
                <w:p>
                  <w:pPr>
                    <w:spacing w:line="320" w:lineRule="exact"/>
                    <w:jc w:val="center"/>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val="en-US" w:eastAsia="zh-CN"/>
                    </w:rPr>
                    <w:t>320</w:t>
                  </w:r>
                  <w:r>
                    <w:rPr>
                      <w:rFonts w:hint="default" w:ascii="Times New Roman" w:hAnsi="Times New Roman" w:cs="Times New Roman"/>
                      <w:color w:val="auto"/>
                      <w:sz w:val="21"/>
                      <w:szCs w:val="21"/>
                      <w:lang w:eastAsia="en-US"/>
                    </w:rPr>
                    <w:t>℃</w:t>
                  </w:r>
                </w:p>
              </w:tc>
              <w:tc>
                <w:tcPr>
                  <w:tcW w:w="1275" w:type="dxa"/>
                  <w:vAlign w:val="center"/>
                </w:tcPr>
                <w:p>
                  <w:pPr>
                    <w:spacing w:line="320" w:lineRule="exact"/>
                    <w:jc w:val="center"/>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en-US"/>
                    </w:rPr>
                    <w:t>闪点：</w:t>
                  </w:r>
                  <w:r>
                    <w:rPr>
                      <w:rFonts w:hint="default" w:ascii="Times New Roman" w:hAnsi="Times New Roman" w:cs="Times New Roman"/>
                      <w:color w:val="auto"/>
                      <w:sz w:val="21"/>
                      <w:szCs w:val="21"/>
                      <w:lang w:val="en-US" w:eastAsia="zh-CN"/>
                    </w:rPr>
                    <w:t>230</w:t>
                  </w:r>
                  <w:r>
                    <w:rPr>
                      <w:rFonts w:hint="default" w:ascii="Times New Roman" w:hAnsi="Times New Roman" w:cs="Times New Roman"/>
                      <w:color w:val="auto"/>
                      <w:sz w:val="21"/>
                      <w:szCs w:val="21"/>
                      <w:lang w:eastAsia="en-U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71" w:type="dxa"/>
                  <w:vAlign w:val="center"/>
                </w:tcPr>
                <w:p>
                  <w:pPr>
                    <w:spacing w:line="320" w:lineRule="exact"/>
                    <w:jc w:val="center"/>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en-US"/>
                    </w:rPr>
                    <w:t>沸点</w:t>
                  </w:r>
                </w:p>
              </w:tc>
              <w:tc>
                <w:tcPr>
                  <w:tcW w:w="2457" w:type="dxa"/>
                  <w:vAlign w:val="center"/>
                </w:tcPr>
                <w:p>
                  <w:pPr>
                    <w:spacing w:line="320" w:lineRule="exact"/>
                    <w:jc w:val="center"/>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rPr>
                    <w:t>69</w:t>
                  </w:r>
                  <w:r>
                    <w:rPr>
                      <w:rFonts w:hint="default" w:ascii="Times New Roman" w:hAnsi="Times New Roman" w:cs="Times New Roman"/>
                      <w:color w:val="auto"/>
                      <w:sz w:val="21"/>
                      <w:szCs w:val="21"/>
                      <w:lang w:eastAsia="en-US"/>
                    </w:rPr>
                    <w:t>℃</w:t>
                  </w:r>
                </w:p>
              </w:tc>
              <w:tc>
                <w:tcPr>
                  <w:tcW w:w="1048" w:type="dxa"/>
                  <w:vAlign w:val="center"/>
                </w:tcPr>
                <w:p>
                  <w:pPr>
                    <w:spacing w:line="320" w:lineRule="exact"/>
                    <w:jc w:val="center"/>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en-US"/>
                    </w:rPr>
                    <w:t>溶解性</w:t>
                  </w:r>
                </w:p>
              </w:tc>
              <w:tc>
                <w:tcPr>
                  <w:tcW w:w="3353" w:type="dxa"/>
                  <w:gridSpan w:val="2"/>
                  <w:vAlign w:val="center"/>
                </w:tcPr>
                <w:p>
                  <w:pPr>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不溶于水，溶于乙醇、乙醚、丙酮、氯仿等多数有机溶剂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71" w:type="dxa"/>
                  <w:vAlign w:val="center"/>
                </w:tcPr>
                <w:p>
                  <w:pPr>
                    <w:spacing w:line="320" w:lineRule="exact"/>
                    <w:jc w:val="center"/>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en-US"/>
                    </w:rPr>
                    <w:t>密度</w:t>
                  </w:r>
                </w:p>
              </w:tc>
              <w:tc>
                <w:tcPr>
                  <w:tcW w:w="2457" w:type="dxa"/>
                  <w:vAlign w:val="center"/>
                </w:tcPr>
                <w:p>
                  <w:pPr>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相对密度（水=1）0.</w:t>
                  </w:r>
                  <w:r>
                    <w:rPr>
                      <w:rFonts w:hint="default" w:ascii="Times New Roman" w:hAnsi="Times New Roman" w:cs="Times New Roman"/>
                      <w:color w:val="auto"/>
                      <w:sz w:val="21"/>
                      <w:szCs w:val="21"/>
                      <w:lang w:val="en-US" w:eastAsia="zh-CN"/>
                    </w:rPr>
                    <w:t>879</w:t>
                  </w:r>
                  <w:r>
                    <w:rPr>
                      <w:rFonts w:hint="default" w:ascii="Times New Roman" w:hAnsi="Times New Roman" w:cs="Times New Roman"/>
                      <w:color w:val="auto"/>
                      <w:sz w:val="21"/>
                      <w:szCs w:val="21"/>
                    </w:rPr>
                    <w:t>；</w:t>
                  </w:r>
                  <w:r>
                    <w:rPr>
                      <w:rFonts w:hint="default" w:ascii="Times New Roman" w:hAnsi="Times New Roman" w:cs="Times New Roman"/>
                      <w:color w:val="auto"/>
                      <w:spacing w:val="4"/>
                      <w:sz w:val="21"/>
                      <w:szCs w:val="21"/>
                    </w:rPr>
                    <w:t>相对蒸汽密度（空气=1）</w:t>
                  </w:r>
                  <w:r>
                    <w:rPr>
                      <w:rFonts w:hint="default" w:ascii="Times New Roman" w:hAnsi="Times New Roman" w:cs="Times New Roman"/>
                      <w:color w:val="auto"/>
                      <w:sz w:val="21"/>
                      <w:szCs w:val="21"/>
                    </w:rPr>
                    <w:t>2.97</w:t>
                  </w:r>
                </w:p>
              </w:tc>
              <w:tc>
                <w:tcPr>
                  <w:tcW w:w="1048" w:type="dxa"/>
                  <w:vAlign w:val="center"/>
                </w:tcPr>
                <w:p>
                  <w:pPr>
                    <w:spacing w:line="320" w:lineRule="exact"/>
                    <w:jc w:val="center"/>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rPr>
                    <w:t xml:space="preserve"> </w:t>
                  </w:r>
                  <w:r>
                    <w:rPr>
                      <w:rFonts w:hint="default" w:ascii="Times New Roman" w:hAnsi="Times New Roman" w:cs="Times New Roman"/>
                      <w:color w:val="auto"/>
                      <w:sz w:val="21"/>
                      <w:szCs w:val="21"/>
                      <w:lang w:eastAsia="en-US"/>
                    </w:rPr>
                    <w:t>燃烧热</w:t>
                  </w:r>
                </w:p>
              </w:tc>
              <w:tc>
                <w:tcPr>
                  <w:tcW w:w="3353" w:type="dxa"/>
                  <w:gridSpan w:val="2"/>
                  <w:vAlign w:val="center"/>
                </w:tcPr>
                <w:p>
                  <w:pPr>
                    <w:spacing w:line="320" w:lineRule="exact"/>
                    <w:jc w:val="center"/>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en-US"/>
                    </w:rPr>
                    <w:t>4159.1k</w:t>
                  </w:r>
                  <w:r>
                    <w:rPr>
                      <w:rFonts w:hint="default" w:ascii="Times New Roman" w:hAnsi="Times New Roman" w:cs="Times New Roman"/>
                      <w:color w:val="auto"/>
                      <w:sz w:val="21"/>
                      <w:szCs w:val="21"/>
                    </w:rPr>
                    <w:t>J</w:t>
                  </w:r>
                  <w:r>
                    <w:rPr>
                      <w:rFonts w:hint="default" w:ascii="Times New Roman" w:hAnsi="Times New Roman" w:cs="Times New Roman"/>
                      <w:color w:val="auto"/>
                      <w:sz w:val="21"/>
                      <w:szCs w:val="21"/>
                      <w:lang w:eastAsia="en-US"/>
                    </w:rPr>
                    <w:t>/mol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29" w:type="dxa"/>
                  <w:gridSpan w:val="5"/>
                  <w:vAlign w:val="center"/>
                </w:tcPr>
                <w:p>
                  <w:pPr>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危险特性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71" w:type="dxa"/>
                  <w:vAlign w:val="center"/>
                </w:tcPr>
                <w:p>
                  <w:pPr>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危险性类别</w:t>
                  </w:r>
                </w:p>
              </w:tc>
              <w:tc>
                <w:tcPr>
                  <w:tcW w:w="6858" w:type="dxa"/>
                  <w:gridSpan w:val="4"/>
                  <w:vAlign w:val="center"/>
                </w:tcPr>
                <w:p>
                  <w:pPr>
                    <w:spacing w:line="320" w:lineRule="exact"/>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易燃，其蒸气与空气可形成爆炸性混合物，遇明火、高热能引起燃烧爆炸。与氧化剂接触发生化学反应，甚至引起燃烧。在火场中，受热的容器有爆炸危险。蒸气比空气重，沿地面扩散并易积存于低洼处，遇火源会着火回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71" w:type="dxa"/>
                  <w:vAlign w:val="center"/>
                </w:tcPr>
                <w:p>
                  <w:pPr>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危险特性</w:t>
                  </w:r>
                </w:p>
              </w:tc>
              <w:tc>
                <w:tcPr>
                  <w:tcW w:w="6858" w:type="dxa"/>
                  <w:gridSpan w:val="4"/>
                  <w:vAlign w:val="center"/>
                </w:tcPr>
                <w:p>
                  <w:pPr>
                    <w:spacing w:line="320" w:lineRule="exact"/>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高闪点液体、可燃，并具有腐蚀性、属于危险废物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71" w:type="dxa"/>
                  <w:vAlign w:val="center"/>
                </w:tcPr>
                <w:p>
                  <w:pPr>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灭火剂 </w:t>
                  </w:r>
                </w:p>
              </w:tc>
              <w:tc>
                <w:tcPr>
                  <w:tcW w:w="6858" w:type="dxa"/>
                  <w:gridSpan w:val="4"/>
                  <w:vAlign w:val="center"/>
                </w:tcPr>
                <w:p>
                  <w:pPr>
                    <w:spacing w:line="320" w:lineRule="exact"/>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用抗溶性泡沫、干粉、二氧化碳、沙土灭火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71" w:type="dxa"/>
                  <w:vAlign w:val="center"/>
                </w:tcPr>
                <w:p>
                  <w:pPr>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健康危害</w:t>
                  </w:r>
                </w:p>
              </w:tc>
              <w:tc>
                <w:tcPr>
                  <w:tcW w:w="6858" w:type="dxa"/>
                  <w:gridSpan w:val="4"/>
                  <w:vAlign w:val="center"/>
                </w:tcPr>
                <w:p>
                  <w:pPr>
                    <w:spacing w:line="320" w:lineRule="exact"/>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品有麻醉和刺激作用。长期接触可致周围神经炎急性中毒；吸入高浓度本品出现头痛、头晕、恶心、共济失调等，重者引起神志丧失甚至死亡。对眼和上呼吸道有刺激性慢性中毒:长期接触出现头痛、头晕、乏力、胃纳减退；其后四肢远端逐渐发展成感觉异常，麻木，触、痛、震动和位置等感觉减退，尤以下肢为甚，上肢较少受累。进一步发展为下肢无力，肌肉疼痛，肌肉萎缩及运动障碍。神经-肌电图检查示感觉神经及运动神经传导速度减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029" w:type="dxa"/>
                  <w:gridSpan w:val="5"/>
                  <w:vAlign w:val="center"/>
                </w:tcPr>
                <w:p>
                  <w:pPr>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应急处理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171" w:type="dxa"/>
                  <w:vAlign w:val="center"/>
                </w:tcPr>
                <w:p>
                  <w:pPr>
                    <w:spacing w:line="32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泄漏应急处理</w:t>
                  </w:r>
                </w:p>
              </w:tc>
              <w:tc>
                <w:tcPr>
                  <w:tcW w:w="6858" w:type="dxa"/>
                  <w:gridSpan w:val="4"/>
                  <w:vAlign w:val="center"/>
                </w:tcPr>
                <w:p>
                  <w:pPr>
                    <w:spacing w:line="320" w:lineRule="exact"/>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消除所有点火源。根据液体流动和蒸气扩散的影响区域划定警戒区，无关人员从侧风、上风向撤离至安全区。建议应急处理人员戴正压自给式呼吸器，穿防静电服。作业时使用的所有设备应接地。禁止接触或跨越泄漏物。尽可能切断泄漏源。防止泄漏物进入水体、下水道、地下室或限制性空间。小量泄漏:用砂土或其他不燃材料吸收。使用洁净的无火花工具收集吸收材料。大量泄漏:构筑围堤或挖坑收容。用抗溶性泡沫覆盖，减少蒸发。喷水雾能减少蒸发，但不能降低泄漏物在限制性空间内的易燃性。用防爆泵转移至槽车或专用收集器内，废弃物同属危废应委托处置。</w:t>
                  </w:r>
                </w:p>
              </w:tc>
            </w:tr>
          </w:tbl>
          <w:p>
            <w:pPr>
              <w:pStyle w:val="10"/>
              <w:rPr>
                <w:rFonts w:hint="default" w:ascii="Times New Roman" w:hAnsi="Times New Roman" w:cs="Times New Roman"/>
                <w:b/>
                <w:kern w:val="24"/>
                <w:sz w:val="21"/>
                <w:szCs w:val="21"/>
              </w:rPr>
            </w:pPr>
          </w:p>
          <w:p>
            <w:pPr>
              <w:spacing w:line="360" w:lineRule="auto"/>
              <w:ind w:firstLine="480" w:firstLineChars="200"/>
              <w:contextualSpacing/>
              <w:jc w:val="both"/>
              <w:rPr>
                <w:rFonts w:hint="default" w:ascii="Times New Roman" w:hAnsi="Times New Roman" w:cs="Times New Roman"/>
                <w:b/>
                <w:bCs/>
                <w:kern w:val="24"/>
                <w:sz w:val="24"/>
                <w:szCs w:val="24"/>
                <w:lang w:val="en-US" w:eastAsia="zh-CN"/>
              </w:rPr>
            </w:pPr>
            <w:r>
              <w:rPr>
                <w:rFonts w:hint="default" w:ascii="Times New Roman" w:hAnsi="Times New Roman" w:cs="Times New Roman"/>
                <w:kern w:val="24"/>
                <w:sz w:val="24"/>
                <w:szCs w:val="24"/>
              </w:rPr>
              <w:t>本项目涉及的风险物质为</w:t>
            </w:r>
            <w:r>
              <w:rPr>
                <w:rFonts w:hint="default" w:ascii="Times New Roman" w:hAnsi="Times New Roman" w:cs="Times New Roman"/>
                <w:kern w:val="24"/>
                <w:sz w:val="24"/>
                <w:szCs w:val="24"/>
                <w:highlight w:val="none"/>
              </w:rPr>
              <w:t>危废贮存库</w:t>
            </w:r>
            <w:r>
              <w:rPr>
                <w:rFonts w:hint="default" w:ascii="Times New Roman" w:hAnsi="Times New Roman" w:cs="Times New Roman"/>
                <w:kern w:val="24"/>
                <w:sz w:val="24"/>
                <w:szCs w:val="24"/>
              </w:rPr>
              <w:t>暂存的</w:t>
            </w:r>
            <w:r>
              <w:rPr>
                <w:rFonts w:hint="default" w:ascii="Times New Roman" w:hAnsi="Times New Roman" w:cs="Times New Roman"/>
                <w:kern w:val="24"/>
                <w:sz w:val="24"/>
                <w:szCs w:val="24"/>
                <w:lang w:val="en-US" w:eastAsia="zh-CN"/>
              </w:rPr>
              <w:t>废机油</w:t>
            </w:r>
            <w:r>
              <w:rPr>
                <w:rFonts w:hint="default" w:ascii="Times New Roman" w:hAnsi="Times New Roman" w:cs="Times New Roman"/>
                <w:kern w:val="24"/>
                <w:sz w:val="24"/>
                <w:szCs w:val="24"/>
              </w:rPr>
              <w:t>，</w:t>
            </w:r>
            <w:r>
              <w:rPr>
                <w:rFonts w:hint="default" w:ascii="Times New Roman" w:hAnsi="Times New Roman" w:eastAsia="宋体" w:cs="Times New Roman"/>
                <w:kern w:val="2"/>
                <w:sz w:val="24"/>
                <w:szCs w:val="24"/>
              </w:rPr>
              <w:t>由此识别出本项目危险单元主要为</w:t>
            </w:r>
            <w:r>
              <w:rPr>
                <w:rFonts w:hint="default" w:ascii="Times New Roman" w:hAnsi="Times New Roman" w:cs="Times New Roman"/>
                <w:kern w:val="24"/>
                <w:sz w:val="24"/>
                <w:szCs w:val="24"/>
                <w:highlight w:val="none"/>
              </w:rPr>
              <w:t>危废贮存库</w:t>
            </w:r>
            <w:r>
              <w:rPr>
                <w:rFonts w:hint="default" w:ascii="Times New Roman" w:hAnsi="Times New Roman" w:eastAsia="宋体" w:cs="Times New Roman"/>
                <w:kern w:val="2"/>
                <w:sz w:val="24"/>
                <w:szCs w:val="24"/>
              </w:rPr>
              <w:t>。</w:t>
            </w:r>
            <w:r>
              <w:rPr>
                <w:rFonts w:hint="default" w:ascii="Times New Roman" w:hAnsi="Times New Roman" w:cs="Times New Roman"/>
                <w:kern w:val="24"/>
                <w:sz w:val="24"/>
                <w:szCs w:val="24"/>
              </w:rPr>
              <w:t>本项目主要风险类型为</w:t>
            </w:r>
            <w:r>
              <w:rPr>
                <w:rFonts w:hint="default" w:ascii="Times New Roman" w:hAnsi="Times New Roman" w:cs="Times New Roman"/>
                <w:kern w:val="24"/>
                <w:sz w:val="24"/>
                <w:szCs w:val="24"/>
                <w:lang w:val="en-US" w:eastAsia="zh-CN"/>
              </w:rPr>
              <w:t>①</w:t>
            </w:r>
            <w:r>
              <w:rPr>
                <w:rFonts w:hint="default" w:ascii="Times New Roman" w:hAnsi="Times New Roman" w:cs="Times New Roman"/>
                <w:kern w:val="24"/>
                <w:sz w:val="24"/>
                <w:szCs w:val="24"/>
                <w:highlight w:val="none"/>
              </w:rPr>
              <w:t>危废贮存库</w:t>
            </w:r>
            <w:r>
              <w:rPr>
                <w:rFonts w:hint="default" w:ascii="Times New Roman" w:hAnsi="Times New Roman" w:cs="Times New Roman"/>
                <w:kern w:val="24"/>
                <w:sz w:val="24"/>
                <w:szCs w:val="24"/>
              </w:rPr>
              <w:t>暂存的</w:t>
            </w:r>
            <w:r>
              <w:rPr>
                <w:rFonts w:hint="default" w:ascii="Times New Roman" w:hAnsi="Times New Roman" w:cs="Times New Roman"/>
                <w:kern w:val="24"/>
                <w:sz w:val="24"/>
                <w:szCs w:val="24"/>
                <w:lang w:val="en-US" w:eastAsia="zh-CN"/>
              </w:rPr>
              <w:t>废机油泄漏事故；</w:t>
            </w:r>
            <w:r>
              <w:rPr>
                <w:rFonts w:hint="default" w:ascii="Times New Roman" w:hAnsi="Times New Roman" w:eastAsia="宋体" w:cs="Times New Roman"/>
                <w:kern w:val="24"/>
                <w:sz w:val="24"/>
                <w:szCs w:val="24"/>
              </w:rPr>
              <w:t>②</w:t>
            </w:r>
            <w:r>
              <w:rPr>
                <w:rFonts w:hint="default" w:ascii="Times New Roman" w:hAnsi="Times New Roman" w:cs="Times New Roman"/>
                <w:kern w:val="24"/>
                <w:sz w:val="24"/>
                <w:szCs w:val="24"/>
                <w:lang w:val="en-US" w:eastAsia="zh-CN"/>
              </w:rPr>
              <w:t>废机油</w:t>
            </w:r>
            <w:r>
              <w:rPr>
                <w:rFonts w:hint="default" w:ascii="Times New Roman" w:hAnsi="Times New Roman" w:cs="Times New Roman"/>
                <w:kern w:val="24"/>
                <w:sz w:val="24"/>
                <w:szCs w:val="24"/>
              </w:rPr>
              <w:t>泄漏后</w:t>
            </w:r>
            <w:r>
              <w:rPr>
                <w:rFonts w:hint="default" w:ascii="Times New Roman" w:hAnsi="Times New Roman" w:cs="Times New Roman"/>
                <w:bCs/>
                <w:kern w:val="24"/>
                <w:sz w:val="24"/>
                <w:szCs w:val="24"/>
              </w:rPr>
              <w:t>遇明火可能引发火灾产生的烟气、消防废水等伴生/次生环境影响</w:t>
            </w:r>
            <w:r>
              <w:rPr>
                <w:rFonts w:hint="default" w:ascii="Times New Roman" w:hAnsi="Times New Roman" w:cs="Times New Roman"/>
                <w:kern w:val="24"/>
                <w:sz w:val="24"/>
                <w:szCs w:val="24"/>
              </w:rPr>
              <w:t xml:space="preserve">。 </w:t>
            </w:r>
          </w:p>
          <w:p>
            <w:pPr>
              <w:spacing w:line="360" w:lineRule="auto"/>
              <w:contextualSpacing/>
              <w:jc w:val="both"/>
              <w:rPr>
                <w:rFonts w:hint="default" w:ascii="Times New Roman" w:hAnsi="Times New Roman" w:cs="Times New Roman"/>
                <w:b/>
                <w:bCs/>
                <w:kern w:val="24"/>
                <w:sz w:val="24"/>
                <w:szCs w:val="24"/>
              </w:rPr>
            </w:pPr>
            <w:r>
              <w:rPr>
                <w:rFonts w:hint="default" w:ascii="Times New Roman" w:hAnsi="Times New Roman" w:cs="Times New Roman"/>
                <w:b/>
                <w:bCs/>
                <w:kern w:val="24"/>
                <w:sz w:val="24"/>
                <w:szCs w:val="24"/>
                <w:lang w:val="en-US" w:eastAsia="zh-CN"/>
              </w:rPr>
              <w:t>6.2</w:t>
            </w:r>
            <w:r>
              <w:rPr>
                <w:rFonts w:hint="default" w:ascii="Times New Roman" w:hAnsi="Times New Roman" w:cs="Times New Roman"/>
                <w:b/>
                <w:bCs/>
                <w:kern w:val="24"/>
                <w:sz w:val="24"/>
                <w:szCs w:val="24"/>
              </w:rPr>
              <w:t>环境影响途径及环境危害后果</w:t>
            </w:r>
          </w:p>
          <w:p>
            <w:pPr>
              <w:spacing w:line="360" w:lineRule="auto"/>
              <w:ind w:firstLine="480" w:firstLineChars="200"/>
              <w:contextualSpacing/>
              <w:jc w:val="both"/>
              <w:rPr>
                <w:rFonts w:hint="default" w:ascii="Times New Roman" w:hAnsi="Times New Roman" w:cs="Times New Roman"/>
                <w:kern w:val="24"/>
                <w:sz w:val="24"/>
                <w:szCs w:val="24"/>
              </w:rPr>
            </w:pPr>
            <w:r>
              <w:rPr>
                <w:rFonts w:hint="default" w:ascii="Times New Roman" w:hAnsi="Times New Roman" w:cs="Times New Roman"/>
                <w:kern w:val="24"/>
                <w:sz w:val="24"/>
                <w:szCs w:val="24"/>
              </w:rPr>
              <w:t>（1）泄漏事故</w:t>
            </w:r>
          </w:p>
          <w:p>
            <w:pPr>
              <w:spacing w:line="360" w:lineRule="auto"/>
              <w:ind w:firstLine="480" w:firstLineChars="200"/>
              <w:contextualSpacing/>
              <w:rPr>
                <w:rFonts w:hint="default" w:ascii="Times New Roman" w:hAnsi="Times New Roman" w:cs="Times New Roman"/>
                <w:color w:val="auto"/>
                <w:kern w:val="24"/>
                <w:sz w:val="24"/>
              </w:rPr>
            </w:pPr>
            <w:r>
              <w:rPr>
                <w:rFonts w:hint="default" w:ascii="Times New Roman" w:hAnsi="Times New Roman" w:cs="Times New Roman"/>
                <w:color w:val="auto"/>
                <w:kern w:val="0"/>
                <w:sz w:val="24"/>
              </w:rPr>
              <w:t>废机油</w:t>
            </w:r>
            <w:r>
              <w:rPr>
                <w:rFonts w:hint="default" w:ascii="Times New Roman" w:hAnsi="Times New Roman" w:cs="Times New Roman"/>
                <w:color w:val="auto"/>
                <w:sz w:val="24"/>
              </w:rPr>
              <w:t>泄漏</w:t>
            </w:r>
            <w:r>
              <w:rPr>
                <w:rFonts w:hint="default" w:ascii="Times New Roman" w:hAnsi="Times New Roman" w:cs="Times New Roman"/>
                <w:color w:val="auto"/>
                <w:sz w:val="24"/>
                <w:lang w:val="en-US" w:eastAsia="zh-CN"/>
              </w:rPr>
              <w:t>原因有：</w:t>
            </w:r>
            <w:r>
              <w:rPr>
                <w:rFonts w:hint="default" w:ascii="Times New Roman" w:hAnsi="Times New Roman" w:cs="Times New Roman"/>
                <w:color w:val="auto"/>
                <w:sz w:val="24"/>
              </w:rPr>
              <w:t>若盛装的容器由于腐蚀穿孔或缺陷，破损发生泄漏；储存过程中，由于错误操作而泄漏；</w:t>
            </w:r>
            <w:r>
              <w:rPr>
                <w:rFonts w:hint="default" w:ascii="Times New Roman" w:hAnsi="Times New Roman" w:cs="Times New Roman"/>
                <w:color w:val="auto"/>
                <w:sz w:val="24"/>
                <w:lang w:val="en-US" w:eastAsia="zh-CN"/>
              </w:rPr>
              <w:t>容器</w:t>
            </w:r>
            <w:r>
              <w:rPr>
                <w:rFonts w:hint="default" w:ascii="Times New Roman" w:hAnsi="Times New Roman" w:cs="Times New Roman"/>
                <w:color w:val="auto"/>
                <w:sz w:val="24"/>
              </w:rPr>
              <w:t>材质低劣不符合要求，在储存过程中也可</w:t>
            </w:r>
            <w:r>
              <w:rPr>
                <w:rFonts w:hint="default" w:ascii="Times New Roman" w:hAnsi="Times New Roman" w:cs="Times New Roman"/>
                <w:color w:val="auto"/>
                <w:kern w:val="24"/>
                <w:sz w:val="24"/>
              </w:rPr>
              <w:t>能会发生泄漏。</w:t>
            </w:r>
          </w:p>
          <w:p>
            <w:pPr>
              <w:spacing w:line="360" w:lineRule="auto"/>
              <w:ind w:firstLine="480" w:firstLineChars="200"/>
              <w:contextualSpacing/>
              <w:jc w:val="both"/>
              <w:rPr>
                <w:rFonts w:hint="default" w:ascii="Times New Roman" w:hAnsi="Times New Roman" w:cs="Times New Roman"/>
                <w:sz w:val="24"/>
                <w:szCs w:val="24"/>
              </w:rPr>
            </w:pPr>
            <w:r>
              <w:rPr>
                <w:rFonts w:hint="default" w:ascii="Times New Roman" w:hAnsi="Times New Roman" w:cs="Times New Roman"/>
                <w:sz w:val="24"/>
                <w:szCs w:val="24"/>
              </w:rPr>
              <w:t>（2）火灾事故</w:t>
            </w:r>
          </w:p>
          <w:p>
            <w:pPr>
              <w:spacing w:line="360" w:lineRule="auto"/>
              <w:ind w:firstLine="480" w:firstLineChars="200"/>
              <w:contextualSpacing/>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废机油</w:t>
            </w:r>
            <w:r>
              <w:rPr>
                <w:rFonts w:hint="default" w:ascii="Times New Roman" w:hAnsi="Times New Roman" w:cs="Times New Roman"/>
                <w:sz w:val="24"/>
                <w:szCs w:val="24"/>
              </w:rPr>
              <w:t>易燃，其蒸气与空气可形成爆炸性混合物，遇明火、高热能引起燃烧爆炸。在火场中，受热的容器有爆炸危险。其蒸气比空气重，能在较低处扩散到相当远的地方，遇明火会引着回燃，其燃烧(分解)产物：一氧化碳、二氧化碳、氮氧化物。灭火过程中产生的消防废水散流造成的次生环境污染问题，灭火过程中产生的消防废水散流造成的次生环境污染问题。</w:t>
            </w:r>
          </w:p>
          <w:p>
            <w:pPr>
              <w:spacing w:line="360" w:lineRule="auto"/>
              <w:contextualSpacing/>
              <w:jc w:val="both"/>
              <w:rPr>
                <w:rFonts w:hint="default" w:ascii="Times New Roman" w:hAnsi="Times New Roman" w:cs="Times New Roman"/>
                <w:b/>
                <w:bCs/>
                <w:kern w:val="24"/>
                <w:sz w:val="24"/>
                <w:szCs w:val="24"/>
                <w:lang w:val="en-US" w:eastAsia="zh-CN"/>
              </w:rPr>
            </w:pPr>
            <w:r>
              <w:rPr>
                <w:rFonts w:hint="default" w:ascii="Times New Roman" w:hAnsi="Times New Roman" w:cs="Times New Roman"/>
                <w:b/>
                <w:bCs/>
                <w:kern w:val="24"/>
                <w:sz w:val="24"/>
                <w:szCs w:val="24"/>
                <w:lang w:val="en-US" w:eastAsia="zh-CN"/>
              </w:rPr>
              <w:t>6.3</w:t>
            </w:r>
            <w:r>
              <w:rPr>
                <w:rFonts w:hint="default" w:ascii="Times New Roman" w:hAnsi="Times New Roman" w:cs="Times New Roman"/>
                <w:b/>
                <w:bCs/>
                <w:kern w:val="24"/>
                <w:sz w:val="24"/>
                <w:szCs w:val="24"/>
              </w:rPr>
              <w:t>环境风险</w:t>
            </w:r>
            <w:r>
              <w:rPr>
                <w:rFonts w:hint="default" w:ascii="Times New Roman" w:hAnsi="Times New Roman" w:cs="Times New Roman"/>
                <w:b/>
                <w:bCs/>
                <w:kern w:val="24"/>
                <w:sz w:val="24"/>
                <w:szCs w:val="24"/>
                <w:lang w:val="en-US" w:eastAsia="zh-CN"/>
              </w:rPr>
              <w:t>防范措施</w:t>
            </w:r>
          </w:p>
          <w:p>
            <w:pPr>
              <w:pStyle w:val="10"/>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企业</w:t>
            </w:r>
            <w:r>
              <w:rPr>
                <w:rFonts w:hint="default" w:ascii="Times New Roman" w:hAnsi="Times New Roman" w:cs="Times New Roman"/>
                <w:color w:val="auto"/>
                <w:sz w:val="24"/>
                <w:szCs w:val="24"/>
                <w:highlight w:val="none"/>
                <w:lang w:eastAsia="zh-CN"/>
              </w:rPr>
              <w:t>危废贮存库</w:t>
            </w:r>
            <w:r>
              <w:rPr>
                <w:rFonts w:hint="default" w:ascii="Times New Roman" w:hAnsi="Times New Roman" w:eastAsia="宋体" w:cs="Times New Roman"/>
                <w:color w:val="auto"/>
                <w:sz w:val="24"/>
                <w:szCs w:val="24"/>
                <w:highlight w:val="none"/>
              </w:rPr>
              <w:t>作为重点防渗区</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具体防渗措施见前文</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同时，配置堵截泄漏的裙角。企业安排专人负责危废管理。</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危废贮存库</w:t>
            </w:r>
            <w:r>
              <w:rPr>
                <w:rFonts w:hint="default" w:ascii="Times New Roman" w:hAnsi="Times New Roman" w:cs="Times New Roman"/>
                <w:color w:val="auto"/>
                <w:sz w:val="24"/>
                <w:szCs w:val="24"/>
                <w:highlight w:val="none"/>
              </w:rPr>
              <w:t>地面和墙面做好防渗漏、防腐蚀的涂层，液体危废桶盛并加盖。各种危废分开整齐堆放，并设置标识；各危废认真清点，并做好台账，管理人员必须按照规定管理，认真入库管理，如有问题及时沟通协调解决。</w:t>
            </w:r>
          </w:p>
          <w:p>
            <w:pPr>
              <w:spacing w:line="360" w:lineRule="auto"/>
              <w:ind w:firstLine="480" w:firstLineChars="200"/>
              <w:contextualSpacing/>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突发泄漏时，可将泄漏物料控制在暂存间并将其大部分重新收集至贮桶内。通常回收完泄漏的物料后，用干砂、泥土或类似吸附剂吸附泄漏物，并收集到指定容器内，不允许出现随意丢弃现象，由有资质单位进行处置。发生该类事故，只要措施控制得当，</w:t>
            </w:r>
            <w:r>
              <w:rPr>
                <w:rFonts w:hint="default" w:ascii="Times New Roman" w:hAnsi="Times New Roman" w:cs="Times New Roman"/>
                <w:color w:val="auto"/>
                <w:kern w:val="24"/>
                <w:sz w:val="24"/>
              </w:rPr>
              <w:t>泄漏事故可控制在</w:t>
            </w:r>
            <w:r>
              <w:rPr>
                <w:rFonts w:hint="default" w:ascii="Times New Roman" w:hAnsi="Times New Roman" w:cs="Times New Roman"/>
                <w:b w:val="0"/>
                <w:bCs w:val="0"/>
                <w:color w:val="auto"/>
                <w:kern w:val="2"/>
                <w:sz w:val="24"/>
                <w:szCs w:val="24"/>
                <w:highlight w:val="none"/>
                <w:lang w:val="en-US" w:eastAsia="zh-CN"/>
              </w:rPr>
              <w:t>危废贮存库</w:t>
            </w:r>
            <w:r>
              <w:rPr>
                <w:rFonts w:hint="default" w:ascii="Times New Roman" w:hAnsi="Times New Roman" w:cs="Times New Roman"/>
                <w:color w:val="auto"/>
                <w:kern w:val="24"/>
                <w:sz w:val="24"/>
              </w:rPr>
              <w:t>内</w:t>
            </w:r>
            <w:r>
              <w:rPr>
                <w:rFonts w:hint="default" w:ascii="Times New Roman" w:hAnsi="Times New Roman" w:cs="Times New Roman"/>
                <w:color w:val="auto"/>
                <w:kern w:val="24"/>
                <w:sz w:val="24"/>
                <w:lang w:eastAsia="zh-CN"/>
              </w:rPr>
              <w:t>，</w:t>
            </w:r>
            <w:r>
              <w:rPr>
                <w:rFonts w:hint="default" w:ascii="Times New Roman" w:hAnsi="Times New Roman" w:cs="Times New Roman"/>
                <w:color w:val="auto"/>
                <w:sz w:val="24"/>
                <w:szCs w:val="24"/>
                <w:highlight w:val="none"/>
              </w:rPr>
              <w:t>不会造成泄漏物外排。</w:t>
            </w:r>
          </w:p>
          <w:p>
            <w:pPr>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6.4</w:t>
            </w:r>
            <w:r>
              <w:rPr>
                <w:rFonts w:hint="default" w:ascii="Times New Roman" w:hAnsi="Times New Roman" w:cs="Times New Roman"/>
                <w:b/>
                <w:bCs/>
                <w:color w:val="auto"/>
                <w:sz w:val="24"/>
                <w:szCs w:val="24"/>
                <w:highlight w:val="none"/>
              </w:rPr>
              <w:t>环境风险分析结论</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kern w:val="2"/>
                <w:sz w:val="24"/>
                <w:szCs w:val="22"/>
                <w:highlight w:val="none"/>
                <w:lang w:val="en-US" w:eastAsia="zh-CN" w:bidi="ar-SA"/>
              </w:rPr>
            </w:pPr>
            <w:r>
              <w:rPr>
                <w:rFonts w:hint="default" w:ascii="Times New Roman" w:hAnsi="Times New Roman" w:cs="Times New Roman"/>
                <w:color w:val="auto"/>
                <w:kern w:val="2"/>
                <w:sz w:val="24"/>
                <w:szCs w:val="24"/>
                <w:highlight w:val="none"/>
                <w:lang w:val="en-US" w:eastAsia="zh-CN"/>
              </w:rPr>
              <w:t>本项目涉及</w:t>
            </w:r>
            <w:r>
              <w:rPr>
                <w:rFonts w:hint="default" w:ascii="Times New Roman" w:hAnsi="Times New Roman" w:cs="Times New Roman"/>
                <w:kern w:val="24"/>
                <w:sz w:val="24"/>
                <w:szCs w:val="24"/>
              </w:rPr>
              <w:t>的风险物质为</w:t>
            </w:r>
            <w:r>
              <w:rPr>
                <w:rFonts w:hint="default" w:ascii="Times New Roman" w:hAnsi="Times New Roman" w:cs="Times New Roman"/>
                <w:bCs/>
                <w:kern w:val="24"/>
                <w:sz w:val="24"/>
                <w:szCs w:val="24"/>
                <w:lang w:val="en-US" w:eastAsia="zh-CN"/>
              </w:rPr>
              <w:t>废机油</w:t>
            </w:r>
            <w:r>
              <w:rPr>
                <w:rFonts w:hint="default" w:ascii="Times New Roman" w:hAnsi="Times New Roman" w:cs="Times New Roman"/>
                <w:color w:val="auto"/>
                <w:kern w:val="2"/>
                <w:sz w:val="24"/>
                <w:szCs w:val="24"/>
                <w:highlight w:val="none"/>
                <w:lang w:eastAsia="zh-CN"/>
              </w:rPr>
              <w:t>，</w:t>
            </w:r>
            <w:r>
              <w:rPr>
                <w:rFonts w:hint="default" w:ascii="Times New Roman" w:hAnsi="Times New Roman" w:cs="Times New Roman"/>
                <w:color w:val="auto"/>
                <w:sz w:val="24"/>
                <w:szCs w:val="24"/>
                <w:highlight w:val="none"/>
              </w:rPr>
              <w:t>风险发生的途径为泄</w:t>
            </w:r>
            <w:r>
              <w:rPr>
                <w:rFonts w:hint="eastAsia" w:ascii="Times New Roman" w:cs="Times New Roman"/>
                <w:color w:val="auto"/>
                <w:sz w:val="24"/>
                <w:szCs w:val="24"/>
                <w:highlight w:val="none"/>
                <w:lang w:eastAsia="zh-CN"/>
              </w:rPr>
              <w:t>漏</w:t>
            </w:r>
            <w:r>
              <w:rPr>
                <w:rFonts w:hint="default" w:ascii="Times New Roman" w:hAnsi="Times New Roman" w:cs="Times New Roman"/>
                <w:color w:val="auto"/>
                <w:sz w:val="24"/>
                <w:szCs w:val="24"/>
                <w:highlight w:val="none"/>
              </w:rPr>
              <w:t>、火灾</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爆炸</w:t>
            </w:r>
            <w:r>
              <w:rPr>
                <w:rFonts w:hint="default" w:ascii="Times New Roman" w:hAnsi="Times New Roman" w:cs="Times New Roman"/>
                <w:color w:val="auto"/>
                <w:sz w:val="24"/>
                <w:szCs w:val="24"/>
                <w:highlight w:val="none"/>
              </w:rPr>
              <w:t>，针对这些风险影响途径，采取环评规定的风险防范措施后，本项目的环境风险在可接受范围，同时企业要制定风险应急预案，当发生环境事件后应立即启动突发环境事件应急预案阻止事件的</w:t>
            </w:r>
            <w:r>
              <w:rPr>
                <w:rFonts w:hint="eastAsia" w:ascii="Times New Roman" w:cs="Times New Roman"/>
                <w:color w:val="auto"/>
                <w:sz w:val="24"/>
                <w:szCs w:val="24"/>
                <w:highlight w:val="none"/>
                <w:lang w:eastAsia="zh-CN"/>
              </w:rPr>
              <w:t>蔓延</w:t>
            </w:r>
            <w:r>
              <w:rPr>
                <w:rFonts w:hint="default" w:ascii="Times New Roman" w:hAnsi="Times New Roman" w:cs="Times New Roman"/>
                <w:color w:val="auto"/>
                <w:sz w:val="24"/>
                <w:szCs w:val="24"/>
                <w:highlight w:val="none"/>
              </w:rPr>
              <w:t>。</w:t>
            </w:r>
          </w:p>
        </w:tc>
      </w:tr>
    </w:tbl>
    <w:p>
      <w:pPr>
        <w:adjustRightInd w:val="0"/>
        <w:snapToGrid w:val="0"/>
        <w:spacing w:line="360" w:lineRule="auto"/>
        <w:rPr>
          <w:rFonts w:hint="default" w:ascii="Times New Roman" w:hAnsi="Times New Roman" w:cs="Times New Roman"/>
          <w:b/>
          <w:color w:val="auto"/>
          <w:kern w:val="0"/>
          <w:sz w:val="28"/>
          <w:szCs w:val="28"/>
          <w:highlight w:val="none"/>
        </w:rPr>
        <w:sectPr>
          <w:pgSz w:w="11907" w:h="16840"/>
          <w:pgMar w:top="1531" w:right="1531" w:bottom="1531" w:left="1531"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p>
      <w:pPr>
        <w:pStyle w:val="33"/>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line="460" w:lineRule="exact"/>
        <w:ind w:left="0" w:leftChars="0" w:right="0" w:rightChars="0" w:firstLine="0" w:firstLineChars="0"/>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五、</w:t>
      </w:r>
      <w:bookmarkStart w:id="49" w:name="_Hlk54167917"/>
      <w:r>
        <w:rPr>
          <w:rFonts w:hint="default" w:ascii="Times New Roman" w:hAnsi="Times New Roman" w:eastAsia="黑体" w:cs="Times New Roman"/>
          <w:snapToGrid w:val="0"/>
          <w:color w:val="auto"/>
          <w:sz w:val="30"/>
          <w:szCs w:val="30"/>
          <w:highlight w:val="none"/>
        </w:rPr>
        <w:t>环境保护措施监督检查清单</w:t>
      </w:r>
      <w:bookmarkEnd w:id="49"/>
    </w:p>
    <w:tbl>
      <w:tblPr>
        <w:tblStyle w:val="38"/>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974"/>
        <w:gridCol w:w="1454"/>
        <w:gridCol w:w="1575"/>
        <w:gridCol w:w="3030"/>
        <w:gridCol w:w="17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974" w:type="dxa"/>
            <w:tcBorders>
              <w:tl2br w:val="single" w:color="auto" w:sz="4" w:space="0"/>
            </w:tcBorders>
            <w:vAlign w:val="top"/>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firstLine="420" w:firstLineChars="200"/>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内容</w:t>
            </w:r>
          </w:p>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要素</w:t>
            </w:r>
          </w:p>
        </w:tc>
        <w:tc>
          <w:tcPr>
            <w:tcW w:w="1454" w:type="dxa"/>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排放口(编号、</w:t>
            </w:r>
          </w:p>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名称)/污染源</w:t>
            </w:r>
          </w:p>
        </w:tc>
        <w:tc>
          <w:tcPr>
            <w:tcW w:w="1575" w:type="dxa"/>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w:t>
            </w:r>
          </w:p>
        </w:tc>
        <w:tc>
          <w:tcPr>
            <w:tcW w:w="3030" w:type="dxa"/>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firstLine="420" w:firstLineChars="20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环境保护措施</w:t>
            </w:r>
          </w:p>
        </w:tc>
        <w:tc>
          <w:tcPr>
            <w:tcW w:w="1767" w:type="dxa"/>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firstLine="420" w:firstLineChars="20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35" w:hRule="atLeast"/>
          <w:jc w:val="center"/>
        </w:trPr>
        <w:tc>
          <w:tcPr>
            <w:tcW w:w="974" w:type="dxa"/>
            <w:vMerge w:val="restart"/>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大气环境</w:t>
            </w:r>
          </w:p>
        </w:tc>
        <w:tc>
          <w:tcPr>
            <w:tcW w:w="1454"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color w:val="auto"/>
                <w:sz w:val="21"/>
                <w:szCs w:val="21"/>
                <w:highlight w:val="none"/>
                <w:lang w:val="en-US" w:eastAsia="zh-CN"/>
              </w:rPr>
              <w:t>锅炉废气</w:t>
            </w:r>
            <w:r>
              <w:rPr>
                <w:rFonts w:hint="default" w:ascii="Times New Roman" w:hAnsi="Times New Roman" w:cs="Times New Roman"/>
                <w:color w:val="auto"/>
                <w:sz w:val="21"/>
                <w:szCs w:val="21"/>
                <w:highlight w:val="none"/>
              </w:rPr>
              <w:t>DA00</w:t>
            </w:r>
            <w:r>
              <w:rPr>
                <w:rFonts w:hint="default" w:ascii="Times New Roman" w:hAnsi="Times New Roman" w:cs="Times New Roman"/>
                <w:color w:val="auto"/>
                <w:sz w:val="21"/>
                <w:szCs w:val="21"/>
                <w:highlight w:val="none"/>
                <w:lang w:val="en-US" w:eastAsia="zh-CN"/>
              </w:rPr>
              <w:t>1</w:t>
            </w:r>
          </w:p>
        </w:tc>
        <w:tc>
          <w:tcPr>
            <w:tcW w:w="1575" w:type="dxa"/>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w:t>
            </w:r>
          </w:p>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SO</w:t>
            </w:r>
            <w:r>
              <w:rPr>
                <w:rFonts w:hint="default" w:ascii="Times New Roman" w:hAnsi="Times New Roman" w:cs="Times New Roman"/>
                <w:color w:val="auto"/>
                <w:sz w:val="21"/>
                <w:szCs w:val="21"/>
                <w:highlight w:val="none"/>
                <w:vertAlign w:val="subscript"/>
                <w:lang w:val="en-US" w:eastAsia="zh-CN"/>
              </w:rPr>
              <w:t>2</w:t>
            </w:r>
            <w:r>
              <w:rPr>
                <w:rFonts w:hint="default" w:ascii="Times New Roman" w:hAnsi="Times New Roman" w:cs="Times New Roman"/>
                <w:color w:val="auto"/>
                <w:sz w:val="21"/>
                <w:szCs w:val="21"/>
                <w:highlight w:val="none"/>
                <w:lang w:val="en-US" w:eastAsia="zh-CN"/>
              </w:rPr>
              <w:t>、NO</w:t>
            </w:r>
            <w:r>
              <w:rPr>
                <w:rFonts w:hint="default" w:ascii="Times New Roman" w:hAnsi="Times New Roman" w:cs="Times New Roman"/>
                <w:color w:val="auto"/>
                <w:sz w:val="21"/>
                <w:szCs w:val="21"/>
                <w:highlight w:val="none"/>
                <w:vertAlign w:val="subscript"/>
                <w:lang w:val="en-US" w:eastAsia="zh-CN"/>
              </w:rPr>
              <w:t>X</w:t>
            </w:r>
          </w:p>
        </w:tc>
        <w:tc>
          <w:tcPr>
            <w:tcW w:w="3030" w:type="dxa"/>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both"/>
              <w:textAlignment w:val="auto"/>
              <w:outlineLvl w:val="9"/>
              <w:rPr>
                <w:rFonts w:hint="default" w:ascii="Times New Roman" w:hAnsi="Times New Roman" w:cs="Times New Roman"/>
                <w:color w:val="auto"/>
                <w:sz w:val="21"/>
                <w:szCs w:val="21"/>
                <w:highlight w:val="none"/>
              </w:rPr>
            </w:pPr>
            <w:r>
              <w:rPr>
                <w:rFonts w:hint="default" w:ascii="Times New Roman" w:hAnsi="Times New Roman" w:eastAsia="宋体" w:cs="Times New Roman"/>
                <w:iCs w:val="0"/>
                <w:color w:val="auto"/>
                <w:spacing w:val="0"/>
                <w:kern w:val="0"/>
                <w:sz w:val="21"/>
                <w:szCs w:val="21"/>
                <w:highlight w:val="none"/>
                <w:lang w:val="en-US" w:eastAsia="zh-CN" w:bidi="ar-SA"/>
              </w:rPr>
              <w:t>烟气经低氮燃烧+SNCR脱硝+</w:t>
            </w:r>
            <w:r>
              <w:rPr>
                <w:rFonts w:hint="default" w:ascii="Times New Roman" w:hAnsi="Times New Roman" w:cs="Times New Roman"/>
                <w:iCs w:val="0"/>
                <w:color w:val="auto"/>
                <w:spacing w:val="0"/>
                <w:kern w:val="0"/>
                <w:sz w:val="21"/>
                <w:szCs w:val="21"/>
                <w:highlight w:val="none"/>
                <w:lang w:val="en-US" w:eastAsia="zh-CN" w:bidi="ar-SA"/>
              </w:rPr>
              <w:t>旋风</w:t>
            </w:r>
            <w:r>
              <w:rPr>
                <w:rFonts w:hint="default" w:ascii="Times New Roman" w:hAnsi="Times New Roman" w:eastAsia="宋体" w:cs="Times New Roman"/>
                <w:iCs w:val="0"/>
                <w:color w:val="auto"/>
                <w:spacing w:val="0"/>
                <w:kern w:val="0"/>
                <w:sz w:val="21"/>
                <w:szCs w:val="21"/>
                <w:highlight w:val="none"/>
                <w:lang w:val="en-US" w:eastAsia="zh-CN" w:bidi="ar-SA"/>
              </w:rPr>
              <w:t>除尘+布袋除尘器处理后经1根</w:t>
            </w:r>
            <w:r>
              <w:rPr>
                <w:rFonts w:hint="default" w:ascii="Times New Roman" w:hAnsi="Times New Roman" w:cs="Times New Roman"/>
                <w:iCs w:val="0"/>
                <w:color w:val="auto"/>
                <w:spacing w:val="0"/>
                <w:kern w:val="0"/>
                <w:sz w:val="21"/>
                <w:szCs w:val="21"/>
                <w:highlight w:val="none"/>
                <w:lang w:val="en-US" w:eastAsia="zh-CN" w:bidi="ar-SA"/>
              </w:rPr>
              <w:t>30</w:t>
            </w:r>
            <w:r>
              <w:rPr>
                <w:rFonts w:hint="default" w:ascii="Times New Roman" w:hAnsi="Times New Roman" w:eastAsia="宋体" w:cs="Times New Roman"/>
                <w:iCs w:val="0"/>
                <w:color w:val="auto"/>
                <w:spacing w:val="0"/>
                <w:kern w:val="0"/>
                <w:sz w:val="21"/>
                <w:szCs w:val="21"/>
                <w:highlight w:val="none"/>
                <w:lang w:val="en-US" w:eastAsia="zh-CN" w:bidi="ar-SA"/>
              </w:rPr>
              <w:t>m高排气筒外排</w:t>
            </w:r>
          </w:p>
        </w:tc>
        <w:tc>
          <w:tcPr>
            <w:tcW w:w="1767" w:type="dxa"/>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山西省《锅炉大气污染物排放标准》（DB14/1929-2019）表2中新建燃</w:t>
            </w:r>
            <w:r>
              <w:rPr>
                <w:rFonts w:hint="eastAsia" w:ascii="Times New Roman" w:cs="Times New Roman"/>
                <w:color w:val="auto"/>
                <w:sz w:val="21"/>
                <w:szCs w:val="21"/>
                <w:highlight w:val="none"/>
                <w:lang w:val="en-US" w:eastAsia="zh-CN"/>
              </w:rPr>
              <w:t>气</w:t>
            </w:r>
            <w:r>
              <w:rPr>
                <w:rFonts w:hint="default" w:ascii="Times New Roman" w:hAnsi="Times New Roman" w:cs="Times New Roman"/>
                <w:color w:val="auto"/>
                <w:sz w:val="21"/>
                <w:szCs w:val="21"/>
                <w:highlight w:val="none"/>
                <w:lang w:val="en-US" w:eastAsia="zh-CN"/>
              </w:rPr>
              <w:t>生物质锅炉排放浓度限值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5" w:hRule="atLeast"/>
          <w:jc w:val="center"/>
        </w:trPr>
        <w:tc>
          <w:tcPr>
            <w:tcW w:w="974" w:type="dxa"/>
            <w:vMerge w:val="continue"/>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p>
        </w:tc>
        <w:tc>
          <w:tcPr>
            <w:tcW w:w="145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bCs/>
                <w:color w:val="auto"/>
                <w:sz w:val="21"/>
                <w:szCs w:val="21"/>
                <w:lang w:val="en-US" w:eastAsia="zh-CN" w:bidi="ar-SA"/>
              </w:rPr>
            </w:pPr>
            <w:r>
              <w:rPr>
                <w:rFonts w:hint="default" w:ascii="Times New Roman" w:hAnsi="Times New Roman" w:cs="Times New Roman"/>
                <w:bCs/>
                <w:color w:val="auto"/>
                <w:sz w:val="21"/>
                <w:szCs w:val="21"/>
                <w:lang w:val="en-US" w:eastAsia="zh-CN"/>
              </w:rPr>
              <w:t>污水处理设施</w:t>
            </w:r>
          </w:p>
        </w:tc>
        <w:tc>
          <w:tcPr>
            <w:tcW w:w="1575" w:type="dxa"/>
            <w:shd w:val="clear" w:color="auto" w:fill="auto"/>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氨、硫化氢、臭气浓度</w:t>
            </w:r>
          </w:p>
        </w:tc>
        <w:tc>
          <w:tcPr>
            <w:tcW w:w="3030" w:type="dxa"/>
            <w:shd w:val="clear" w:color="auto" w:fill="auto"/>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both"/>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一体化污水处理设施全封闭，</w:t>
            </w:r>
            <w:r>
              <w:rPr>
                <w:rFonts w:hint="default" w:ascii="Times New Roman" w:hAnsi="Times New Roman" w:eastAsia="宋体" w:cs="Times New Roman"/>
                <w:color w:val="auto"/>
                <w:sz w:val="21"/>
                <w:szCs w:val="21"/>
                <w:highlight w:val="none"/>
                <w:lang w:val="en-US" w:eastAsia="zh-CN"/>
              </w:rPr>
              <w:t>定期对污水处理站喷洒植物提取液除臭剂，以去除臭味</w:t>
            </w:r>
            <w:r>
              <w:rPr>
                <w:rFonts w:hint="eastAsia" w:ascii="Times New Roman" w:cs="Times New Roman"/>
                <w:color w:val="auto"/>
                <w:sz w:val="21"/>
                <w:szCs w:val="21"/>
                <w:highlight w:val="none"/>
                <w:lang w:val="en-US" w:eastAsia="zh-CN"/>
              </w:rPr>
              <w:t>；在厂区内设置绿化带</w:t>
            </w:r>
          </w:p>
        </w:tc>
        <w:tc>
          <w:tcPr>
            <w:tcW w:w="1767" w:type="dxa"/>
            <w:shd w:val="clear" w:color="auto" w:fill="auto"/>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《恶臭污染物排放标准》（GB14554-1993）表1中二级新扩改建标准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446" w:hRule="atLeast"/>
          <w:jc w:val="center"/>
        </w:trPr>
        <w:tc>
          <w:tcPr>
            <w:tcW w:w="974" w:type="dxa"/>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地表水</w:t>
            </w:r>
          </w:p>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w:t>
            </w:r>
          </w:p>
        </w:tc>
        <w:tc>
          <w:tcPr>
            <w:tcW w:w="1454" w:type="dxa"/>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生活污水</w:t>
            </w:r>
            <w:r>
              <w:rPr>
                <w:rFonts w:hint="eastAsia" w:asci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洗涤废水、锅炉排污水</w:t>
            </w:r>
          </w:p>
        </w:tc>
        <w:tc>
          <w:tcPr>
            <w:tcW w:w="1575" w:type="dxa"/>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COD、BOD</w:t>
            </w:r>
            <w:r>
              <w:rPr>
                <w:rFonts w:hint="default" w:ascii="Times New Roman" w:hAnsi="Times New Roman" w:cs="Times New Roman"/>
                <w:color w:val="auto"/>
                <w:sz w:val="21"/>
                <w:szCs w:val="21"/>
                <w:highlight w:val="none"/>
                <w:vertAlign w:val="subscript"/>
                <w:lang w:val="en-US" w:eastAsia="zh-CN"/>
              </w:rPr>
              <w:t>5</w:t>
            </w:r>
            <w:r>
              <w:rPr>
                <w:rFonts w:hint="default" w:ascii="Times New Roman" w:hAnsi="Times New Roman" w:cs="Times New Roman"/>
                <w:color w:val="auto"/>
                <w:sz w:val="21"/>
                <w:szCs w:val="21"/>
                <w:highlight w:val="none"/>
                <w:lang w:val="en-US" w:eastAsia="zh-CN"/>
              </w:rPr>
              <w:t>、NH</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cs="Times New Roman"/>
                <w:color w:val="auto"/>
                <w:sz w:val="21"/>
                <w:szCs w:val="21"/>
                <w:highlight w:val="none"/>
                <w:lang w:val="en-US" w:eastAsia="zh-CN"/>
              </w:rPr>
              <w:t>-N、SS、阴离子表面活性剂</w:t>
            </w:r>
            <w:r>
              <w:rPr>
                <w:rFonts w:hint="eastAsia" w:ascii="Times New Roman" w:cs="Times New Roman"/>
                <w:color w:val="auto"/>
                <w:sz w:val="21"/>
                <w:szCs w:val="21"/>
                <w:highlight w:val="none"/>
                <w:lang w:val="en-US" w:eastAsia="zh-CN"/>
              </w:rPr>
              <w:t>等</w:t>
            </w:r>
          </w:p>
        </w:tc>
        <w:tc>
          <w:tcPr>
            <w:tcW w:w="3030" w:type="dxa"/>
            <w:shd w:val="clear" w:color="auto" w:fill="auto"/>
            <w:vAlign w:val="center"/>
          </w:tcPr>
          <w:p>
            <w:pPr>
              <w:pStyle w:val="4"/>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生活污水、洗涤废水、锅炉排污水经</w:t>
            </w:r>
            <w:r>
              <w:rPr>
                <w:rFonts w:hint="eastAsia" w:ascii="Times New Roman" w:hAnsi="Times New Roman" w:cs="Times New Roman"/>
                <w:color w:val="auto"/>
                <w:sz w:val="21"/>
                <w:szCs w:val="21"/>
                <w:highlight w:val="none"/>
                <w:lang w:val="en-US" w:eastAsia="zh-CN"/>
              </w:rPr>
              <w:t>地埋式一体化</w:t>
            </w:r>
            <w:r>
              <w:rPr>
                <w:rFonts w:hint="default" w:ascii="Times New Roman" w:hAnsi="Times New Roman" w:cs="Times New Roman"/>
                <w:color w:val="auto"/>
                <w:sz w:val="21"/>
                <w:szCs w:val="21"/>
                <w:highlight w:val="none"/>
                <w:lang w:val="en-US" w:eastAsia="zh-CN"/>
              </w:rPr>
              <w:t>污水处理站处理后，由罐车每天拉至市政污水管网排放点，进入翼城县润灏水务有限公司处理</w:t>
            </w:r>
          </w:p>
        </w:tc>
        <w:tc>
          <w:tcPr>
            <w:tcW w:w="1767" w:type="dxa"/>
            <w:shd w:val="clear" w:color="auto" w:fill="auto"/>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both"/>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《污水排入城镇下水道水质标准》（GB/T31962-2015）中的A等级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 w:hRule="atLeast"/>
          <w:jc w:val="center"/>
        </w:trPr>
        <w:tc>
          <w:tcPr>
            <w:tcW w:w="974" w:type="dxa"/>
            <w:vMerge w:val="restart"/>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w:t>
            </w:r>
          </w:p>
        </w:tc>
        <w:tc>
          <w:tcPr>
            <w:tcW w:w="1454" w:type="dxa"/>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机械设备</w:t>
            </w:r>
          </w:p>
        </w:tc>
        <w:tc>
          <w:tcPr>
            <w:tcW w:w="1575" w:type="dxa"/>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噪声</w:t>
            </w:r>
          </w:p>
        </w:tc>
        <w:tc>
          <w:tcPr>
            <w:tcW w:w="3030" w:type="dxa"/>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both"/>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选用低噪声设备、对各产噪设备采用室内布置、减振基础、隔振基础、柔性连接方式、厂界绿化等减振、消声和隔声措施</w:t>
            </w:r>
          </w:p>
        </w:tc>
        <w:tc>
          <w:tcPr>
            <w:tcW w:w="1767" w:type="dxa"/>
            <w:vMerge w:val="restart"/>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both"/>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《工业企业厂界环境噪声排放标准》（GB12348-2008）</w:t>
            </w:r>
            <w:r>
              <w:rPr>
                <w:rFonts w:hint="eastAsia" w:asci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 w:hRule="atLeast"/>
          <w:jc w:val="center"/>
        </w:trPr>
        <w:tc>
          <w:tcPr>
            <w:tcW w:w="974" w:type="dxa"/>
            <w:vMerge w:val="continue"/>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firstLine="420" w:firstLineChars="200"/>
              <w:jc w:val="center"/>
              <w:textAlignment w:val="auto"/>
              <w:rPr>
                <w:rFonts w:hint="default" w:ascii="Times New Roman" w:hAnsi="Times New Roman" w:cs="Times New Roman"/>
                <w:color w:val="auto"/>
                <w:sz w:val="21"/>
                <w:szCs w:val="21"/>
                <w:highlight w:val="none"/>
              </w:rPr>
            </w:pPr>
          </w:p>
        </w:tc>
        <w:tc>
          <w:tcPr>
            <w:tcW w:w="1454" w:type="dxa"/>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运输车辆</w:t>
            </w:r>
          </w:p>
        </w:tc>
        <w:tc>
          <w:tcPr>
            <w:tcW w:w="1575" w:type="dxa"/>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噪声</w:t>
            </w:r>
          </w:p>
        </w:tc>
        <w:tc>
          <w:tcPr>
            <w:tcW w:w="3030" w:type="dxa"/>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both"/>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加强维护管理，加强管理，良好运行</w:t>
            </w:r>
          </w:p>
        </w:tc>
        <w:tc>
          <w:tcPr>
            <w:tcW w:w="1767" w:type="dxa"/>
            <w:vMerge w:val="continue"/>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firstLine="420" w:firstLineChars="200"/>
              <w:textAlignment w:val="auto"/>
              <w:outlineLvl w:val="9"/>
              <w:rPr>
                <w:rFonts w:hint="default" w:ascii="Times New Roman" w:hAnsi="Times New Roman"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 w:hRule="atLeast"/>
          <w:jc w:val="center"/>
        </w:trPr>
        <w:tc>
          <w:tcPr>
            <w:tcW w:w="974" w:type="dxa"/>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电磁辐射</w:t>
            </w:r>
          </w:p>
        </w:tc>
        <w:tc>
          <w:tcPr>
            <w:tcW w:w="1454" w:type="dxa"/>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575" w:type="dxa"/>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030" w:type="dxa"/>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1767" w:type="dxa"/>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 w:hRule="atLeast"/>
          <w:jc w:val="center"/>
        </w:trPr>
        <w:tc>
          <w:tcPr>
            <w:tcW w:w="974" w:type="dxa"/>
            <w:vMerge w:val="restart"/>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固体废物</w:t>
            </w:r>
          </w:p>
        </w:tc>
        <w:tc>
          <w:tcPr>
            <w:tcW w:w="1454" w:type="dxa"/>
            <w:vAlign w:val="center"/>
          </w:tcPr>
          <w:p>
            <w:pPr>
              <w:keepNext w:val="0"/>
              <w:keepLines w:val="0"/>
              <w:pageBreakBefore w:val="0"/>
              <w:widowControl w:val="0"/>
              <w:kinsoku/>
              <w:wordWrap w:val="0"/>
              <w:overflowPunct/>
              <w:topLinePunct w:val="0"/>
              <w:autoSpaceDE/>
              <w:autoSpaceDN/>
              <w:bidi w:val="0"/>
              <w:spacing w:line="280" w:lineRule="exact"/>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kern w:val="0"/>
                <w:sz w:val="21"/>
                <w:szCs w:val="21"/>
                <w:lang w:val="en-US" w:eastAsia="zh-CN"/>
              </w:rPr>
              <w:t>原辅材料废包装袋</w:t>
            </w:r>
          </w:p>
        </w:tc>
        <w:tc>
          <w:tcPr>
            <w:tcW w:w="1575"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lang w:val="en-US" w:eastAsia="zh-CN"/>
              </w:rPr>
              <w:t>废包装袋</w:t>
            </w:r>
          </w:p>
        </w:tc>
        <w:tc>
          <w:tcPr>
            <w:tcW w:w="3030"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rPr>
              <w:t>集中收集后暂存于</w:t>
            </w:r>
            <w:r>
              <w:rPr>
                <w:rFonts w:hint="default" w:ascii="Times New Roman" w:hAnsi="Times New Roman" w:eastAsia="宋体" w:cs="Times New Roman"/>
                <w:color w:val="auto"/>
                <w:kern w:val="0"/>
                <w:sz w:val="21"/>
                <w:szCs w:val="21"/>
                <w:lang w:eastAsia="zh-CN"/>
              </w:rPr>
              <w:t>一般固废暂存区</w:t>
            </w:r>
            <w:r>
              <w:rPr>
                <w:rFonts w:hint="default" w:ascii="Times New Roman" w:hAnsi="Times New Roman" w:eastAsia="宋体" w:cs="Times New Roman"/>
                <w:color w:val="auto"/>
                <w:kern w:val="0"/>
                <w:sz w:val="21"/>
                <w:szCs w:val="21"/>
              </w:rPr>
              <w:t>，定期外售于废品回收站综合利用</w:t>
            </w:r>
          </w:p>
        </w:tc>
        <w:tc>
          <w:tcPr>
            <w:tcW w:w="1767" w:type="dxa"/>
            <w:vMerge w:val="restart"/>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right="0" w:right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 w:hRule="atLeast"/>
          <w:jc w:val="center"/>
        </w:trPr>
        <w:tc>
          <w:tcPr>
            <w:tcW w:w="974" w:type="dxa"/>
            <w:vMerge w:val="continue"/>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firstLine="420" w:firstLineChars="200"/>
              <w:textAlignment w:val="auto"/>
              <w:rPr>
                <w:rFonts w:hint="default" w:ascii="Times New Roman" w:hAnsi="Times New Roman" w:cs="Times New Roman"/>
                <w:color w:val="auto"/>
                <w:sz w:val="21"/>
                <w:szCs w:val="21"/>
                <w:highlight w:val="none"/>
              </w:rPr>
            </w:pPr>
          </w:p>
        </w:tc>
        <w:tc>
          <w:tcPr>
            <w:tcW w:w="1454" w:type="dxa"/>
            <w:vMerge w:val="restart"/>
            <w:vAlign w:val="center"/>
          </w:tcPr>
          <w:p>
            <w:pPr>
              <w:keepNext w:val="0"/>
              <w:keepLines w:val="0"/>
              <w:pageBreakBefore w:val="0"/>
              <w:widowControl w:val="0"/>
              <w:kinsoku/>
              <w:wordWrap w:val="0"/>
              <w:overflowPunct/>
              <w:topLinePunct w:val="0"/>
              <w:autoSpaceDE/>
              <w:autoSpaceDN/>
              <w:bidi w:val="0"/>
              <w:spacing w:line="280" w:lineRule="exact"/>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lang w:val="en-US" w:eastAsia="zh-CN"/>
              </w:rPr>
              <w:t>锅炉</w:t>
            </w:r>
          </w:p>
        </w:tc>
        <w:tc>
          <w:tcPr>
            <w:tcW w:w="1575"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lang w:val="en-US" w:eastAsia="zh-CN"/>
              </w:rPr>
              <w:t>锅炉灰渣</w:t>
            </w:r>
          </w:p>
        </w:tc>
        <w:tc>
          <w:tcPr>
            <w:tcW w:w="3030" w:type="dxa"/>
            <w:vMerge w:val="restart"/>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lang w:val="en-US" w:eastAsia="en-US"/>
              </w:rPr>
              <w:t>在</w:t>
            </w:r>
            <w:r>
              <w:rPr>
                <w:rFonts w:hint="default" w:ascii="Times New Roman" w:hAnsi="Times New Roman" w:eastAsia="宋体" w:cs="Times New Roman"/>
                <w:color w:val="auto"/>
                <w:kern w:val="0"/>
                <w:sz w:val="21"/>
                <w:szCs w:val="21"/>
                <w:lang w:val="en-US" w:eastAsia="zh-CN"/>
              </w:rPr>
              <w:t>一般固废暂存区</w:t>
            </w:r>
            <w:r>
              <w:rPr>
                <w:rFonts w:hint="default" w:ascii="Times New Roman" w:hAnsi="Times New Roman" w:eastAsia="宋体" w:cs="Times New Roman"/>
                <w:color w:val="auto"/>
                <w:kern w:val="0"/>
                <w:sz w:val="21"/>
                <w:szCs w:val="21"/>
                <w:lang w:val="en-US" w:eastAsia="en-US"/>
              </w:rPr>
              <w:t>暂存后外售至有机肥料厂综合利用</w:t>
            </w:r>
          </w:p>
        </w:tc>
        <w:tc>
          <w:tcPr>
            <w:tcW w:w="1767" w:type="dxa"/>
            <w:vMerge w:val="continue"/>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firstLine="420" w:firstLineChars="200"/>
              <w:textAlignment w:val="auto"/>
              <w:outlineLvl w:val="9"/>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 w:hRule="atLeast"/>
          <w:jc w:val="center"/>
        </w:trPr>
        <w:tc>
          <w:tcPr>
            <w:tcW w:w="974" w:type="dxa"/>
            <w:vMerge w:val="continue"/>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firstLine="420" w:firstLineChars="200"/>
              <w:textAlignment w:val="auto"/>
              <w:rPr>
                <w:rFonts w:hint="default" w:ascii="Times New Roman" w:hAnsi="Times New Roman" w:cs="Times New Roman"/>
                <w:color w:val="auto"/>
                <w:sz w:val="21"/>
                <w:szCs w:val="21"/>
                <w:highlight w:val="none"/>
              </w:rPr>
            </w:pPr>
          </w:p>
        </w:tc>
        <w:tc>
          <w:tcPr>
            <w:tcW w:w="1454" w:type="dxa"/>
            <w:vMerge w:val="continue"/>
            <w:vAlign w:val="center"/>
          </w:tcPr>
          <w:p>
            <w:pPr>
              <w:keepNext w:val="0"/>
              <w:keepLines w:val="0"/>
              <w:pageBreakBefore w:val="0"/>
              <w:widowControl w:val="0"/>
              <w:kinsoku/>
              <w:wordWrap w:val="0"/>
              <w:overflowPunct/>
              <w:topLinePunct w:val="0"/>
              <w:autoSpaceDE/>
              <w:autoSpaceDN/>
              <w:bidi w:val="0"/>
              <w:spacing w:line="280" w:lineRule="exact"/>
              <w:ind w:left="0" w:leftChars="0" w:right="0" w:rightChars="0"/>
              <w:jc w:val="center"/>
              <w:textAlignment w:val="auto"/>
              <w:rPr>
                <w:rFonts w:hint="default" w:ascii="Times New Roman" w:hAnsi="Times New Roman" w:cs="Times New Roman"/>
                <w:color w:val="auto"/>
                <w:sz w:val="21"/>
                <w:szCs w:val="21"/>
                <w:highlight w:val="none"/>
                <w:lang w:val="en-US" w:eastAsia="zh-CN"/>
              </w:rPr>
            </w:pPr>
          </w:p>
        </w:tc>
        <w:tc>
          <w:tcPr>
            <w:tcW w:w="1575"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lang w:val="en-US" w:eastAsia="zh-CN"/>
              </w:rPr>
              <w:t>除尘灰</w:t>
            </w:r>
          </w:p>
        </w:tc>
        <w:tc>
          <w:tcPr>
            <w:tcW w:w="3030" w:type="dxa"/>
            <w:vMerge w:val="continue"/>
            <w:vAlign w:val="center"/>
          </w:tcPr>
          <w:p>
            <w:pPr>
              <w:keepNext w:val="0"/>
              <w:keepLines w:val="0"/>
              <w:pageBreakBefore w:val="0"/>
              <w:widowControl w:val="0"/>
              <w:kinsoku/>
              <w:wordWrap w:val="0"/>
              <w:overflowPunct/>
              <w:topLinePunct w:val="0"/>
              <w:autoSpaceDE/>
              <w:autoSpaceDN/>
              <w:bidi w:val="0"/>
              <w:spacing w:line="280" w:lineRule="exact"/>
              <w:ind w:left="0" w:leftChars="0" w:right="0" w:rightChars="0"/>
              <w:jc w:val="center"/>
              <w:textAlignment w:val="auto"/>
              <w:rPr>
                <w:rFonts w:hint="default" w:ascii="Times New Roman" w:hAnsi="Times New Roman" w:cs="Times New Roman"/>
                <w:color w:val="auto"/>
                <w:sz w:val="21"/>
                <w:szCs w:val="21"/>
                <w:highlight w:val="none"/>
                <w:lang w:val="en-US" w:eastAsia="zh-CN"/>
              </w:rPr>
            </w:pPr>
          </w:p>
        </w:tc>
        <w:tc>
          <w:tcPr>
            <w:tcW w:w="1767" w:type="dxa"/>
            <w:vMerge w:val="continue"/>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firstLine="420" w:firstLineChars="200"/>
              <w:textAlignment w:val="auto"/>
              <w:outlineLvl w:val="9"/>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 w:hRule="atLeast"/>
          <w:jc w:val="center"/>
        </w:trPr>
        <w:tc>
          <w:tcPr>
            <w:tcW w:w="974" w:type="dxa"/>
            <w:vMerge w:val="continue"/>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firstLine="420" w:firstLineChars="200"/>
              <w:textAlignment w:val="auto"/>
              <w:rPr>
                <w:rFonts w:hint="default" w:ascii="Times New Roman" w:hAnsi="Times New Roman" w:cs="Times New Roman"/>
                <w:color w:val="auto"/>
                <w:sz w:val="21"/>
                <w:szCs w:val="21"/>
                <w:highlight w:val="none"/>
              </w:rPr>
            </w:pPr>
          </w:p>
        </w:tc>
        <w:tc>
          <w:tcPr>
            <w:tcW w:w="1454" w:type="dxa"/>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rPr>
              <w:t>污水处理</w:t>
            </w:r>
          </w:p>
        </w:tc>
        <w:tc>
          <w:tcPr>
            <w:tcW w:w="1575" w:type="dxa"/>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rPr>
              <w:t>污水处理站污泥</w:t>
            </w:r>
          </w:p>
        </w:tc>
        <w:tc>
          <w:tcPr>
            <w:tcW w:w="3030" w:type="dxa"/>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rPr>
              <w:t>定期清理，脱水后交由环卫部门清运，不在厂区内长时间停留</w:t>
            </w:r>
          </w:p>
        </w:tc>
        <w:tc>
          <w:tcPr>
            <w:tcW w:w="1767" w:type="dxa"/>
            <w:vMerge w:val="continue"/>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firstLine="420" w:firstLineChars="200"/>
              <w:textAlignment w:val="auto"/>
              <w:outlineLvl w:val="9"/>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 w:hRule="atLeast"/>
          <w:jc w:val="center"/>
        </w:trPr>
        <w:tc>
          <w:tcPr>
            <w:tcW w:w="974" w:type="dxa"/>
            <w:vMerge w:val="continue"/>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firstLine="420" w:firstLineChars="200"/>
              <w:textAlignment w:val="auto"/>
              <w:rPr>
                <w:rFonts w:hint="default" w:ascii="Times New Roman" w:hAnsi="Times New Roman" w:cs="Times New Roman"/>
                <w:color w:val="auto"/>
                <w:sz w:val="21"/>
                <w:szCs w:val="21"/>
                <w:highlight w:val="none"/>
              </w:rPr>
            </w:pPr>
          </w:p>
        </w:tc>
        <w:tc>
          <w:tcPr>
            <w:tcW w:w="1454"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lang w:val="en-US" w:eastAsia="zh-CN"/>
              </w:rPr>
              <w:t>软水制备</w:t>
            </w:r>
          </w:p>
        </w:tc>
        <w:tc>
          <w:tcPr>
            <w:tcW w:w="1575"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rPr>
              <w:t>废离子交换树脂</w:t>
            </w:r>
          </w:p>
        </w:tc>
        <w:tc>
          <w:tcPr>
            <w:tcW w:w="3030"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rPr>
              <w:t>由设备公司定期上门更换和回收，不在厂内储存</w:t>
            </w:r>
          </w:p>
        </w:tc>
        <w:tc>
          <w:tcPr>
            <w:tcW w:w="1767" w:type="dxa"/>
            <w:vMerge w:val="continue"/>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firstLine="420" w:firstLineChars="200"/>
              <w:textAlignment w:val="auto"/>
              <w:outlineLvl w:val="9"/>
              <w:rPr>
                <w:rFonts w:hint="default" w:ascii="Times New Roman" w:hAnsi="Times New Roman"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34" w:hRule="atLeast"/>
          <w:jc w:val="center"/>
        </w:trPr>
        <w:tc>
          <w:tcPr>
            <w:tcW w:w="974" w:type="dxa"/>
            <w:vMerge w:val="continue"/>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firstLine="420" w:firstLineChars="200"/>
              <w:textAlignment w:val="auto"/>
              <w:rPr>
                <w:rFonts w:hint="default" w:ascii="Times New Roman" w:hAnsi="Times New Roman" w:cs="Times New Roman"/>
                <w:color w:val="auto"/>
                <w:sz w:val="21"/>
                <w:szCs w:val="21"/>
                <w:highlight w:val="none"/>
              </w:rPr>
            </w:pPr>
          </w:p>
        </w:tc>
        <w:tc>
          <w:tcPr>
            <w:tcW w:w="1454" w:type="dxa"/>
            <w:vAlign w:val="center"/>
          </w:tcPr>
          <w:p>
            <w:pPr>
              <w:keepNext w:val="0"/>
              <w:keepLines w:val="0"/>
              <w:pageBreakBefore w:val="0"/>
              <w:widowControl w:val="0"/>
              <w:kinsoku/>
              <w:overflowPunct/>
              <w:topLinePunct w:val="0"/>
              <w:autoSpaceDE/>
              <w:autoSpaceDN/>
              <w:bidi w:val="0"/>
              <w:adjustRightInd w:val="0"/>
              <w:spacing w:line="280" w:lineRule="exact"/>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snapToGrid w:val="0"/>
                <w:color w:val="auto"/>
                <w:sz w:val="21"/>
                <w:szCs w:val="21"/>
              </w:rPr>
              <w:t>机械设备检修</w:t>
            </w:r>
          </w:p>
        </w:tc>
        <w:tc>
          <w:tcPr>
            <w:tcW w:w="1575" w:type="dxa"/>
            <w:vAlign w:val="center"/>
          </w:tcPr>
          <w:p>
            <w:pPr>
              <w:keepNext w:val="0"/>
              <w:keepLines w:val="0"/>
              <w:pageBreakBefore w:val="0"/>
              <w:widowControl w:val="0"/>
              <w:kinsoku/>
              <w:overflowPunct/>
              <w:topLinePunct w:val="0"/>
              <w:autoSpaceDE/>
              <w:autoSpaceDN/>
              <w:bidi w:val="0"/>
              <w:adjustRightInd w:val="0"/>
              <w:spacing w:line="280" w:lineRule="exact"/>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snapToGrid w:val="0"/>
                <w:color w:val="auto"/>
                <w:sz w:val="21"/>
                <w:szCs w:val="21"/>
                <w:highlight w:val="none"/>
              </w:rPr>
              <w:t>废机油、废油桶、含油抹布等</w:t>
            </w:r>
          </w:p>
        </w:tc>
        <w:tc>
          <w:tcPr>
            <w:tcW w:w="3030" w:type="dxa"/>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both"/>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pacing w:val="0"/>
                <w:sz w:val="21"/>
                <w:szCs w:val="21"/>
                <w:highlight w:val="none"/>
                <w:lang w:val="en-US" w:eastAsia="zh-CN"/>
              </w:rPr>
              <w:t>建设1间10</w:t>
            </w:r>
            <w:r>
              <w:rPr>
                <w:rFonts w:hint="default" w:ascii="Times New Roman" w:hAnsi="Times New Roman" w:eastAsia="宋体" w:cs="Times New Roman"/>
                <w:color w:val="auto"/>
                <w:spacing w:val="0"/>
                <w:sz w:val="21"/>
                <w:szCs w:val="21"/>
                <w:highlight w:val="none"/>
                <w:lang w:val="en-US" w:eastAsia="zh-CN"/>
              </w:rPr>
              <w:t>m</w:t>
            </w:r>
            <w:r>
              <w:rPr>
                <w:rFonts w:hint="default" w:ascii="Times New Roman" w:hAnsi="Times New Roman" w:eastAsia="宋体" w:cs="Times New Roman"/>
                <w:color w:val="auto"/>
                <w:spacing w:val="0"/>
                <w:sz w:val="21"/>
                <w:szCs w:val="21"/>
                <w:highlight w:val="none"/>
                <w:vertAlign w:val="superscript"/>
                <w:lang w:val="en-US" w:eastAsia="zh-CN"/>
              </w:rPr>
              <w:t>3</w:t>
            </w:r>
            <w:r>
              <w:rPr>
                <w:rFonts w:hint="default" w:ascii="Times New Roman" w:hAnsi="Times New Roman" w:eastAsia="宋体" w:cs="Times New Roman"/>
                <w:color w:val="auto"/>
                <w:spacing w:val="0"/>
                <w:sz w:val="21"/>
                <w:szCs w:val="21"/>
                <w:highlight w:val="none"/>
                <w:lang w:val="en-US" w:eastAsia="zh-CN"/>
              </w:rPr>
              <w:t>的</w:t>
            </w:r>
            <w:r>
              <w:rPr>
                <w:rFonts w:hint="default" w:ascii="Times New Roman" w:hAnsi="Times New Roman" w:cs="Times New Roman"/>
                <w:color w:val="auto"/>
                <w:spacing w:val="0"/>
                <w:sz w:val="21"/>
                <w:szCs w:val="21"/>
                <w:highlight w:val="none"/>
                <w:lang w:val="en-US" w:eastAsia="zh-CN"/>
              </w:rPr>
              <w:t>危废贮存库</w:t>
            </w:r>
            <w:r>
              <w:rPr>
                <w:rFonts w:hint="default" w:ascii="Times New Roman" w:hAnsi="Times New Roman" w:eastAsia="宋体" w:cs="Times New Roman"/>
                <w:color w:val="auto"/>
                <w:spacing w:val="0"/>
                <w:sz w:val="21"/>
                <w:szCs w:val="21"/>
                <w:highlight w:val="none"/>
                <w:lang w:val="en-US" w:eastAsia="zh-CN"/>
              </w:rPr>
              <w:t>，各类危险废物暂存于</w:t>
            </w:r>
            <w:r>
              <w:rPr>
                <w:rFonts w:hint="default" w:ascii="Times New Roman" w:hAnsi="Times New Roman" w:cs="Times New Roman"/>
                <w:color w:val="auto"/>
                <w:spacing w:val="0"/>
                <w:sz w:val="21"/>
                <w:szCs w:val="21"/>
                <w:highlight w:val="none"/>
                <w:lang w:val="en-US" w:eastAsia="zh-CN"/>
              </w:rPr>
              <w:t>危废贮存库内，</w:t>
            </w:r>
            <w:r>
              <w:rPr>
                <w:rFonts w:hint="default" w:ascii="Times New Roman" w:hAnsi="Times New Roman" w:eastAsia="宋体" w:cs="Times New Roman"/>
                <w:color w:val="auto"/>
                <w:spacing w:val="0"/>
                <w:sz w:val="21"/>
                <w:szCs w:val="21"/>
                <w:highlight w:val="none"/>
                <w:lang w:val="en-US" w:eastAsia="zh-CN"/>
              </w:rPr>
              <w:t>分类分区暂存，交由有相应资质单位进行处理</w:t>
            </w:r>
          </w:p>
        </w:tc>
        <w:tc>
          <w:tcPr>
            <w:tcW w:w="1767" w:type="dxa"/>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《危险废物贮存污染控制标准》（GB18597-20</w:t>
            </w:r>
            <w:r>
              <w:rPr>
                <w:rFonts w:hint="default" w:ascii="Times New Roman" w:hAnsi="Times New Roman" w:cs="Times New Roman"/>
                <w:color w:val="auto"/>
                <w:sz w:val="21"/>
                <w:szCs w:val="21"/>
                <w:highlight w:val="none"/>
                <w:lang w:val="en-US" w:eastAsia="zh-CN"/>
              </w:rPr>
              <w:t>23</w:t>
            </w:r>
            <w:r>
              <w:rPr>
                <w:rFonts w:hint="default" w:ascii="Times New Roman" w:hAnsi="Times New Roman"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3" w:hRule="atLeast"/>
          <w:jc w:val="center"/>
        </w:trPr>
        <w:tc>
          <w:tcPr>
            <w:tcW w:w="974" w:type="dxa"/>
            <w:vMerge w:val="continue"/>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firstLine="420" w:firstLineChars="200"/>
              <w:textAlignment w:val="auto"/>
              <w:rPr>
                <w:rFonts w:hint="default" w:ascii="Times New Roman" w:hAnsi="Times New Roman" w:cs="Times New Roman"/>
                <w:color w:val="auto"/>
                <w:sz w:val="21"/>
                <w:szCs w:val="21"/>
                <w:highlight w:val="none"/>
              </w:rPr>
            </w:pPr>
          </w:p>
        </w:tc>
        <w:tc>
          <w:tcPr>
            <w:tcW w:w="1454" w:type="dxa"/>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职工生活</w:t>
            </w:r>
          </w:p>
        </w:tc>
        <w:tc>
          <w:tcPr>
            <w:tcW w:w="1575" w:type="dxa"/>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center"/>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生活垃圾</w:t>
            </w:r>
          </w:p>
        </w:tc>
        <w:tc>
          <w:tcPr>
            <w:tcW w:w="3030" w:type="dxa"/>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both"/>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经厂区内垃圾桶集中收集后，置于当地环卫部门指定地点</w:t>
            </w:r>
          </w:p>
        </w:tc>
        <w:tc>
          <w:tcPr>
            <w:tcW w:w="1767" w:type="dxa"/>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974" w:type="dxa"/>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土壤及地下水</w:t>
            </w:r>
          </w:p>
          <w:p>
            <w:pPr>
              <w:keepNext w:val="0"/>
              <w:keepLines w:val="0"/>
              <w:pageBreakBefore w:val="0"/>
              <w:widowControl w:val="0"/>
              <w:kinsoku/>
              <w:wordWrap w:val="0"/>
              <w:overflowPunct/>
              <w:topLinePunct w:val="0"/>
              <w:autoSpaceDE/>
              <w:autoSpaceDN/>
              <w:bidi w:val="0"/>
              <w:adjustRightInd w:val="0"/>
              <w:snapToGrid w:val="0"/>
              <w:spacing w:line="280" w:lineRule="exact"/>
              <w:ind w:left="0" w:leftChars="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污染防治措施</w:t>
            </w:r>
          </w:p>
        </w:tc>
        <w:tc>
          <w:tcPr>
            <w:tcW w:w="7826" w:type="dxa"/>
            <w:gridSpan w:val="4"/>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rPr>
              <w:t>按“源头控制，分区防控，污染监控，应急防控”的地下水污染防治总体原则，</w:t>
            </w:r>
            <w:r>
              <w:rPr>
                <w:rFonts w:hint="default" w:ascii="Times New Roman" w:hAnsi="Times New Roman" w:cs="Times New Roman"/>
                <w:color w:val="auto"/>
                <w:kern w:val="2"/>
                <w:sz w:val="21"/>
                <w:szCs w:val="21"/>
                <w:highlight w:val="none"/>
                <w:lang w:eastAsia="zh-CN"/>
              </w:rPr>
              <w:t>在做好防止和减少跑冒滴漏等源头防治措施的基础上，进行分区防控：</w:t>
            </w:r>
          </w:p>
          <w:p>
            <w:pPr>
              <w:keepNext w:val="0"/>
              <w:keepLines w:val="0"/>
              <w:pageBreakBefore w:val="0"/>
              <w:widowControl w:val="0"/>
              <w:kinsoku/>
              <w:wordWrap w:val="0"/>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default" w:ascii="Times New Roman" w:hAnsi="Times New Roman"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lang w:val="en-US" w:eastAsia="zh-CN"/>
              </w:rPr>
              <w:t>重点防渗区主要是危废贮存库、污水</w:t>
            </w:r>
            <w:r>
              <w:rPr>
                <w:rFonts w:hint="eastAsia" w:ascii="Times New Roman" w:cs="Times New Roman"/>
                <w:color w:val="auto"/>
                <w:kern w:val="2"/>
                <w:sz w:val="21"/>
                <w:szCs w:val="21"/>
                <w:highlight w:val="none"/>
                <w:lang w:val="en-US" w:eastAsia="zh-CN"/>
              </w:rPr>
              <w:t>池</w:t>
            </w:r>
            <w:r>
              <w:rPr>
                <w:rFonts w:hint="default" w:ascii="Times New Roman" w:hAnsi="Times New Roman" w:cs="Times New Roman"/>
                <w:color w:val="auto"/>
                <w:kern w:val="2"/>
                <w:sz w:val="21"/>
                <w:szCs w:val="21"/>
                <w:highlight w:val="none"/>
                <w:lang w:val="en-US" w:eastAsia="zh-CN"/>
              </w:rPr>
              <w:t>：基础必须防渗，防渗层为至少1m厚黏土层（渗透系数不大于</w:t>
            </w:r>
            <w:r>
              <w:rPr>
                <w:rFonts w:hint="default" w:ascii="Times New Roman" w:hAnsi="Times New Roman" w:cs="Times New Roman"/>
                <w:color w:val="auto"/>
                <w:kern w:val="2"/>
                <w:sz w:val="21"/>
                <w:szCs w:val="21"/>
                <w:highlight w:val="none"/>
              </w:rPr>
              <w:t>10</w:t>
            </w:r>
            <w:r>
              <w:rPr>
                <w:rFonts w:hint="default" w:ascii="Times New Roman" w:hAnsi="Times New Roman" w:cs="Times New Roman"/>
                <w:color w:val="auto"/>
                <w:kern w:val="2"/>
                <w:sz w:val="21"/>
                <w:szCs w:val="21"/>
                <w:highlight w:val="none"/>
                <w:vertAlign w:val="superscript"/>
              </w:rPr>
              <w:t>-</w:t>
            </w:r>
            <w:r>
              <w:rPr>
                <w:rFonts w:hint="default" w:ascii="Times New Roman" w:hAnsi="Times New Roman" w:cs="Times New Roman"/>
                <w:color w:val="auto"/>
                <w:kern w:val="2"/>
                <w:sz w:val="21"/>
                <w:szCs w:val="21"/>
                <w:highlight w:val="none"/>
                <w:vertAlign w:val="superscript"/>
                <w:lang w:val="en-US" w:eastAsia="zh-CN"/>
              </w:rPr>
              <w:t>7</w:t>
            </w:r>
            <w:r>
              <w:rPr>
                <w:rFonts w:hint="default" w:ascii="Times New Roman" w:hAnsi="Times New Roman" w:cs="Times New Roman"/>
                <w:color w:val="auto"/>
                <w:kern w:val="2"/>
                <w:sz w:val="21"/>
                <w:szCs w:val="21"/>
                <w:highlight w:val="none"/>
              </w:rPr>
              <w:t>cm/s</w:t>
            </w:r>
            <w:r>
              <w:rPr>
                <w:rFonts w:hint="default" w:ascii="Times New Roman" w:hAnsi="Times New Roman" w:cs="Times New Roman"/>
                <w:color w:val="auto"/>
                <w:kern w:val="2"/>
                <w:sz w:val="21"/>
                <w:szCs w:val="21"/>
                <w:highlight w:val="none"/>
                <w:lang w:val="en-US" w:eastAsia="zh-CN"/>
              </w:rPr>
              <w:t>）或至少2mm厚的高密度聚乙烯膜等人工防渗材料（渗透系数不大于</w:t>
            </w:r>
            <w:r>
              <w:rPr>
                <w:rFonts w:hint="default" w:ascii="Times New Roman" w:hAnsi="Times New Roman" w:cs="Times New Roman"/>
                <w:color w:val="auto"/>
                <w:kern w:val="2"/>
                <w:sz w:val="21"/>
                <w:szCs w:val="21"/>
                <w:highlight w:val="none"/>
              </w:rPr>
              <w:t>10</w:t>
            </w:r>
            <w:r>
              <w:rPr>
                <w:rFonts w:hint="default" w:ascii="Times New Roman" w:hAnsi="Times New Roman" w:cs="Times New Roman"/>
                <w:color w:val="auto"/>
                <w:kern w:val="2"/>
                <w:sz w:val="21"/>
                <w:szCs w:val="21"/>
                <w:highlight w:val="none"/>
                <w:vertAlign w:val="superscript"/>
              </w:rPr>
              <w:t>-</w:t>
            </w:r>
            <w:r>
              <w:rPr>
                <w:rFonts w:hint="default" w:ascii="Times New Roman" w:hAnsi="Times New Roman" w:cs="Times New Roman"/>
                <w:color w:val="auto"/>
                <w:kern w:val="2"/>
                <w:sz w:val="21"/>
                <w:szCs w:val="21"/>
                <w:highlight w:val="none"/>
                <w:vertAlign w:val="superscript"/>
                <w:lang w:val="en-US" w:eastAsia="zh-CN"/>
              </w:rPr>
              <w:t>10</w:t>
            </w:r>
            <w:r>
              <w:rPr>
                <w:rFonts w:hint="default" w:ascii="Times New Roman" w:hAnsi="Times New Roman" w:cs="Times New Roman"/>
                <w:color w:val="auto"/>
                <w:kern w:val="2"/>
                <w:sz w:val="21"/>
                <w:szCs w:val="21"/>
                <w:highlight w:val="none"/>
              </w:rPr>
              <w:t>cm/s</w:t>
            </w:r>
            <w:r>
              <w:rPr>
                <w:rFonts w:hint="default" w:ascii="Times New Roman" w:hAnsi="Times New Roman" w:cs="Times New Roman"/>
                <w:color w:val="auto"/>
                <w:kern w:val="2"/>
                <w:sz w:val="21"/>
                <w:szCs w:val="21"/>
                <w:highlight w:val="none"/>
                <w:lang w:val="en-US" w:eastAsia="zh-CN"/>
              </w:rPr>
              <w:t>）或其他防渗性能等效的材料</w:t>
            </w:r>
            <w:r>
              <w:rPr>
                <w:rFonts w:hint="default" w:ascii="Times New Roman" w:hAnsi="Times New Roman" w:cs="Times New Roman"/>
                <w:color w:val="auto"/>
                <w:kern w:val="2"/>
                <w:sz w:val="21"/>
                <w:szCs w:val="21"/>
                <w:highlight w:val="none"/>
                <w:lang w:eastAsia="zh-CN"/>
              </w:rPr>
              <w:t>。</w:t>
            </w:r>
          </w:p>
          <w:p>
            <w:pPr>
              <w:keepNext w:val="0"/>
              <w:keepLines w:val="0"/>
              <w:pageBreakBefore w:val="0"/>
              <w:widowControl w:val="0"/>
              <w:kinsoku/>
              <w:wordWrap w:val="0"/>
              <w:overflowPunct/>
              <w:topLinePunct w:val="0"/>
              <w:autoSpaceDE/>
              <w:autoSpaceDN/>
              <w:bidi w:val="0"/>
              <w:adjustRightInd/>
              <w:snapToGrid/>
              <w:spacing w:line="240" w:lineRule="exact"/>
              <w:ind w:left="0" w:leftChars="0" w:right="0" w:rightChars="0" w:firstLine="0" w:firstLineChars="0"/>
              <w:textAlignment w:val="auto"/>
              <w:outlineLvl w:val="9"/>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一般防渗区：生产车间、锅炉房，</w:t>
            </w:r>
            <w:r>
              <w:rPr>
                <w:rFonts w:hint="default" w:ascii="Times New Roman" w:hAnsi="Times New Roman" w:cs="Times New Roman"/>
                <w:color w:val="auto"/>
                <w:kern w:val="0"/>
                <w:sz w:val="21"/>
                <w:szCs w:val="21"/>
                <w:highlight w:val="none"/>
                <w:lang w:bidi="ar"/>
              </w:rPr>
              <w:t>等效粘土防渗层Mb≥1.5m，K≤1×10</w:t>
            </w:r>
            <w:r>
              <w:rPr>
                <w:rFonts w:hint="default" w:ascii="Times New Roman" w:hAnsi="Times New Roman" w:cs="Times New Roman"/>
                <w:color w:val="auto"/>
                <w:kern w:val="0"/>
                <w:sz w:val="21"/>
                <w:szCs w:val="21"/>
                <w:highlight w:val="none"/>
                <w:vertAlign w:val="superscript"/>
                <w:lang w:bidi="ar"/>
              </w:rPr>
              <w:t>-7</w:t>
            </w:r>
            <w:r>
              <w:rPr>
                <w:rFonts w:hint="default" w:ascii="Times New Roman" w:hAnsi="Times New Roman" w:cs="Times New Roman"/>
                <w:color w:val="auto"/>
                <w:kern w:val="0"/>
                <w:sz w:val="21"/>
                <w:szCs w:val="21"/>
                <w:highlight w:val="none"/>
                <w:lang w:bidi="ar"/>
              </w:rPr>
              <w:t>cm/s</w:t>
            </w:r>
            <w:r>
              <w:rPr>
                <w:rFonts w:hint="default" w:ascii="Times New Roman" w:hAnsi="Times New Roman" w:cs="Times New Roman"/>
                <w:color w:val="auto"/>
                <w:kern w:val="2"/>
                <w:sz w:val="21"/>
                <w:szCs w:val="21"/>
                <w:highlight w:val="none"/>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240" w:lineRule="exact"/>
              <w:ind w:left="0" w:leftChars="0" w:right="0" w:rightChars="0" w:firstLine="0" w:firstLineChars="0"/>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kern w:val="2"/>
                <w:sz w:val="21"/>
                <w:szCs w:val="21"/>
                <w:highlight w:val="none"/>
                <w:lang w:val="en-US" w:eastAsia="zh-CN"/>
              </w:rPr>
              <w:t>简单防渗区：办公区及其他区域为简单防渗区，地面硬化即可。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974" w:type="dxa"/>
            <w:vAlign w:val="center"/>
          </w:tcPr>
          <w:p>
            <w:pPr>
              <w:keepNext w:val="0"/>
              <w:keepLines w:val="0"/>
              <w:pageBreakBefore w:val="0"/>
              <w:widowControl w:val="0"/>
              <w:kinsoku/>
              <w:wordWrap w:val="0"/>
              <w:overflowPunct/>
              <w:topLinePunct w:val="0"/>
              <w:autoSpaceDE/>
              <w:autoSpaceDN/>
              <w:bidi w:val="0"/>
              <w:adjustRightInd w:val="0"/>
              <w:snapToGrid w:val="0"/>
              <w:spacing w:line="280" w:lineRule="exact"/>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生态保护措施</w:t>
            </w:r>
          </w:p>
        </w:tc>
        <w:tc>
          <w:tcPr>
            <w:tcW w:w="7826" w:type="dxa"/>
            <w:gridSpan w:val="4"/>
            <w:vAlign w:val="center"/>
          </w:tcPr>
          <w:p>
            <w:pPr>
              <w:keepNext w:val="0"/>
              <w:keepLines w:val="0"/>
              <w:pageBreakBefore w:val="0"/>
              <w:widowControl w:val="0"/>
              <w:kinsoku/>
              <w:wordWrap w:val="0"/>
              <w:overflowPunct/>
              <w:topLinePunct w:val="0"/>
              <w:autoSpaceDE/>
              <w:autoSpaceDN/>
              <w:bidi w:val="0"/>
              <w:adjustRightInd/>
              <w:snapToGrid/>
              <w:spacing w:line="260" w:lineRule="exact"/>
              <w:ind w:left="0" w:leftChars="0" w:right="0" w:rightChars="0" w:firstLine="0" w:firstLineChars="0"/>
              <w:textAlignment w:val="auto"/>
              <w:outlineLvl w:val="9"/>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厂区的绿化、美化。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974" w:type="dxa"/>
            <w:vAlign w:val="center"/>
          </w:tcPr>
          <w:p>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环境风险</w:t>
            </w:r>
          </w:p>
          <w:p>
            <w:pPr>
              <w:keepNext w:val="0"/>
              <w:keepLines w:val="0"/>
              <w:pageBreakBefore w:val="0"/>
              <w:widowControl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防范措施</w:t>
            </w:r>
          </w:p>
        </w:tc>
        <w:tc>
          <w:tcPr>
            <w:tcW w:w="7826" w:type="dxa"/>
            <w:gridSpan w:val="4"/>
            <w:vAlign w:val="center"/>
          </w:tcPr>
          <w:p>
            <w:pPr>
              <w:keepNext w:val="0"/>
              <w:keepLines w:val="0"/>
              <w:pageBreakBefore w:val="0"/>
              <w:widowControl w:val="0"/>
              <w:kinsoku/>
              <w:wordWrap w:val="0"/>
              <w:overflowPunct/>
              <w:topLinePunct w:val="0"/>
              <w:autoSpaceDE/>
              <w:autoSpaceDN/>
              <w:bidi w:val="0"/>
              <w:adjustRightInd/>
              <w:snapToGrid/>
              <w:spacing w:line="260" w:lineRule="exact"/>
              <w:ind w:left="0" w:leftChars="0" w:right="0" w:rightChars="0" w:firstLine="0" w:firstLineChars="0"/>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本项目涉及的风险物质为废机油，储存于危废贮存库。</w:t>
            </w:r>
          </w:p>
          <w:p>
            <w:pPr>
              <w:pStyle w:val="2"/>
              <w:keepNext w:val="0"/>
              <w:keepLines w:val="0"/>
              <w:pageBreakBefore w:val="0"/>
              <w:widowControl w:val="0"/>
              <w:kinsoku/>
              <w:overflowPunct/>
              <w:topLinePunct w:val="0"/>
              <w:bidi w:val="0"/>
              <w:snapToGrid/>
              <w:spacing w:line="260" w:lineRule="exact"/>
              <w:ind w:left="0" w:leftChars="0" w:right="0" w:rightChars="0" w:firstLine="0" w:firstLineChars="0"/>
              <w:textAlignment w:val="auto"/>
              <w:rPr>
                <w:rFonts w:hint="default" w:ascii="Times New Roman" w:hAnsi="Times New Roman" w:cs="Times New Roman"/>
                <w:sz w:val="21"/>
                <w:szCs w:val="21"/>
              </w:rPr>
            </w:pPr>
            <w:r>
              <w:rPr>
                <w:rFonts w:hint="default" w:ascii="Times New Roman" w:hAnsi="Times New Roman" w:cs="Times New Roman"/>
                <w:color w:val="auto"/>
                <w:sz w:val="21"/>
                <w:szCs w:val="21"/>
                <w:lang w:val="en-US" w:eastAsia="zh-CN"/>
              </w:rPr>
              <w:t>主要采取措施有：</w:t>
            </w:r>
            <w:r>
              <w:rPr>
                <w:rFonts w:hint="default" w:ascii="Times New Roman" w:hAnsi="Times New Roman" w:cs="Times New Roman"/>
                <w:color w:val="auto"/>
                <w:sz w:val="21"/>
                <w:szCs w:val="21"/>
              </w:rPr>
              <w:t>①定期对职工进行必要的安全培训，提高安全防范风险的意识，对于新员工必须经过安全培训后才能进行生产作业。</w:t>
            </w:r>
            <w:r>
              <w:rPr>
                <w:rFonts w:hint="default" w:ascii="Times New Roman" w:hAnsi="Times New Roman" w:cs="Times New Roman"/>
                <w:color w:val="auto"/>
                <w:sz w:val="21"/>
                <w:szCs w:val="21"/>
                <w:highlight w:val="none"/>
                <w:lang w:val="en-US" w:eastAsia="zh-CN"/>
              </w:rPr>
              <w:t>②</w:t>
            </w:r>
            <w:r>
              <w:rPr>
                <w:rFonts w:hint="default" w:ascii="Times New Roman" w:hAnsi="Times New Roman" w:cs="Times New Roman"/>
                <w:color w:val="auto"/>
                <w:sz w:val="21"/>
                <w:szCs w:val="21"/>
              </w:rPr>
              <w:t>设置必要消防设备。</w:t>
            </w:r>
            <w:r>
              <w:rPr>
                <w:rFonts w:hint="default" w:ascii="Times New Roman" w:hAnsi="Times New Roman" w:cs="Times New Roman"/>
                <w:bCs/>
                <w:color w:val="auto"/>
                <w:sz w:val="21"/>
                <w:szCs w:val="21"/>
                <w:lang w:val="en-US" w:eastAsia="zh-CN"/>
              </w:rPr>
              <w:t>③</w:t>
            </w:r>
            <w:r>
              <w:rPr>
                <w:rFonts w:hint="default" w:ascii="Times New Roman" w:hAnsi="Times New Roman" w:cs="Times New Roman"/>
                <w:sz w:val="21"/>
                <w:szCs w:val="21"/>
                <w:lang w:val="en-US" w:eastAsia="zh-CN"/>
              </w:rPr>
              <w:t>危废贮存库</w:t>
            </w:r>
            <w:r>
              <w:rPr>
                <w:rFonts w:hint="default" w:ascii="Times New Roman" w:hAnsi="Times New Roman" w:cs="Times New Roman"/>
                <w:bCs/>
                <w:color w:val="auto"/>
                <w:sz w:val="21"/>
                <w:szCs w:val="21"/>
              </w:rPr>
              <w:t>进行重点防渗，并设置导流装置及导流槽</w:t>
            </w:r>
            <w:r>
              <w:rPr>
                <w:rFonts w:hint="default" w:ascii="Times New Roman" w:hAnsi="Times New Roman"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974" w:type="dxa"/>
            <w:vAlign w:val="center"/>
          </w:tcPr>
          <w:p>
            <w:pPr>
              <w:keepNext w:val="0"/>
              <w:keepLines w:val="0"/>
              <w:pageBreakBefore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其他环境</w:t>
            </w:r>
          </w:p>
          <w:p>
            <w:pPr>
              <w:keepNext w:val="0"/>
              <w:keepLines w:val="0"/>
              <w:pageBreakBefore w:val="0"/>
              <w:kinsoku/>
              <w:wordWrap w:val="0"/>
              <w:overflowPunct/>
              <w:topLinePunct w:val="0"/>
              <w:autoSpaceDE/>
              <w:autoSpaceDN/>
              <w:bidi w:val="0"/>
              <w:adjustRightInd w:val="0"/>
              <w:snapToGrid w:val="0"/>
              <w:spacing w:line="320" w:lineRule="exact"/>
              <w:jc w:val="center"/>
              <w:textAlignment w:val="auto"/>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rPr>
              <w:t>管理要求</w:t>
            </w:r>
          </w:p>
        </w:tc>
        <w:tc>
          <w:tcPr>
            <w:tcW w:w="7826" w:type="dxa"/>
            <w:gridSpan w:val="4"/>
            <w:vAlign w:val="center"/>
          </w:tcPr>
          <w:p>
            <w:pPr>
              <w:pStyle w:val="2"/>
              <w:pageBreakBefore w:val="0"/>
              <w:kinsoku/>
              <w:overflowPunct/>
              <w:topLinePunct w:val="0"/>
              <w:bidi w:val="0"/>
              <w:spacing w:line="280" w:lineRule="exact"/>
              <w:ind w:right="0" w:right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企业应严格按照本次评价提出的环保设施，完成各种环保设施的建设；严格执行各项生产及环境管理制度，保证生产的正常进行；立环保设施档案卡，对环保设施定期进行检查、维护，做到勤查、勤记、勤养护；按照监测计划定期组织厂内的污染源监测；积极配合环保部门的检查、验收；定期总结数据，寻找规律，不断改进生产操作，降低排污。</w:t>
            </w:r>
          </w:p>
        </w:tc>
      </w:tr>
    </w:tbl>
    <w:p>
      <w:pPr>
        <w:pStyle w:val="33"/>
        <w:keepNext w:val="0"/>
        <w:keepLines w:val="0"/>
        <w:pageBreakBefore w:val="0"/>
        <w:widowControl/>
        <w:kinsoku/>
        <w:wordWrap/>
        <w:overflowPunct/>
        <w:topLinePunct w:val="0"/>
        <w:autoSpaceDE/>
        <w:autoSpaceDN/>
        <w:bidi w:val="0"/>
        <w:adjustRightInd/>
        <w:snapToGrid/>
        <w:spacing w:before="157" w:beforeLines="50" w:beforeAutospacing="0" w:after="157" w:afterLines="50" w:afterAutospacing="0" w:line="460" w:lineRule="exact"/>
        <w:ind w:left="0" w:leftChars="0" w:right="0" w:rightChars="0" w:firstLine="0" w:firstLineChars="0"/>
        <w:jc w:val="center"/>
        <w:textAlignment w:val="auto"/>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cs="Times New Roman"/>
          <w:snapToGrid w:val="0"/>
          <w:color w:val="auto"/>
          <w:highlight w:val="none"/>
        </w:rPr>
        <w:br w:type="page"/>
      </w:r>
      <w:r>
        <w:rPr>
          <w:rFonts w:hint="default" w:ascii="Times New Roman" w:hAnsi="Times New Roman" w:eastAsia="黑体" w:cs="Times New Roman"/>
          <w:snapToGrid w:val="0"/>
          <w:color w:val="auto"/>
          <w:sz w:val="30"/>
          <w:szCs w:val="30"/>
          <w:highlight w:val="none"/>
        </w:rPr>
        <w:t>六、结论</w:t>
      </w:r>
    </w:p>
    <w:tbl>
      <w:tblPr>
        <w:tblStyle w:val="38"/>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66" w:hRule="atLeast"/>
          <w:jc w:val="center"/>
        </w:trPr>
        <w:tc>
          <w:tcPr>
            <w:tcW w:w="8865" w:type="dxa"/>
            <w:vAlign w:val="top"/>
          </w:tcPr>
          <w:p>
            <w:pPr>
              <w:pStyle w:val="85"/>
              <w:spacing w:line="360" w:lineRule="auto"/>
              <w:jc w:val="both"/>
              <w:rPr>
                <w:rFonts w:hint="default" w:ascii="Times New Roman" w:hAnsi="Times New Roman" w:cs="Times New Roman"/>
                <w:b w:val="0"/>
                <w:bCs w:val="0"/>
                <w:color w:val="auto"/>
                <w:sz w:val="24"/>
                <w:highlight w:val="none"/>
              </w:rPr>
            </w:pP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综上所述，本项目符合国家产业政策，符合相关规划要求。评价认为，建设单位只要认真贯彻执行国家的环保法律、法规，在项目设计、施工和投产运行中切实落实本报告中提出的各项环保措施，确保污染治理设施的正常和稳定运行，严格执行环保“三同时”要求和排污许可要求的前提下，从环保角度讲，本项目的建设是可行的。</w:t>
            </w:r>
          </w:p>
          <w:p>
            <w:pPr>
              <w:keepNext w:val="0"/>
              <w:keepLines w:val="0"/>
              <w:pageBreakBefore w:val="0"/>
              <w:widowControl w:val="0"/>
              <w:kinsoku/>
              <w:wordWrap/>
              <w:overflowPunct/>
              <w:topLinePunct w:val="0"/>
              <w:bidi w:val="0"/>
              <w:snapToGrid/>
              <w:spacing w:line="460" w:lineRule="exact"/>
              <w:ind w:firstLine="480" w:firstLineChars="200"/>
              <w:textAlignment w:val="auto"/>
              <w:rPr>
                <w:rFonts w:hint="default" w:ascii="Times New Roman" w:hAnsi="Times New Roman" w:cs="Times New Roman"/>
                <w:color w:val="auto"/>
                <w:sz w:val="24"/>
                <w:szCs w:val="24"/>
                <w:highlight w:val="none"/>
              </w:rPr>
            </w:pPr>
          </w:p>
          <w:p>
            <w:pPr>
              <w:pStyle w:val="85"/>
              <w:spacing w:line="360" w:lineRule="auto"/>
              <w:jc w:val="both"/>
              <w:rPr>
                <w:rFonts w:hint="default" w:ascii="Times New Roman" w:hAnsi="Times New Roman" w:cs="Times New Roman"/>
                <w:b w:val="0"/>
                <w:bCs w:val="0"/>
                <w:color w:val="auto"/>
                <w:sz w:val="24"/>
                <w:highlight w:val="none"/>
              </w:rPr>
            </w:pPr>
          </w:p>
          <w:p>
            <w:pPr>
              <w:pStyle w:val="85"/>
              <w:spacing w:line="360" w:lineRule="auto"/>
              <w:jc w:val="both"/>
              <w:rPr>
                <w:rFonts w:hint="default" w:ascii="Times New Roman" w:hAnsi="Times New Roman" w:cs="Times New Roman"/>
                <w:b w:val="0"/>
                <w:bCs w:val="0"/>
                <w:color w:val="auto"/>
                <w:sz w:val="24"/>
                <w:highlight w:val="none"/>
              </w:rPr>
            </w:pPr>
          </w:p>
          <w:p>
            <w:pPr>
              <w:pStyle w:val="85"/>
              <w:spacing w:line="360" w:lineRule="auto"/>
              <w:jc w:val="both"/>
              <w:rPr>
                <w:rFonts w:hint="default" w:ascii="Times New Roman" w:hAnsi="Times New Roman" w:cs="Times New Roman"/>
                <w:b w:val="0"/>
                <w:bCs w:val="0"/>
                <w:color w:val="auto"/>
                <w:sz w:val="24"/>
                <w:highlight w:val="none"/>
              </w:rPr>
            </w:pPr>
          </w:p>
          <w:p>
            <w:pPr>
              <w:pStyle w:val="85"/>
              <w:spacing w:line="360" w:lineRule="auto"/>
              <w:jc w:val="both"/>
              <w:rPr>
                <w:rFonts w:hint="default" w:ascii="Times New Roman" w:hAnsi="Times New Roman" w:cs="Times New Roman"/>
                <w:b w:val="0"/>
                <w:bCs w:val="0"/>
                <w:color w:val="auto"/>
                <w:sz w:val="24"/>
                <w:highlight w:val="none"/>
              </w:rPr>
            </w:pPr>
          </w:p>
          <w:p>
            <w:pPr>
              <w:pStyle w:val="85"/>
              <w:spacing w:line="360" w:lineRule="auto"/>
              <w:jc w:val="both"/>
              <w:rPr>
                <w:rFonts w:hint="default" w:ascii="Times New Roman" w:hAnsi="Times New Roman" w:cs="Times New Roman"/>
                <w:b w:val="0"/>
                <w:bCs w:val="0"/>
                <w:color w:val="auto"/>
                <w:sz w:val="24"/>
                <w:highlight w:val="none"/>
              </w:rPr>
            </w:pPr>
          </w:p>
          <w:p>
            <w:pPr>
              <w:pStyle w:val="85"/>
              <w:spacing w:line="360" w:lineRule="auto"/>
              <w:jc w:val="both"/>
              <w:rPr>
                <w:rFonts w:hint="default" w:ascii="Times New Roman" w:hAnsi="Times New Roman" w:cs="Times New Roman"/>
                <w:b w:val="0"/>
                <w:bCs w:val="0"/>
                <w:color w:val="auto"/>
                <w:sz w:val="24"/>
                <w:highlight w:val="none"/>
              </w:rPr>
            </w:pPr>
          </w:p>
          <w:p>
            <w:pPr>
              <w:pStyle w:val="85"/>
              <w:spacing w:line="360" w:lineRule="auto"/>
              <w:jc w:val="both"/>
              <w:rPr>
                <w:rFonts w:hint="default" w:ascii="Times New Roman" w:hAnsi="Times New Roman" w:cs="Times New Roman"/>
                <w:b w:val="0"/>
                <w:bCs w:val="0"/>
                <w:color w:val="auto"/>
                <w:sz w:val="24"/>
                <w:highlight w:val="none"/>
              </w:rPr>
            </w:pPr>
          </w:p>
          <w:p>
            <w:pPr>
              <w:pStyle w:val="85"/>
              <w:spacing w:line="360" w:lineRule="auto"/>
              <w:jc w:val="both"/>
              <w:rPr>
                <w:rFonts w:hint="default" w:ascii="Times New Roman" w:hAnsi="Times New Roman" w:cs="Times New Roman"/>
                <w:b w:val="0"/>
                <w:bCs w:val="0"/>
                <w:color w:val="auto"/>
                <w:sz w:val="24"/>
                <w:highlight w:val="none"/>
              </w:rPr>
            </w:pPr>
          </w:p>
          <w:p>
            <w:pPr>
              <w:pStyle w:val="85"/>
              <w:spacing w:line="360" w:lineRule="auto"/>
              <w:jc w:val="both"/>
              <w:rPr>
                <w:rFonts w:hint="default" w:ascii="Times New Roman" w:hAnsi="Times New Roman" w:cs="Times New Roman"/>
                <w:b w:val="0"/>
                <w:bCs w:val="0"/>
                <w:color w:val="auto"/>
                <w:sz w:val="24"/>
                <w:highlight w:val="none"/>
              </w:rPr>
            </w:pPr>
          </w:p>
          <w:p>
            <w:pPr>
              <w:pStyle w:val="85"/>
              <w:spacing w:line="360" w:lineRule="auto"/>
              <w:jc w:val="both"/>
              <w:rPr>
                <w:rFonts w:hint="default" w:ascii="Times New Roman" w:hAnsi="Times New Roman" w:cs="Times New Roman"/>
                <w:b w:val="0"/>
                <w:bCs w:val="0"/>
                <w:color w:val="auto"/>
                <w:sz w:val="24"/>
                <w:highlight w:val="none"/>
              </w:rPr>
            </w:pPr>
          </w:p>
          <w:p>
            <w:pPr>
              <w:pStyle w:val="85"/>
              <w:spacing w:line="360" w:lineRule="auto"/>
              <w:jc w:val="both"/>
              <w:rPr>
                <w:rFonts w:hint="default" w:ascii="Times New Roman" w:hAnsi="Times New Roman" w:cs="Times New Roman"/>
                <w:b w:val="0"/>
                <w:bCs w:val="0"/>
                <w:color w:val="auto"/>
                <w:sz w:val="24"/>
                <w:highlight w:val="none"/>
              </w:rPr>
            </w:pPr>
          </w:p>
          <w:p>
            <w:pPr>
              <w:pStyle w:val="85"/>
              <w:spacing w:line="360" w:lineRule="auto"/>
              <w:jc w:val="both"/>
              <w:rPr>
                <w:rFonts w:hint="default" w:ascii="Times New Roman" w:hAnsi="Times New Roman" w:cs="Times New Roman"/>
                <w:b w:val="0"/>
                <w:bCs w:val="0"/>
                <w:color w:val="auto"/>
                <w:sz w:val="24"/>
                <w:highlight w:val="none"/>
              </w:rPr>
            </w:pPr>
          </w:p>
          <w:p>
            <w:pPr>
              <w:pStyle w:val="85"/>
              <w:spacing w:line="360" w:lineRule="auto"/>
              <w:jc w:val="both"/>
              <w:rPr>
                <w:rFonts w:hint="default" w:ascii="Times New Roman" w:hAnsi="Times New Roman" w:cs="Times New Roman"/>
                <w:b w:val="0"/>
                <w:bCs w:val="0"/>
                <w:color w:val="auto"/>
                <w:sz w:val="24"/>
                <w:highlight w:val="none"/>
              </w:rPr>
            </w:pPr>
          </w:p>
          <w:p>
            <w:pPr>
              <w:pStyle w:val="85"/>
              <w:spacing w:line="360" w:lineRule="auto"/>
              <w:jc w:val="both"/>
              <w:rPr>
                <w:rFonts w:hint="default" w:ascii="Times New Roman" w:hAnsi="Times New Roman" w:cs="Times New Roman"/>
                <w:b w:val="0"/>
                <w:bCs w:val="0"/>
                <w:color w:val="auto"/>
                <w:sz w:val="24"/>
                <w:highlight w:val="none"/>
              </w:rPr>
            </w:pPr>
          </w:p>
          <w:p>
            <w:pPr>
              <w:pStyle w:val="85"/>
              <w:spacing w:line="360" w:lineRule="auto"/>
              <w:jc w:val="both"/>
              <w:rPr>
                <w:rFonts w:hint="default" w:ascii="Times New Roman" w:hAnsi="Times New Roman" w:cs="Times New Roman"/>
                <w:b w:val="0"/>
                <w:bCs w:val="0"/>
                <w:color w:val="auto"/>
                <w:sz w:val="24"/>
                <w:highlight w:val="none"/>
              </w:rPr>
            </w:pPr>
          </w:p>
          <w:p>
            <w:pPr>
              <w:pStyle w:val="85"/>
              <w:spacing w:line="360" w:lineRule="auto"/>
              <w:jc w:val="both"/>
              <w:rPr>
                <w:rFonts w:hint="default" w:ascii="Times New Roman" w:hAnsi="Times New Roman" w:cs="Times New Roman"/>
                <w:b w:val="0"/>
                <w:bCs w:val="0"/>
                <w:color w:val="auto"/>
                <w:sz w:val="24"/>
                <w:highlight w:val="none"/>
              </w:rPr>
            </w:pPr>
          </w:p>
          <w:p>
            <w:pPr>
              <w:pStyle w:val="85"/>
              <w:spacing w:line="360" w:lineRule="auto"/>
              <w:jc w:val="both"/>
              <w:rPr>
                <w:rFonts w:hint="default" w:ascii="Times New Roman" w:hAnsi="Times New Roman" w:cs="Times New Roman"/>
                <w:b w:val="0"/>
                <w:bCs w:val="0"/>
                <w:color w:val="auto"/>
                <w:sz w:val="24"/>
                <w:highlight w:val="none"/>
              </w:rPr>
            </w:pPr>
          </w:p>
          <w:p>
            <w:pPr>
              <w:pStyle w:val="85"/>
              <w:spacing w:line="360" w:lineRule="auto"/>
              <w:jc w:val="both"/>
              <w:rPr>
                <w:rFonts w:hint="default" w:ascii="Times New Roman" w:hAnsi="Times New Roman" w:cs="Times New Roman"/>
                <w:b w:val="0"/>
                <w:bCs w:val="0"/>
                <w:color w:val="auto"/>
                <w:sz w:val="24"/>
                <w:highlight w:val="none"/>
              </w:rPr>
            </w:pPr>
          </w:p>
          <w:p>
            <w:pPr>
              <w:pStyle w:val="85"/>
              <w:spacing w:line="360" w:lineRule="auto"/>
              <w:jc w:val="both"/>
              <w:rPr>
                <w:rFonts w:hint="default" w:ascii="Times New Roman" w:hAnsi="Times New Roman" w:cs="Times New Roman"/>
                <w:b w:val="0"/>
                <w:bCs w:val="0"/>
                <w:color w:val="auto"/>
                <w:sz w:val="24"/>
                <w:highlight w:val="none"/>
              </w:rPr>
            </w:pPr>
          </w:p>
          <w:p>
            <w:pPr>
              <w:pStyle w:val="85"/>
              <w:spacing w:line="360" w:lineRule="auto"/>
              <w:jc w:val="both"/>
              <w:rPr>
                <w:rFonts w:hint="default" w:ascii="Times New Roman" w:hAnsi="Times New Roman" w:cs="Times New Roman"/>
                <w:b w:val="0"/>
                <w:bCs w:val="0"/>
                <w:color w:val="auto"/>
                <w:sz w:val="24"/>
                <w:highlight w:val="none"/>
              </w:rPr>
            </w:pPr>
          </w:p>
          <w:p>
            <w:pPr>
              <w:pStyle w:val="85"/>
              <w:spacing w:line="360" w:lineRule="auto"/>
              <w:jc w:val="both"/>
              <w:rPr>
                <w:rFonts w:hint="default" w:ascii="Times New Roman" w:hAnsi="Times New Roman" w:cs="Times New Roman"/>
                <w:b w:val="0"/>
                <w:bCs w:val="0"/>
                <w:color w:val="auto"/>
                <w:sz w:val="24"/>
                <w:highlight w:val="none"/>
              </w:rPr>
            </w:pPr>
          </w:p>
          <w:p>
            <w:pPr>
              <w:pStyle w:val="85"/>
              <w:spacing w:line="360" w:lineRule="auto"/>
              <w:jc w:val="both"/>
              <w:rPr>
                <w:rFonts w:hint="default" w:ascii="Times New Roman" w:hAnsi="Times New Roman" w:cs="Times New Roman"/>
                <w:b w:val="0"/>
                <w:bCs w:val="0"/>
                <w:color w:val="auto"/>
                <w:sz w:val="24"/>
                <w:highlight w:val="none"/>
              </w:rPr>
            </w:pPr>
          </w:p>
          <w:p>
            <w:pPr>
              <w:spacing w:line="360" w:lineRule="auto"/>
              <w:jc w:val="both"/>
              <w:rPr>
                <w:rFonts w:hint="default" w:ascii="Times New Roman" w:hAnsi="Times New Roman" w:cs="Times New Roman"/>
                <w:color w:val="auto"/>
                <w:sz w:val="24"/>
                <w:highlight w:val="none"/>
              </w:rPr>
            </w:pPr>
          </w:p>
        </w:tc>
      </w:tr>
    </w:tbl>
    <w:p>
      <w:pPr>
        <w:rPr>
          <w:rFonts w:hint="default" w:ascii="Times New Roman" w:hAnsi="Times New Roman" w:cs="Times New Roman"/>
          <w:color w:val="auto"/>
          <w:highlight w:val="none"/>
        </w:rPr>
        <w:sectPr>
          <w:pgSz w:w="11906" w:h="16838"/>
          <w:pgMar w:top="1531" w:right="1531" w:bottom="1531" w:left="1531"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p>
      <w:pPr>
        <w:pStyle w:val="33"/>
        <w:keepNext w:val="0"/>
        <w:keepLines w:val="0"/>
        <w:pageBreakBefore w:val="0"/>
        <w:widowControl/>
        <w:kinsoku/>
        <w:wordWrap/>
        <w:overflowPunct/>
        <w:topLinePunct w:val="0"/>
        <w:autoSpaceDE/>
        <w:autoSpaceDN/>
        <w:bidi w:val="0"/>
        <w:adjustRightInd w:val="0"/>
        <w:snapToGrid w:val="0"/>
        <w:spacing w:before="157" w:beforeLines="50" w:beforeAutospacing="0" w:after="157" w:afterLines="50" w:afterAutospacing="0" w:line="460" w:lineRule="exact"/>
        <w:ind w:left="0" w:leftChars="0" w:right="0" w:rightChars="0" w:firstLine="0" w:firstLineChars="0"/>
        <w:jc w:val="left"/>
        <w:textAlignment w:val="auto"/>
        <w:outlineLvl w:val="0"/>
        <w:rPr>
          <w:rFonts w:hint="default" w:ascii="Times New Roman" w:hAnsi="Times New Roman" w:eastAsia="黑体" w:cs="Times New Roman"/>
          <w:snapToGrid w:val="0"/>
          <w:color w:val="auto"/>
          <w:sz w:val="32"/>
          <w:szCs w:val="32"/>
          <w:highlight w:val="none"/>
        </w:rPr>
      </w:pPr>
      <w:r>
        <w:rPr>
          <w:rFonts w:hint="default" w:ascii="Times New Roman" w:hAnsi="Times New Roman" w:eastAsia="黑体" w:cs="Times New Roman"/>
          <w:snapToGrid w:val="0"/>
          <w:color w:val="auto"/>
          <w:sz w:val="32"/>
          <w:szCs w:val="32"/>
          <w:highlight w:val="none"/>
        </w:rPr>
        <w:t>附表</w:t>
      </w:r>
    </w:p>
    <w:p>
      <w:pPr>
        <w:pStyle w:val="33"/>
        <w:adjustRightInd w:val="0"/>
        <w:snapToGrid w:val="0"/>
        <w:spacing w:before="0" w:beforeAutospacing="0" w:after="0" w:afterAutospacing="0" w:line="360" w:lineRule="auto"/>
        <w:jc w:val="center"/>
        <w:outlineLvl w:val="0"/>
        <w:rPr>
          <w:rFonts w:hint="default" w:ascii="Times New Roman" w:hAnsi="Times New Roman" w:eastAsia="方正小标宋_GBK" w:cs="Times New Roman"/>
          <w:snapToGrid w:val="0"/>
          <w:color w:val="auto"/>
          <w:sz w:val="38"/>
          <w:szCs w:val="38"/>
          <w:highlight w:val="none"/>
        </w:rPr>
      </w:pPr>
      <w:r>
        <w:rPr>
          <w:rFonts w:hint="default" w:ascii="Times New Roman" w:hAnsi="Times New Roman" w:eastAsia="方正小标宋_GBK" w:cs="Times New Roman"/>
          <w:snapToGrid w:val="0"/>
          <w:color w:val="auto"/>
          <w:sz w:val="38"/>
          <w:szCs w:val="38"/>
          <w:highlight w:val="none"/>
        </w:rPr>
        <w:t>建设项目污染物排放量汇总表</w:t>
      </w:r>
    </w:p>
    <w:tbl>
      <w:tblPr>
        <w:tblStyle w:val="38"/>
        <w:tblW w:w="1383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1946"/>
        <w:gridCol w:w="1532"/>
        <w:gridCol w:w="1235"/>
        <w:gridCol w:w="1646"/>
        <w:gridCol w:w="1509"/>
        <w:gridCol w:w="1529"/>
        <w:gridCol w:w="1662"/>
        <w:gridCol w:w="16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076" w:type="dxa"/>
            <w:tcBorders>
              <w:tl2br w:val="single" w:color="auto" w:sz="4" w:space="0"/>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 xml:space="preserve">     项目</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分类</w:t>
            </w:r>
          </w:p>
        </w:tc>
        <w:tc>
          <w:tcPr>
            <w:tcW w:w="1946"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污染物名称</w:t>
            </w:r>
          </w:p>
        </w:tc>
        <w:tc>
          <w:tcPr>
            <w:tcW w:w="1532"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现有工程</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排放量（固体废物产生量）</w:t>
            </w:r>
            <w:r>
              <w:rPr>
                <w:rFonts w:hint="default" w:ascii="Times New Roman" w:hAnsi="Times New Roman" w:cs="Times New Roman"/>
                <w:bCs/>
                <w:color w:val="auto"/>
                <w:sz w:val="21"/>
                <w:szCs w:val="21"/>
                <w:lang w:val="en-US" w:eastAsia="zh-CN"/>
              </w:rPr>
              <w:fldChar w:fldCharType="begin"/>
            </w:r>
            <w:r>
              <w:rPr>
                <w:rFonts w:hint="default" w:ascii="Times New Roman" w:hAnsi="Times New Roman" w:cs="Times New Roman"/>
                <w:bCs/>
                <w:color w:val="auto"/>
                <w:sz w:val="21"/>
                <w:szCs w:val="21"/>
                <w:lang w:val="en-US" w:eastAsia="zh-CN"/>
              </w:rPr>
              <w:instrText xml:space="preserve"> = 1 \* GB3 \* MERGEFORMAT </w:instrText>
            </w:r>
            <w:r>
              <w:rPr>
                <w:rFonts w:hint="default" w:ascii="Times New Roman" w:hAnsi="Times New Roman" w:cs="Times New Roman"/>
                <w:bCs/>
                <w:color w:val="auto"/>
                <w:sz w:val="21"/>
                <w:szCs w:val="21"/>
                <w:lang w:val="en-US" w:eastAsia="zh-CN"/>
              </w:rPr>
              <w:fldChar w:fldCharType="separate"/>
            </w:r>
            <w:r>
              <w:rPr>
                <w:rFonts w:hint="default" w:ascii="Times New Roman" w:hAnsi="Times New Roman" w:cs="Times New Roman"/>
                <w:bCs/>
                <w:color w:val="auto"/>
                <w:sz w:val="21"/>
                <w:szCs w:val="21"/>
                <w:lang w:val="en-US" w:eastAsia="zh-CN"/>
              </w:rPr>
              <w:t>①</w:t>
            </w:r>
            <w:r>
              <w:rPr>
                <w:rFonts w:hint="default" w:ascii="Times New Roman" w:hAnsi="Times New Roman" w:cs="Times New Roman"/>
                <w:bCs/>
                <w:color w:val="auto"/>
                <w:sz w:val="21"/>
                <w:szCs w:val="21"/>
                <w:lang w:val="en-US" w:eastAsia="zh-CN"/>
              </w:rPr>
              <w:fldChar w:fldCharType="end"/>
            </w:r>
          </w:p>
        </w:tc>
        <w:tc>
          <w:tcPr>
            <w:tcW w:w="1235"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现有工程</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许可排放量</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fldChar w:fldCharType="begin"/>
            </w:r>
            <w:r>
              <w:rPr>
                <w:rFonts w:hint="default" w:ascii="Times New Roman" w:hAnsi="Times New Roman" w:cs="Times New Roman"/>
                <w:bCs/>
                <w:color w:val="auto"/>
                <w:sz w:val="21"/>
                <w:szCs w:val="21"/>
                <w:lang w:val="en-US" w:eastAsia="zh-CN"/>
              </w:rPr>
              <w:instrText xml:space="preserve"> = 2 \* GB3 \* MERGEFORMAT </w:instrText>
            </w:r>
            <w:r>
              <w:rPr>
                <w:rFonts w:hint="default" w:ascii="Times New Roman" w:hAnsi="Times New Roman" w:cs="Times New Roman"/>
                <w:bCs/>
                <w:color w:val="auto"/>
                <w:sz w:val="21"/>
                <w:szCs w:val="21"/>
                <w:lang w:val="en-US" w:eastAsia="zh-CN"/>
              </w:rPr>
              <w:fldChar w:fldCharType="separate"/>
            </w:r>
            <w:r>
              <w:rPr>
                <w:rFonts w:hint="default" w:ascii="Times New Roman" w:hAnsi="Times New Roman" w:cs="Times New Roman"/>
                <w:bCs/>
                <w:color w:val="auto"/>
                <w:sz w:val="21"/>
                <w:szCs w:val="21"/>
                <w:lang w:val="en-US" w:eastAsia="zh-CN"/>
              </w:rPr>
              <w:t>②</w:t>
            </w:r>
            <w:r>
              <w:rPr>
                <w:rFonts w:hint="default" w:ascii="Times New Roman" w:hAnsi="Times New Roman" w:cs="Times New Roman"/>
                <w:bCs/>
                <w:color w:val="auto"/>
                <w:sz w:val="21"/>
                <w:szCs w:val="21"/>
                <w:lang w:val="en-US" w:eastAsia="zh-CN"/>
              </w:rPr>
              <w:fldChar w:fldCharType="end"/>
            </w:r>
          </w:p>
        </w:tc>
        <w:tc>
          <w:tcPr>
            <w:tcW w:w="1646"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在建工程</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排放量（固体废物产生量）</w:t>
            </w:r>
            <w:r>
              <w:rPr>
                <w:rFonts w:hint="default" w:ascii="Times New Roman" w:hAnsi="Times New Roman" w:cs="Times New Roman"/>
                <w:bCs/>
                <w:color w:val="auto"/>
                <w:sz w:val="21"/>
                <w:szCs w:val="21"/>
                <w:lang w:val="en-US" w:eastAsia="zh-CN"/>
              </w:rPr>
              <w:fldChar w:fldCharType="begin"/>
            </w:r>
            <w:r>
              <w:rPr>
                <w:rFonts w:hint="default" w:ascii="Times New Roman" w:hAnsi="Times New Roman" w:cs="Times New Roman"/>
                <w:bCs/>
                <w:color w:val="auto"/>
                <w:sz w:val="21"/>
                <w:szCs w:val="21"/>
                <w:lang w:val="en-US" w:eastAsia="zh-CN"/>
              </w:rPr>
              <w:instrText xml:space="preserve"> = 3 \* GB3 \* MERGEFORMAT </w:instrText>
            </w:r>
            <w:r>
              <w:rPr>
                <w:rFonts w:hint="default" w:ascii="Times New Roman" w:hAnsi="Times New Roman" w:cs="Times New Roman"/>
                <w:bCs/>
                <w:color w:val="auto"/>
                <w:sz w:val="21"/>
                <w:szCs w:val="21"/>
                <w:lang w:val="en-US" w:eastAsia="zh-CN"/>
              </w:rPr>
              <w:fldChar w:fldCharType="separate"/>
            </w:r>
            <w:r>
              <w:rPr>
                <w:rFonts w:hint="default" w:ascii="Times New Roman" w:hAnsi="Times New Roman" w:cs="Times New Roman"/>
                <w:bCs/>
                <w:color w:val="auto"/>
                <w:sz w:val="21"/>
                <w:szCs w:val="21"/>
                <w:lang w:val="en-US" w:eastAsia="zh-CN"/>
              </w:rPr>
              <w:t>③</w:t>
            </w:r>
            <w:r>
              <w:rPr>
                <w:rFonts w:hint="default" w:ascii="Times New Roman" w:hAnsi="Times New Roman" w:cs="Times New Roman"/>
                <w:bCs/>
                <w:color w:val="auto"/>
                <w:sz w:val="21"/>
                <w:szCs w:val="21"/>
                <w:lang w:val="en-US" w:eastAsia="zh-CN"/>
              </w:rPr>
              <w:fldChar w:fldCharType="end"/>
            </w:r>
          </w:p>
        </w:tc>
        <w:tc>
          <w:tcPr>
            <w:tcW w:w="1509"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本项目</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排放量（固体废物产生量）</w:t>
            </w:r>
            <w:r>
              <w:rPr>
                <w:rFonts w:hint="default" w:ascii="Times New Roman" w:hAnsi="Times New Roman" w:cs="Times New Roman"/>
                <w:bCs/>
                <w:color w:val="auto"/>
                <w:sz w:val="21"/>
                <w:szCs w:val="21"/>
                <w:lang w:val="en-US" w:eastAsia="zh-CN"/>
              </w:rPr>
              <w:fldChar w:fldCharType="begin"/>
            </w:r>
            <w:r>
              <w:rPr>
                <w:rFonts w:hint="default" w:ascii="Times New Roman" w:hAnsi="Times New Roman" w:cs="Times New Roman"/>
                <w:bCs/>
                <w:color w:val="auto"/>
                <w:sz w:val="21"/>
                <w:szCs w:val="21"/>
                <w:lang w:val="en-US" w:eastAsia="zh-CN"/>
              </w:rPr>
              <w:instrText xml:space="preserve"> = 4 \* GB3 \* MERGEFORMAT </w:instrText>
            </w:r>
            <w:r>
              <w:rPr>
                <w:rFonts w:hint="default" w:ascii="Times New Roman" w:hAnsi="Times New Roman" w:cs="Times New Roman"/>
                <w:bCs/>
                <w:color w:val="auto"/>
                <w:sz w:val="21"/>
                <w:szCs w:val="21"/>
                <w:lang w:val="en-US" w:eastAsia="zh-CN"/>
              </w:rPr>
              <w:fldChar w:fldCharType="separate"/>
            </w:r>
            <w:r>
              <w:rPr>
                <w:rFonts w:hint="default" w:ascii="Times New Roman" w:hAnsi="Times New Roman" w:cs="Times New Roman"/>
                <w:bCs/>
                <w:color w:val="auto"/>
                <w:sz w:val="21"/>
                <w:szCs w:val="21"/>
                <w:lang w:val="en-US" w:eastAsia="zh-CN"/>
              </w:rPr>
              <w:t>④</w:t>
            </w:r>
            <w:r>
              <w:rPr>
                <w:rFonts w:hint="default" w:ascii="Times New Roman" w:hAnsi="Times New Roman" w:cs="Times New Roman"/>
                <w:bCs/>
                <w:color w:val="auto"/>
                <w:sz w:val="21"/>
                <w:szCs w:val="21"/>
                <w:lang w:val="en-US" w:eastAsia="zh-CN"/>
              </w:rPr>
              <w:fldChar w:fldCharType="end"/>
            </w:r>
          </w:p>
        </w:tc>
        <w:tc>
          <w:tcPr>
            <w:tcW w:w="1529"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以新带老削减量</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（新建项目不填）</w:t>
            </w:r>
            <w:r>
              <w:rPr>
                <w:rFonts w:hint="default" w:ascii="Times New Roman" w:hAnsi="Times New Roman" w:cs="Times New Roman"/>
                <w:bCs/>
                <w:color w:val="auto"/>
                <w:sz w:val="21"/>
                <w:szCs w:val="21"/>
                <w:lang w:val="en-US" w:eastAsia="zh-CN"/>
              </w:rPr>
              <w:fldChar w:fldCharType="begin"/>
            </w:r>
            <w:r>
              <w:rPr>
                <w:rFonts w:hint="default" w:ascii="Times New Roman" w:hAnsi="Times New Roman" w:cs="Times New Roman"/>
                <w:bCs/>
                <w:color w:val="auto"/>
                <w:sz w:val="21"/>
                <w:szCs w:val="21"/>
                <w:lang w:val="en-US" w:eastAsia="zh-CN"/>
              </w:rPr>
              <w:instrText xml:space="preserve"> = 5 \* GB3 \* MERGEFORMAT </w:instrText>
            </w:r>
            <w:r>
              <w:rPr>
                <w:rFonts w:hint="default" w:ascii="Times New Roman" w:hAnsi="Times New Roman" w:cs="Times New Roman"/>
                <w:bCs/>
                <w:color w:val="auto"/>
                <w:sz w:val="21"/>
                <w:szCs w:val="21"/>
                <w:lang w:val="en-US" w:eastAsia="zh-CN"/>
              </w:rPr>
              <w:fldChar w:fldCharType="separate"/>
            </w:r>
            <w:r>
              <w:rPr>
                <w:rFonts w:hint="default" w:ascii="Times New Roman" w:hAnsi="Times New Roman" w:cs="Times New Roman"/>
                <w:bCs/>
                <w:color w:val="auto"/>
                <w:sz w:val="21"/>
                <w:szCs w:val="21"/>
                <w:lang w:val="en-US" w:eastAsia="zh-CN"/>
              </w:rPr>
              <w:t>⑤</w:t>
            </w:r>
            <w:r>
              <w:rPr>
                <w:rFonts w:hint="default" w:ascii="Times New Roman" w:hAnsi="Times New Roman" w:cs="Times New Roman"/>
                <w:bCs/>
                <w:color w:val="auto"/>
                <w:sz w:val="21"/>
                <w:szCs w:val="21"/>
                <w:lang w:val="en-US" w:eastAsia="zh-CN"/>
              </w:rPr>
              <w:fldChar w:fldCharType="end"/>
            </w:r>
          </w:p>
        </w:tc>
        <w:tc>
          <w:tcPr>
            <w:tcW w:w="1662"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本项目建成后</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全厂排放量（固体废物产生量）</w:t>
            </w:r>
            <w:r>
              <w:rPr>
                <w:rFonts w:hint="default" w:ascii="Times New Roman" w:hAnsi="Times New Roman" w:cs="Times New Roman"/>
                <w:bCs/>
                <w:color w:val="auto"/>
                <w:sz w:val="21"/>
                <w:szCs w:val="21"/>
                <w:lang w:val="en-US" w:eastAsia="zh-CN"/>
              </w:rPr>
              <w:fldChar w:fldCharType="begin"/>
            </w:r>
            <w:r>
              <w:rPr>
                <w:rFonts w:hint="default" w:ascii="Times New Roman" w:hAnsi="Times New Roman" w:cs="Times New Roman"/>
                <w:bCs/>
                <w:color w:val="auto"/>
                <w:sz w:val="21"/>
                <w:szCs w:val="21"/>
                <w:lang w:val="en-US" w:eastAsia="zh-CN"/>
              </w:rPr>
              <w:instrText xml:space="preserve"> = 6 \* GB3 \* MERGEFORMAT </w:instrText>
            </w:r>
            <w:r>
              <w:rPr>
                <w:rFonts w:hint="default" w:ascii="Times New Roman" w:hAnsi="Times New Roman" w:cs="Times New Roman"/>
                <w:bCs/>
                <w:color w:val="auto"/>
                <w:sz w:val="21"/>
                <w:szCs w:val="21"/>
                <w:lang w:val="en-US" w:eastAsia="zh-CN"/>
              </w:rPr>
              <w:fldChar w:fldCharType="separate"/>
            </w:r>
            <w:r>
              <w:rPr>
                <w:rFonts w:hint="default" w:ascii="Times New Roman" w:hAnsi="Times New Roman" w:cs="Times New Roman"/>
                <w:bCs/>
                <w:color w:val="auto"/>
                <w:sz w:val="21"/>
                <w:szCs w:val="21"/>
                <w:lang w:val="en-US" w:eastAsia="zh-CN"/>
              </w:rPr>
              <w:t>⑥</w:t>
            </w:r>
            <w:r>
              <w:rPr>
                <w:rFonts w:hint="default" w:ascii="Times New Roman" w:hAnsi="Times New Roman" w:cs="Times New Roman"/>
                <w:bCs/>
                <w:color w:val="auto"/>
                <w:sz w:val="21"/>
                <w:szCs w:val="21"/>
                <w:lang w:val="en-US" w:eastAsia="zh-CN"/>
              </w:rPr>
              <w:fldChar w:fldCharType="end"/>
            </w:r>
          </w:p>
        </w:tc>
        <w:tc>
          <w:tcPr>
            <w:tcW w:w="1697"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变化量</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fldChar w:fldCharType="begin"/>
            </w:r>
            <w:r>
              <w:rPr>
                <w:rFonts w:hint="default" w:ascii="Times New Roman" w:hAnsi="Times New Roman" w:cs="Times New Roman"/>
                <w:bCs/>
                <w:color w:val="auto"/>
                <w:sz w:val="21"/>
                <w:szCs w:val="21"/>
                <w:lang w:val="en-US" w:eastAsia="zh-CN"/>
              </w:rPr>
              <w:instrText xml:space="preserve"> = 7 \* GB3 \* MERGEFORMAT </w:instrText>
            </w:r>
            <w:r>
              <w:rPr>
                <w:rFonts w:hint="default" w:ascii="Times New Roman" w:hAnsi="Times New Roman" w:cs="Times New Roman"/>
                <w:bCs/>
                <w:color w:val="auto"/>
                <w:sz w:val="21"/>
                <w:szCs w:val="21"/>
                <w:lang w:val="en-US" w:eastAsia="zh-CN"/>
              </w:rPr>
              <w:fldChar w:fldCharType="separate"/>
            </w:r>
            <w:r>
              <w:rPr>
                <w:rFonts w:hint="default" w:ascii="Times New Roman" w:hAnsi="Times New Roman" w:cs="Times New Roman"/>
                <w:bCs/>
                <w:color w:val="auto"/>
                <w:sz w:val="21"/>
                <w:szCs w:val="21"/>
                <w:lang w:val="en-US" w:eastAsia="zh-CN"/>
              </w:rPr>
              <w:t>⑦</w:t>
            </w:r>
            <w:r>
              <w:rPr>
                <w:rFonts w:hint="default" w:ascii="Times New Roman" w:hAnsi="Times New Roman" w:cs="Times New Roman"/>
                <w:bCs/>
                <w:color w:val="auto"/>
                <w:sz w:val="21"/>
                <w:szCs w:val="21"/>
                <w:lang w:val="en-US" w:eastAsia="zh-CN"/>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6"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废气</w:t>
            </w:r>
          </w:p>
        </w:tc>
        <w:tc>
          <w:tcPr>
            <w:tcW w:w="19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颗粒物</w:t>
            </w:r>
          </w:p>
        </w:tc>
        <w:tc>
          <w:tcPr>
            <w:tcW w:w="15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6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5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0.144t/a</w:t>
            </w:r>
          </w:p>
        </w:tc>
        <w:tc>
          <w:tcPr>
            <w:tcW w:w="152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66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0.144t/a</w:t>
            </w:r>
          </w:p>
        </w:tc>
        <w:tc>
          <w:tcPr>
            <w:tcW w:w="1697"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+0.144t/a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076"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p>
        </w:tc>
        <w:tc>
          <w:tcPr>
            <w:tcW w:w="19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SO</w:t>
            </w:r>
            <w:r>
              <w:rPr>
                <w:rFonts w:hint="default" w:ascii="Times New Roman" w:hAnsi="Times New Roman" w:cs="Times New Roman"/>
                <w:bCs/>
                <w:color w:val="auto"/>
                <w:sz w:val="21"/>
                <w:szCs w:val="21"/>
                <w:vertAlign w:val="subscript"/>
                <w:lang w:val="en-US" w:eastAsia="zh-CN"/>
              </w:rPr>
              <w:t>2</w:t>
            </w:r>
          </w:p>
        </w:tc>
        <w:tc>
          <w:tcPr>
            <w:tcW w:w="15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6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509" w:type="dxa"/>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0.</w:t>
            </w: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23</w:t>
            </w:r>
            <w:r>
              <w:rPr>
                <w:rFonts w:hint="default" w:ascii="Times New Roman" w:hAnsi="Times New Roman" w:cs="Times New Roman"/>
                <w:bCs/>
                <w:color w:val="auto"/>
                <w:sz w:val="21"/>
                <w:szCs w:val="21"/>
                <w:lang w:val="en-US" w:eastAsia="zh-CN"/>
              </w:rPr>
              <w:t>t/a</w:t>
            </w:r>
          </w:p>
        </w:tc>
        <w:tc>
          <w:tcPr>
            <w:tcW w:w="152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662" w:type="dxa"/>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0.</w:t>
            </w: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23</w:t>
            </w:r>
            <w:r>
              <w:rPr>
                <w:rFonts w:hint="default" w:ascii="Times New Roman" w:hAnsi="Times New Roman" w:cs="Times New Roman"/>
                <w:bCs/>
                <w:color w:val="auto"/>
                <w:sz w:val="21"/>
                <w:szCs w:val="21"/>
                <w:lang w:val="en-US" w:eastAsia="zh-CN"/>
              </w:rPr>
              <w:t>t/a</w:t>
            </w:r>
          </w:p>
        </w:tc>
        <w:tc>
          <w:tcPr>
            <w:tcW w:w="1697" w:type="dxa"/>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0.</w:t>
            </w: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23</w:t>
            </w:r>
            <w:r>
              <w:rPr>
                <w:rFonts w:hint="default" w:ascii="Times New Roman" w:hAnsi="Times New Roman" w:cs="Times New Roman"/>
                <w:bCs/>
                <w:color w:val="auto"/>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6"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p>
        </w:tc>
        <w:tc>
          <w:tcPr>
            <w:tcW w:w="19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NOx</w:t>
            </w:r>
          </w:p>
        </w:tc>
        <w:tc>
          <w:tcPr>
            <w:tcW w:w="15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6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509" w:type="dxa"/>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0.</w:t>
            </w: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49</w:t>
            </w:r>
            <w:r>
              <w:rPr>
                <w:rFonts w:hint="default" w:ascii="Times New Roman" w:hAnsi="Times New Roman" w:cs="Times New Roman"/>
                <w:bCs/>
                <w:color w:val="auto"/>
                <w:sz w:val="21"/>
                <w:szCs w:val="21"/>
                <w:lang w:val="en-US" w:eastAsia="zh-CN"/>
              </w:rPr>
              <w:t>t/a</w:t>
            </w:r>
          </w:p>
        </w:tc>
        <w:tc>
          <w:tcPr>
            <w:tcW w:w="152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662" w:type="dxa"/>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0.</w:t>
            </w: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49</w:t>
            </w:r>
            <w:r>
              <w:rPr>
                <w:rFonts w:hint="default" w:ascii="Times New Roman" w:hAnsi="Times New Roman" w:cs="Times New Roman"/>
                <w:bCs/>
                <w:color w:val="auto"/>
                <w:sz w:val="21"/>
                <w:szCs w:val="21"/>
                <w:lang w:val="en-US" w:eastAsia="zh-CN"/>
              </w:rPr>
              <w:t>t/a</w:t>
            </w:r>
          </w:p>
        </w:tc>
        <w:tc>
          <w:tcPr>
            <w:tcW w:w="1697" w:type="dxa"/>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0.</w:t>
            </w: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49</w:t>
            </w:r>
            <w:r>
              <w:rPr>
                <w:rFonts w:hint="default" w:ascii="Times New Roman" w:hAnsi="Times New Roman" w:cs="Times New Roman"/>
                <w:bCs/>
                <w:color w:val="auto"/>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6"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p>
        </w:tc>
        <w:tc>
          <w:tcPr>
            <w:tcW w:w="19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汞及其化合物</w:t>
            </w:r>
          </w:p>
        </w:tc>
        <w:tc>
          <w:tcPr>
            <w:tcW w:w="153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bCs/>
                <w:color w:val="auto"/>
                <w:sz w:val="21"/>
                <w:szCs w:val="21"/>
                <w:lang w:val="en-US" w:eastAsia="zh-CN" w:bidi="ar-SA"/>
              </w:rPr>
            </w:pPr>
            <w:r>
              <w:rPr>
                <w:rFonts w:hint="default" w:ascii="Times New Roman" w:hAnsi="Times New Roman" w:cs="Times New Roman"/>
                <w:bCs/>
                <w:color w:val="auto"/>
                <w:sz w:val="21"/>
                <w:szCs w:val="21"/>
                <w:lang w:val="en-US" w:eastAsia="zh-CN"/>
              </w:rPr>
              <w:t>/</w:t>
            </w:r>
          </w:p>
        </w:tc>
        <w:tc>
          <w:tcPr>
            <w:tcW w:w="12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bCs/>
                <w:color w:val="auto"/>
                <w:sz w:val="21"/>
                <w:szCs w:val="21"/>
                <w:lang w:val="en-US" w:eastAsia="zh-CN" w:bidi="ar-SA"/>
              </w:rPr>
            </w:pPr>
            <w:r>
              <w:rPr>
                <w:rFonts w:hint="default" w:ascii="Times New Roman" w:hAnsi="Times New Roman" w:cs="Times New Roman"/>
                <w:bCs/>
                <w:color w:val="auto"/>
                <w:sz w:val="21"/>
                <w:szCs w:val="21"/>
                <w:lang w:val="en-US" w:eastAsia="zh-CN"/>
              </w:rPr>
              <w:t>/</w:t>
            </w:r>
          </w:p>
        </w:tc>
        <w:tc>
          <w:tcPr>
            <w:tcW w:w="164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bCs/>
                <w:color w:val="auto"/>
                <w:sz w:val="21"/>
                <w:szCs w:val="21"/>
                <w:lang w:val="en-US" w:eastAsia="zh-CN" w:bidi="ar-SA"/>
              </w:rPr>
            </w:pPr>
            <w:r>
              <w:rPr>
                <w:rFonts w:hint="default" w:ascii="Times New Roman" w:hAnsi="Times New Roman" w:cs="Times New Roman"/>
                <w:bCs/>
                <w:color w:val="auto"/>
                <w:sz w:val="21"/>
                <w:szCs w:val="21"/>
                <w:lang w:val="en-US" w:eastAsia="zh-CN"/>
              </w:rPr>
              <w:t>/</w:t>
            </w:r>
          </w:p>
        </w:tc>
        <w:tc>
          <w:tcPr>
            <w:tcW w:w="15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eastAsia" w:ascii="Times New Roman" w:cs="Times New Roman"/>
                <w:bCs/>
                <w:color w:val="000000" w:themeColor="text1"/>
                <w:kern w:val="2"/>
                <w:sz w:val="21"/>
                <w:szCs w:val="21"/>
                <w:highlight w:val="none"/>
                <w:lang w:val="en-US" w:eastAsia="zh-CN"/>
                <w14:textFill>
                  <w14:solidFill>
                    <w14:schemeClr w14:val="tx1"/>
                  </w14:solidFill>
                </w14:textFill>
              </w:rPr>
              <w:t>6.37</w:t>
            </w:r>
            <w:r>
              <w:rPr>
                <w:rFonts w:hint="default"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t>×10</w:t>
            </w:r>
            <w:r>
              <w:rPr>
                <w:rFonts w:hint="default" w:ascii="Times New Roman" w:hAnsi="Times New Roman" w:eastAsia="宋体" w:cs="Times New Roman"/>
                <w:bCs/>
                <w:color w:val="000000" w:themeColor="text1"/>
                <w:kern w:val="2"/>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bCs/>
                <w:color w:val="auto"/>
                <w:sz w:val="21"/>
                <w:szCs w:val="21"/>
                <w:lang w:val="en-US" w:eastAsia="zh-CN"/>
              </w:rPr>
              <w:t>t/a</w:t>
            </w:r>
          </w:p>
        </w:tc>
        <w:tc>
          <w:tcPr>
            <w:tcW w:w="152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p>
        </w:tc>
        <w:tc>
          <w:tcPr>
            <w:tcW w:w="166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eastAsia" w:ascii="Times New Roman" w:cs="Times New Roman"/>
                <w:bCs/>
                <w:color w:val="000000" w:themeColor="text1"/>
                <w:kern w:val="2"/>
                <w:sz w:val="21"/>
                <w:szCs w:val="21"/>
                <w:highlight w:val="none"/>
                <w:lang w:val="en-US" w:eastAsia="zh-CN"/>
                <w14:textFill>
                  <w14:solidFill>
                    <w14:schemeClr w14:val="tx1"/>
                  </w14:solidFill>
                </w14:textFill>
              </w:rPr>
              <w:t>6.37</w:t>
            </w:r>
            <w:r>
              <w:rPr>
                <w:rFonts w:hint="default"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t>×10</w:t>
            </w:r>
            <w:r>
              <w:rPr>
                <w:rFonts w:hint="default" w:ascii="Times New Roman" w:hAnsi="Times New Roman" w:eastAsia="宋体" w:cs="Times New Roman"/>
                <w:bCs/>
                <w:color w:val="000000" w:themeColor="text1"/>
                <w:kern w:val="2"/>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bCs/>
                <w:color w:val="auto"/>
                <w:sz w:val="21"/>
                <w:szCs w:val="21"/>
                <w:lang w:val="en-US" w:eastAsia="zh-CN"/>
              </w:rPr>
              <w:t>t/a</w:t>
            </w:r>
          </w:p>
        </w:tc>
        <w:tc>
          <w:tcPr>
            <w:tcW w:w="1697"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000000" w:themeColor="text1"/>
                <w:kern w:val="2"/>
                <w:sz w:val="21"/>
                <w:szCs w:val="21"/>
                <w:highlight w:val="none"/>
                <w:lang w:val="en-US" w:eastAsia="zh-CN"/>
                <w14:textFill>
                  <w14:solidFill>
                    <w14:schemeClr w14:val="tx1"/>
                  </w14:solidFill>
                </w14:textFill>
              </w:rPr>
              <w:t>+</w:t>
            </w:r>
            <w:r>
              <w:rPr>
                <w:rFonts w:hint="eastAsia" w:ascii="Times New Roman" w:cs="Times New Roman"/>
                <w:bCs/>
                <w:color w:val="000000" w:themeColor="text1"/>
                <w:kern w:val="2"/>
                <w:sz w:val="21"/>
                <w:szCs w:val="21"/>
                <w:highlight w:val="none"/>
                <w:lang w:val="en-US" w:eastAsia="zh-CN"/>
                <w14:textFill>
                  <w14:solidFill>
                    <w14:schemeClr w14:val="tx1"/>
                  </w14:solidFill>
                </w14:textFill>
              </w:rPr>
              <w:t>6.37</w:t>
            </w:r>
            <w:r>
              <w:rPr>
                <w:rFonts w:hint="default"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t>×10</w:t>
            </w:r>
            <w:r>
              <w:rPr>
                <w:rFonts w:hint="default" w:ascii="Times New Roman" w:hAnsi="Times New Roman" w:eastAsia="宋体" w:cs="Times New Roman"/>
                <w:bCs/>
                <w:color w:val="000000" w:themeColor="text1"/>
                <w:kern w:val="2"/>
                <w:sz w:val="21"/>
                <w:szCs w:val="21"/>
                <w:highlight w:val="none"/>
                <w:vertAlign w:val="superscript"/>
                <w:lang w:val="en-US" w:eastAsia="zh-CN"/>
                <w14:textFill>
                  <w14:solidFill>
                    <w14:schemeClr w14:val="tx1"/>
                  </w14:solidFill>
                </w14:textFill>
              </w:rPr>
              <w:t>-6</w:t>
            </w:r>
            <w:r>
              <w:rPr>
                <w:rFonts w:hint="default" w:ascii="Times New Roman" w:hAnsi="Times New Roman" w:cs="Times New Roman"/>
                <w:bCs/>
                <w:color w:val="auto"/>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076"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p>
        </w:tc>
        <w:tc>
          <w:tcPr>
            <w:tcW w:w="19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eastAsia" w:ascii="Times New Roman" w:cs="Times New Roman"/>
                <w:bCs/>
                <w:color w:val="auto"/>
                <w:sz w:val="21"/>
                <w:szCs w:val="21"/>
                <w:lang w:val="en-US" w:eastAsia="zh-CN"/>
              </w:rPr>
              <w:t>CO</w:t>
            </w:r>
          </w:p>
        </w:tc>
        <w:tc>
          <w:tcPr>
            <w:tcW w:w="153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bCs/>
                <w:color w:val="auto"/>
                <w:sz w:val="21"/>
                <w:szCs w:val="21"/>
                <w:lang w:val="en-US" w:eastAsia="zh-CN" w:bidi="ar-SA"/>
              </w:rPr>
            </w:pPr>
            <w:r>
              <w:rPr>
                <w:rFonts w:hint="default" w:ascii="Times New Roman" w:hAnsi="Times New Roman" w:cs="Times New Roman"/>
                <w:bCs/>
                <w:color w:val="auto"/>
                <w:sz w:val="21"/>
                <w:szCs w:val="21"/>
                <w:lang w:val="en-US" w:eastAsia="zh-CN"/>
              </w:rPr>
              <w:t>/</w:t>
            </w:r>
          </w:p>
        </w:tc>
        <w:tc>
          <w:tcPr>
            <w:tcW w:w="123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bCs/>
                <w:color w:val="auto"/>
                <w:sz w:val="21"/>
                <w:szCs w:val="21"/>
                <w:lang w:val="en-US" w:eastAsia="zh-CN" w:bidi="ar-SA"/>
              </w:rPr>
            </w:pPr>
            <w:r>
              <w:rPr>
                <w:rFonts w:hint="default" w:ascii="Times New Roman" w:hAnsi="Times New Roman" w:cs="Times New Roman"/>
                <w:bCs/>
                <w:color w:val="auto"/>
                <w:sz w:val="21"/>
                <w:szCs w:val="21"/>
                <w:lang w:val="en-US" w:eastAsia="zh-CN"/>
              </w:rPr>
              <w:t>/</w:t>
            </w:r>
          </w:p>
        </w:tc>
        <w:tc>
          <w:tcPr>
            <w:tcW w:w="164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bCs/>
                <w:color w:val="auto"/>
                <w:sz w:val="21"/>
                <w:szCs w:val="21"/>
                <w:lang w:val="en-US" w:eastAsia="zh-CN" w:bidi="ar-SA"/>
              </w:rPr>
            </w:pPr>
            <w:r>
              <w:rPr>
                <w:rFonts w:hint="default" w:ascii="Times New Roman" w:hAnsi="Times New Roman" w:cs="Times New Roman"/>
                <w:bCs/>
                <w:color w:val="auto"/>
                <w:sz w:val="21"/>
                <w:szCs w:val="21"/>
                <w:lang w:val="en-US" w:eastAsia="zh-CN"/>
              </w:rPr>
              <w:t>/</w:t>
            </w:r>
          </w:p>
        </w:tc>
        <w:tc>
          <w:tcPr>
            <w:tcW w:w="15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cs="Times New Roman"/>
                <w:bCs/>
                <w:color w:val="000000" w:themeColor="text1"/>
                <w:kern w:val="2"/>
                <w:sz w:val="21"/>
                <w:szCs w:val="21"/>
                <w:highlight w:val="none"/>
                <w:lang w:val="en-US" w:eastAsia="zh-CN"/>
                <w14:textFill>
                  <w14:solidFill>
                    <w14:schemeClr w14:val="tx1"/>
                  </w14:solidFill>
                </w14:textFill>
              </w:rPr>
            </w:pPr>
            <w:r>
              <w:rPr>
                <w:rFonts w:hint="eastAsia" w:ascii="Times New Roman" w:cs="Times New Roman"/>
                <w:bCs/>
                <w:color w:val="000000" w:themeColor="text1"/>
                <w:kern w:val="2"/>
                <w:sz w:val="21"/>
                <w:szCs w:val="21"/>
                <w:highlight w:val="none"/>
                <w:lang w:val="en-US" w:eastAsia="zh-CN"/>
                <w14:textFill>
                  <w14:solidFill>
                    <w14:schemeClr w14:val="tx1"/>
                  </w14:solidFill>
                </w14:textFill>
              </w:rPr>
              <w:t>2.02</w:t>
            </w:r>
            <w:r>
              <w:rPr>
                <w:rFonts w:hint="default" w:ascii="Times New Roman" w:hAnsi="Times New Roman" w:cs="Times New Roman"/>
                <w:bCs/>
                <w:color w:val="auto"/>
                <w:sz w:val="21"/>
                <w:szCs w:val="21"/>
                <w:lang w:val="en-US" w:eastAsia="zh-CN"/>
              </w:rPr>
              <w:t>t/a</w:t>
            </w:r>
          </w:p>
        </w:tc>
        <w:tc>
          <w:tcPr>
            <w:tcW w:w="152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p>
        </w:tc>
        <w:tc>
          <w:tcPr>
            <w:tcW w:w="166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eastAsia" w:ascii="Times New Roman" w:cs="Times New Roman"/>
                <w:bCs/>
                <w:color w:val="000000" w:themeColor="text1"/>
                <w:kern w:val="2"/>
                <w:sz w:val="21"/>
                <w:szCs w:val="21"/>
                <w:highlight w:val="none"/>
                <w:lang w:val="en-US" w:eastAsia="zh-CN"/>
                <w14:textFill>
                  <w14:solidFill>
                    <w14:schemeClr w14:val="tx1"/>
                  </w14:solidFill>
                </w14:textFill>
              </w:rPr>
            </w:pPr>
            <w:r>
              <w:rPr>
                <w:rFonts w:hint="eastAsia" w:ascii="Times New Roman" w:cs="Times New Roman"/>
                <w:bCs/>
                <w:color w:val="000000" w:themeColor="text1"/>
                <w:kern w:val="2"/>
                <w:sz w:val="21"/>
                <w:szCs w:val="21"/>
                <w:highlight w:val="none"/>
                <w:lang w:val="en-US" w:eastAsia="zh-CN"/>
                <w14:textFill>
                  <w14:solidFill>
                    <w14:schemeClr w14:val="tx1"/>
                  </w14:solidFill>
                </w14:textFill>
              </w:rPr>
              <w:t>2.02</w:t>
            </w:r>
            <w:r>
              <w:rPr>
                <w:rFonts w:hint="default" w:ascii="Times New Roman" w:hAnsi="Times New Roman" w:cs="Times New Roman"/>
                <w:bCs/>
                <w:color w:val="auto"/>
                <w:sz w:val="21"/>
                <w:szCs w:val="21"/>
                <w:lang w:val="en-US" w:eastAsia="zh-CN"/>
              </w:rPr>
              <w:t>t/a</w:t>
            </w:r>
          </w:p>
        </w:tc>
        <w:tc>
          <w:tcPr>
            <w:tcW w:w="1697"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000000" w:themeColor="text1"/>
                <w:kern w:val="2"/>
                <w:sz w:val="21"/>
                <w:szCs w:val="21"/>
                <w:highlight w:val="none"/>
                <w:lang w:val="en-US" w:eastAsia="zh-CN"/>
                <w14:textFill>
                  <w14:solidFill>
                    <w14:schemeClr w14:val="tx1"/>
                  </w14:solidFill>
                </w14:textFill>
              </w:rPr>
            </w:pPr>
            <w:r>
              <w:rPr>
                <w:rFonts w:hint="eastAsia" w:ascii="Times New Roman" w:cs="Times New Roman"/>
                <w:bCs/>
                <w:color w:val="000000" w:themeColor="text1"/>
                <w:kern w:val="2"/>
                <w:sz w:val="21"/>
                <w:szCs w:val="21"/>
                <w:highlight w:val="none"/>
                <w:lang w:val="en-US" w:eastAsia="zh-CN"/>
                <w14:textFill>
                  <w14:solidFill>
                    <w14:schemeClr w14:val="tx1"/>
                  </w14:solidFill>
                </w14:textFill>
              </w:rPr>
              <w:t>+2.02</w:t>
            </w:r>
            <w:r>
              <w:rPr>
                <w:rFonts w:hint="default" w:ascii="Times New Roman" w:hAnsi="Times New Roman" w:cs="Times New Roman"/>
                <w:bCs/>
                <w:color w:val="auto"/>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6"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废水</w:t>
            </w:r>
          </w:p>
        </w:tc>
        <w:tc>
          <w:tcPr>
            <w:tcW w:w="19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废水量</w:t>
            </w:r>
          </w:p>
        </w:tc>
        <w:tc>
          <w:tcPr>
            <w:tcW w:w="15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6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5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3798</w:t>
            </w:r>
            <w:r>
              <w:rPr>
                <w:rFonts w:hint="default" w:ascii="Times New Roman" w:hAnsi="Times New Roman" w:cs="Times New Roman"/>
                <w:bCs/>
                <w:color w:val="auto"/>
                <w:sz w:val="21"/>
                <w:szCs w:val="21"/>
                <w:highlight w:val="none"/>
                <w:lang w:val="en-US" w:eastAsia="zh-CN"/>
              </w:rPr>
              <w:t>m³/a</w:t>
            </w:r>
          </w:p>
        </w:tc>
        <w:tc>
          <w:tcPr>
            <w:tcW w:w="152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66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3798</w:t>
            </w:r>
            <w:r>
              <w:rPr>
                <w:rFonts w:hint="default" w:ascii="Times New Roman" w:hAnsi="Times New Roman" w:cs="Times New Roman"/>
                <w:bCs/>
                <w:color w:val="auto"/>
                <w:sz w:val="21"/>
                <w:szCs w:val="21"/>
                <w:highlight w:val="none"/>
                <w:lang w:val="en-US" w:eastAsia="zh-CN"/>
              </w:rPr>
              <w:t>m³/a</w:t>
            </w:r>
          </w:p>
        </w:tc>
        <w:tc>
          <w:tcPr>
            <w:tcW w:w="1697"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+3798</w:t>
            </w:r>
            <w:r>
              <w:rPr>
                <w:rFonts w:hint="default" w:ascii="Times New Roman" w:hAnsi="Times New Roman" w:cs="Times New Roman"/>
                <w:bCs/>
                <w:color w:val="auto"/>
                <w:sz w:val="21"/>
                <w:szCs w:val="21"/>
                <w:highlight w:val="none"/>
                <w:lang w:val="en-US" w:eastAsia="zh-CN"/>
              </w:rPr>
              <w:t>m³/a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6"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p>
        </w:tc>
        <w:tc>
          <w:tcPr>
            <w:tcW w:w="19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COD</w:t>
            </w:r>
          </w:p>
        </w:tc>
        <w:tc>
          <w:tcPr>
            <w:tcW w:w="15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6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5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0.456 t/a</w:t>
            </w:r>
          </w:p>
        </w:tc>
        <w:tc>
          <w:tcPr>
            <w:tcW w:w="152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66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0.456 t/a</w:t>
            </w:r>
          </w:p>
        </w:tc>
        <w:tc>
          <w:tcPr>
            <w:tcW w:w="1697"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r>
              <w:rPr>
                <w:rFonts w:hint="default" w:ascii="Times New Roman" w:hAnsi="Times New Roman" w:cs="Times New Roman"/>
                <w:bCs/>
                <w:color w:val="auto"/>
                <w:sz w:val="21"/>
                <w:szCs w:val="21"/>
                <w:highlight w:val="none"/>
                <w:lang w:val="en-US" w:eastAsia="zh-CN"/>
              </w:rPr>
              <w:t>0.456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076"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p>
        </w:tc>
        <w:tc>
          <w:tcPr>
            <w:tcW w:w="19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BOD</w:t>
            </w:r>
            <w:r>
              <w:rPr>
                <w:rFonts w:hint="default" w:ascii="Times New Roman" w:hAnsi="Times New Roman" w:cs="Times New Roman"/>
                <w:bCs/>
                <w:color w:val="auto"/>
                <w:sz w:val="21"/>
                <w:szCs w:val="21"/>
                <w:highlight w:val="none"/>
                <w:vertAlign w:val="subscript"/>
                <w:lang w:val="en-US" w:eastAsia="zh-CN"/>
              </w:rPr>
              <w:t>5</w:t>
            </w:r>
          </w:p>
        </w:tc>
        <w:tc>
          <w:tcPr>
            <w:tcW w:w="15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6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5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0.332t/a</w:t>
            </w:r>
          </w:p>
        </w:tc>
        <w:tc>
          <w:tcPr>
            <w:tcW w:w="152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66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0.332t/a</w:t>
            </w:r>
          </w:p>
        </w:tc>
        <w:tc>
          <w:tcPr>
            <w:tcW w:w="1697"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r>
              <w:rPr>
                <w:rFonts w:hint="default" w:ascii="Times New Roman" w:hAnsi="Times New Roman" w:cs="Times New Roman"/>
                <w:bCs/>
                <w:color w:val="auto"/>
                <w:sz w:val="21"/>
                <w:szCs w:val="21"/>
                <w:highlight w:val="none"/>
                <w:lang w:val="en-US" w:eastAsia="zh-CN"/>
              </w:rPr>
              <w:t>0.332t/a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6"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p>
        </w:tc>
        <w:tc>
          <w:tcPr>
            <w:tcW w:w="19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SS</w:t>
            </w:r>
          </w:p>
        </w:tc>
        <w:tc>
          <w:tcPr>
            <w:tcW w:w="15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6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5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0.1</w:t>
            </w:r>
            <w:r>
              <w:rPr>
                <w:rFonts w:hint="eastAsia" w:ascii="Times New Roman" w:cs="Times New Roman"/>
                <w:bCs/>
                <w:color w:val="auto"/>
                <w:sz w:val="21"/>
                <w:szCs w:val="21"/>
                <w:highlight w:val="none"/>
                <w:lang w:val="en-US" w:eastAsia="zh-CN"/>
              </w:rPr>
              <w:t>9</w:t>
            </w:r>
            <w:r>
              <w:rPr>
                <w:rFonts w:hint="default" w:ascii="Times New Roman" w:hAnsi="Times New Roman" w:cs="Times New Roman"/>
                <w:bCs/>
                <w:color w:val="auto"/>
                <w:sz w:val="21"/>
                <w:szCs w:val="21"/>
                <w:highlight w:val="none"/>
                <w:lang w:val="en-US" w:eastAsia="zh-CN"/>
              </w:rPr>
              <w:t>t/a</w:t>
            </w:r>
          </w:p>
        </w:tc>
        <w:tc>
          <w:tcPr>
            <w:tcW w:w="152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66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0.1</w:t>
            </w:r>
            <w:r>
              <w:rPr>
                <w:rFonts w:hint="eastAsia" w:ascii="Times New Roman" w:cs="Times New Roman"/>
                <w:bCs/>
                <w:color w:val="auto"/>
                <w:sz w:val="21"/>
                <w:szCs w:val="21"/>
                <w:highlight w:val="none"/>
                <w:lang w:val="en-US" w:eastAsia="zh-CN"/>
              </w:rPr>
              <w:t>9</w:t>
            </w:r>
            <w:r>
              <w:rPr>
                <w:rFonts w:hint="default" w:ascii="Times New Roman" w:hAnsi="Times New Roman" w:cs="Times New Roman"/>
                <w:bCs/>
                <w:color w:val="auto"/>
                <w:sz w:val="21"/>
                <w:szCs w:val="21"/>
                <w:highlight w:val="none"/>
                <w:lang w:val="en-US" w:eastAsia="zh-CN"/>
              </w:rPr>
              <w:t>t/a</w:t>
            </w:r>
          </w:p>
        </w:tc>
        <w:tc>
          <w:tcPr>
            <w:tcW w:w="1697"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r>
              <w:rPr>
                <w:rFonts w:hint="default" w:ascii="Times New Roman" w:hAnsi="Times New Roman" w:cs="Times New Roman"/>
                <w:bCs/>
                <w:color w:val="auto"/>
                <w:sz w:val="21"/>
                <w:szCs w:val="21"/>
                <w:highlight w:val="none"/>
                <w:lang w:val="en-US" w:eastAsia="zh-CN"/>
              </w:rPr>
              <w:t>0.1</w:t>
            </w:r>
            <w:r>
              <w:rPr>
                <w:rFonts w:hint="eastAsia" w:ascii="Times New Roman" w:cs="Times New Roman"/>
                <w:bCs/>
                <w:color w:val="auto"/>
                <w:sz w:val="21"/>
                <w:szCs w:val="21"/>
                <w:highlight w:val="none"/>
                <w:lang w:val="en-US" w:eastAsia="zh-CN"/>
              </w:rPr>
              <w:t>9</w:t>
            </w:r>
            <w:r>
              <w:rPr>
                <w:rFonts w:hint="default" w:ascii="Times New Roman" w:hAnsi="Times New Roman" w:cs="Times New Roman"/>
                <w:bCs/>
                <w:color w:val="auto"/>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6"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p>
        </w:tc>
        <w:tc>
          <w:tcPr>
            <w:tcW w:w="19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氨氮</w:t>
            </w:r>
          </w:p>
        </w:tc>
        <w:tc>
          <w:tcPr>
            <w:tcW w:w="15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6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5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0.0</w:t>
            </w:r>
            <w:r>
              <w:rPr>
                <w:rFonts w:hint="eastAsia" w:ascii="Times New Roman" w:cs="Times New Roman"/>
                <w:bCs/>
                <w:color w:val="auto"/>
                <w:sz w:val="21"/>
                <w:szCs w:val="21"/>
                <w:highlight w:val="none"/>
                <w:lang w:val="en-US" w:eastAsia="zh-CN"/>
              </w:rPr>
              <w:t>28</w:t>
            </w:r>
            <w:r>
              <w:rPr>
                <w:rFonts w:hint="default" w:ascii="Times New Roman" w:hAnsi="Times New Roman" w:cs="Times New Roman"/>
                <w:bCs/>
                <w:color w:val="auto"/>
                <w:sz w:val="21"/>
                <w:szCs w:val="21"/>
                <w:highlight w:val="none"/>
                <w:lang w:val="en-US" w:eastAsia="zh-CN"/>
              </w:rPr>
              <w:t>t/a</w:t>
            </w:r>
          </w:p>
        </w:tc>
        <w:tc>
          <w:tcPr>
            <w:tcW w:w="152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66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0.0</w:t>
            </w:r>
            <w:r>
              <w:rPr>
                <w:rFonts w:hint="eastAsia" w:ascii="Times New Roman" w:cs="Times New Roman"/>
                <w:bCs/>
                <w:color w:val="auto"/>
                <w:sz w:val="21"/>
                <w:szCs w:val="21"/>
                <w:highlight w:val="none"/>
                <w:lang w:val="en-US" w:eastAsia="zh-CN"/>
              </w:rPr>
              <w:t>28</w:t>
            </w:r>
            <w:r>
              <w:rPr>
                <w:rFonts w:hint="default" w:ascii="Times New Roman" w:hAnsi="Times New Roman" w:cs="Times New Roman"/>
                <w:bCs/>
                <w:color w:val="auto"/>
                <w:sz w:val="21"/>
                <w:szCs w:val="21"/>
                <w:highlight w:val="none"/>
                <w:lang w:val="en-US" w:eastAsia="zh-CN"/>
              </w:rPr>
              <w:t>t/a</w:t>
            </w:r>
          </w:p>
        </w:tc>
        <w:tc>
          <w:tcPr>
            <w:tcW w:w="1697"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r>
              <w:rPr>
                <w:rFonts w:hint="default" w:ascii="Times New Roman" w:hAnsi="Times New Roman" w:cs="Times New Roman"/>
                <w:bCs/>
                <w:color w:val="auto"/>
                <w:sz w:val="21"/>
                <w:szCs w:val="21"/>
                <w:highlight w:val="none"/>
                <w:lang w:val="en-US" w:eastAsia="zh-CN"/>
              </w:rPr>
              <w:t>0.0</w:t>
            </w:r>
            <w:r>
              <w:rPr>
                <w:rFonts w:hint="eastAsia" w:ascii="Times New Roman" w:cs="Times New Roman"/>
                <w:bCs/>
                <w:color w:val="auto"/>
                <w:sz w:val="21"/>
                <w:szCs w:val="21"/>
                <w:highlight w:val="none"/>
                <w:lang w:val="en-US" w:eastAsia="zh-CN"/>
              </w:rPr>
              <w:t>28</w:t>
            </w:r>
            <w:r>
              <w:rPr>
                <w:rFonts w:hint="default" w:ascii="Times New Roman" w:hAnsi="Times New Roman" w:cs="Times New Roman"/>
                <w:bCs/>
                <w:color w:val="auto"/>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6"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p>
        </w:tc>
        <w:tc>
          <w:tcPr>
            <w:tcW w:w="19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阴离子表面活性剂</w:t>
            </w:r>
          </w:p>
        </w:tc>
        <w:tc>
          <w:tcPr>
            <w:tcW w:w="15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6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5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0.0</w:t>
            </w:r>
            <w:r>
              <w:rPr>
                <w:rFonts w:hint="eastAsia" w:ascii="Times New Roman" w:cs="Times New Roman"/>
                <w:bCs/>
                <w:color w:val="auto"/>
                <w:sz w:val="21"/>
                <w:szCs w:val="21"/>
                <w:highlight w:val="none"/>
                <w:lang w:val="en-US" w:eastAsia="zh-CN"/>
              </w:rPr>
              <w:t>61</w:t>
            </w:r>
            <w:r>
              <w:rPr>
                <w:rFonts w:hint="default" w:ascii="Times New Roman" w:hAnsi="Times New Roman" w:cs="Times New Roman"/>
                <w:bCs/>
                <w:color w:val="auto"/>
                <w:sz w:val="21"/>
                <w:szCs w:val="21"/>
                <w:highlight w:val="none"/>
                <w:lang w:val="en-US" w:eastAsia="zh-CN"/>
              </w:rPr>
              <w:t>t/a</w:t>
            </w:r>
          </w:p>
        </w:tc>
        <w:tc>
          <w:tcPr>
            <w:tcW w:w="152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66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0.0</w:t>
            </w:r>
            <w:r>
              <w:rPr>
                <w:rFonts w:hint="eastAsia" w:ascii="Times New Roman" w:cs="Times New Roman"/>
                <w:bCs/>
                <w:color w:val="auto"/>
                <w:sz w:val="21"/>
                <w:szCs w:val="21"/>
                <w:highlight w:val="none"/>
                <w:lang w:val="en-US" w:eastAsia="zh-CN"/>
              </w:rPr>
              <w:t>61</w:t>
            </w:r>
            <w:r>
              <w:rPr>
                <w:rFonts w:hint="default" w:ascii="Times New Roman" w:hAnsi="Times New Roman" w:cs="Times New Roman"/>
                <w:bCs/>
                <w:color w:val="auto"/>
                <w:sz w:val="21"/>
                <w:szCs w:val="21"/>
                <w:highlight w:val="none"/>
                <w:lang w:val="en-US" w:eastAsia="zh-CN"/>
              </w:rPr>
              <w:t>t/a</w:t>
            </w:r>
          </w:p>
        </w:tc>
        <w:tc>
          <w:tcPr>
            <w:tcW w:w="1697"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r>
              <w:rPr>
                <w:rFonts w:hint="default" w:ascii="Times New Roman" w:hAnsi="Times New Roman" w:cs="Times New Roman"/>
                <w:bCs/>
                <w:color w:val="auto"/>
                <w:sz w:val="21"/>
                <w:szCs w:val="21"/>
                <w:highlight w:val="none"/>
                <w:lang w:val="en-US" w:eastAsia="zh-CN"/>
              </w:rPr>
              <w:t>0.0</w:t>
            </w:r>
            <w:r>
              <w:rPr>
                <w:rFonts w:hint="eastAsia" w:ascii="Times New Roman" w:cs="Times New Roman"/>
                <w:bCs/>
                <w:color w:val="auto"/>
                <w:sz w:val="21"/>
                <w:szCs w:val="21"/>
                <w:highlight w:val="none"/>
                <w:lang w:val="en-US" w:eastAsia="zh-CN"/>
              </w:rPr>
              <w:t>61</w:t>
            </w:r>
            <w:r>
              <w:rPr>
                <w:rFonts w:hint="default" w:ascii="Times New Roman" w:hAnsi="Times New Roman" w:cs="Times New Roman"/>
                <w:bCs/>
                <w:color w:val="auto"/>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6"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p>
        </w:tc>
        <w:tc>
          <w:tcPr>
            <w:tcW w:w="19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总氮</w:t>
            </w:r>
          </w:p>
        </w:tc>
        <w:tc>
          <w:tcPr>
            <w:tcW w:w="15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6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5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0.0</w:t>
            </w:r>
            <w:r>
              <w:rPr>
                <w:rFonts w:hint="eastAsia" w:ascii="Times New Roman" w:cs="Times New Roman"/>
                <w:bCs/>
                <w:color w:val="auto"/>
                <w:sz w:val="21"/>
                <w:szCs w:val="21"/>
                <w:highlight w:val="none"/>
                <w:lang w:val="en-US" w:eastAsia="zh-CN"/>
              </w:rPr>
              <w:t>57</w:t>
            </w:r>
            <w:r>
              <w:rPr>
                <w:rFonts w:hint="default" w:ascii="Times New Roman" w:hAnsi="Times New Roman" w:cs="Times New Roman"/>
                <w:bCs/>
                <w:color w:val="auto"/>
                <w:sz w:val="21"/>
                <w:szCs w:val="21"/>
                <w:highlight w:val="none"/>
                <w:lang w:val="en-US" w:eastAsia="zh-CN"/>
              </w:rPr>
              <w:t>t/a</w:t>
            </w:r>
          </w:p>
        </w:tc>
        <w:tc>
          <w:tcPr>
            <w:tcW w:w="152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66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0.0</w:t>
            </w:r>
            <w:r>
              <w:rPr>
                <w:rFonts w:hint="eastAsia" w:ascii="Times New Roman" w:cs="Times New Roman"/>
                <w:bCs/>
                <w:color w:val="auto"/>
                <w:sz w:val="21"/>
                <w:szCs w:val="21"/>
                <w:highlight w:val="none"/>
                <w:lang w:val="en-US" w:eastAsia="zh-CN"/>
              </w:rPr>
              <w:t>57</w:t>
            </w:r>
            <w:r>
              <w:rPr>
                <w:rFonts w:hint="default" w:ascii="Times New Roman" w:hAnsi="Times New Roman" w:cs="Times New Roman"/>
                <w:bCs/>
                <w:color w:val="auto"/>
                <w:sz w:val="21"/>
                <w:szCs w:val="21"/>
                <w:highlight w:val="none"/>
                <w:lang w:val="en-US" w:eastAsia="zh-CN"/>
              </w:rPr>
              <w:t>t/a</w:t>
            </w:r>
          </w:p>
        </w:tc>
        <w:tc>
          <w:tcPr>
            <w:tcW w:w="1697"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r>
              <w:rPr>
                <w:rFonts w:hint="default" w:ascii="Times New Roman" w:hAnsi="Times New Roman" w:cs="Times New Roman"/>
                <w:bCs/>
                <w:color w:val="auto"/>
                <w:sz w:val="21"/>
                <w:szCs w:val="21"/>
                <w:highlight w:val="none"/>
                <w:lang w:val="en-US" w:eastAsia="zh-CN"/>
              </w:rPr>
              <w:t>0.0</w:t>
            </w:r>
            <w:r>
              <w:rPr>
                <w:rFonts w:hint="eastAsia" w:ascii="Times New Roman" w:cs="Times New Roman"/>
                <w:bCs/>
                <w:color w:val="auto"/>
                <w:sz w:val="21"/>
                <w:szCs w:val="21"/>
                <w:highlight w:val="none"/>
                <w:lang w:val="en-US" w:eastAsia="zh-CN"/>
              </w:rPr>
              <w:t>57</w:t>
            </w:r>
            <w:r>
              <w:rPr>
                <w:rFonts w:hint="default" w:ascii="Times New Roman" w:hAnsi="Times New Roman" w:cs="Times New Roman"/>
                <w:bCs/>
                <w:color w:val="auto"/>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6"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p>
        </w:tc>
        <w:tc>
          <w:tcPr>
            <w:tcW w:w="19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eastAsia" w:ascii="Times New Roman" w:cs="Times New Roman"/>
                <w:bCs/>
                <w:color w:val="auto"/>
                <w:sz w:val="21"/>
                <w:szCs w:val="21"/>
                <w:highlight w:val="none"/>
                <w:lang w:val="en-US" w:eastAsia="zh-CN"/>
              </w:rPr>
              <w:t>总磷</w:t>
            </w:r>
          </w:p>
        </w:tc>
        <w:tc>
          <w:tcPr>
            <w:tcW w:w="15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6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5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0.0</w:t>
            </w:r>
            <w:r>
              <w:rPr>
                <w:rFonts w:hint="eastAsia" w:ascii="Times New Roman" w:cs="Times New Roman"/>
                <w:bCs/>
                <w:color w:val="auto"/>
                <w:sz w:val="21"/>
                <w:szCs w:val="21"/>
                <w:highlight w:val="none"/>
                <w:lang w:val="en-US" w:eastAsia="zh-CN"/>
              </w:rPr>
              <w:t>23</w:t>
            </w:r>
            <w:r>
              <w:rPr>
                <w:rFonts w:hint="default" w:ascii="Times New Roman" w:hAnsi="Times New Roman" w:cs="Times New Roman"/>
                <w:bCs/>
                <w:color w:val="auto"/>
                <w:sz w:val="21"/>
                <w:szCs w:val="21"/>
                <w:highlight w:val="none"/>
                <w:lang w:val="en-US" w:eastAsia="zh-CN"/>
              </w:rPr>
              <w:t>t/a</w:t>
            </w:r>
          </w:p>
        </w:tc>
        <w:tc>
          <w:tcPr>
            <w:tcW w:w="152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66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0.0</w:t>
            </w:r>
            <w:r>
              <w:rPr>
                <w:rFonts w:hint="eastAsia" w:ascii="Times New Roman" w:cs="Times New Roman"/>
                <w:bCs/>
                <w:color w:val="auto"/>
                <w:sz w:val="21"/>
                <w:szCs w:val="21"/>
                <w:highlight w:val="none"/>
                <w:lang w:val="en-US" w:eastAsia="zh-CN"/>
              </w:rPr>
              <w:t>23</w:t>
            </w:r>
            <w:r>
              <w:rPr>
                <w:rFonts w:hint="default" w:ascii="Times New Roman" w:hAnsi="Times New Roman" w:cs="Times New Roman"/>
                <w:bCs/>
                <w:color w:val="auto"/>
                <w:sz w:val="21"/>
                <w:szCs w:val="21"/>
                <w:highlight w:val="none"/>
                <w:lang w:val="en-US" w:eastAsia="zh-CN"/>
              </w:rPr>
              <w:t>t/a</w:t>
            </w:r>
          </w:p>
        </w:tc>
        <w:tc>
          <w:tcPr>
            <w:tcW w:w="1697"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eastAsia" w:ascii="Times New Roman" w:hAnsi="Times New Roman" w:cs="Times New Roman"/>
                <w:bCs/>
                <w:color w:val="auto"/>
                <w:sz w:val="21"/>
                <w:szCs w:val="21"/>
                <w:highlight w:val="none"/>
                <w:lang w:val="en-US" w:eastAsia="zh-CN"/>
              </w:rPr>
              <w:t>+</w:t>
            </w:r>
            <w:r>
              <w:rPr>
                <w:rFonts w:hint="default" w:ascii="Times New Roman" w:hAnsi="Times New Roman" w:cs="Times New Roman"/>
                <w:bCs/>
                <w:color w:val="auto"/>
                <w:sz w:val="21"/>
                <w:szCs w:val="21"/>
                <w:highlight w:val="none"/>
                <w:lang w:val="en-US" w:eastAsia="zh-CN"/>
              </w:rPr>
              <w:t>0.0</w:t>
            </w:r>
            <w:r>
              <w:rPr>
                <w:rFonts w:hint="eastAsia" w:ascii="Times New Roman" w:cs="Times New Roman"/>
                <w:bCs/>
                <w:color w:val="auto"/>
                <w:sz w:val="21"/>
                <w:szCs w:val="21"/>
                <w:highlight w:val="none"/>
                <w:lang w:val="en-US" w:eastAsia="zh-CN"/>
              </w:rPr>
              <w:t>23</w:t>
            </w:r>
            <w:r>
              <w:rPr>
                <w:rFonts w:hint="default" w:ascii="Times New Roman" w:hAnsi="Times New Roman" w:cs="Times New Roman"/>
                <w:bCs/>
                <w:color w:val="auto"/>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6"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一般工业</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固体废物</w:t>
            </w:r>
          </w:p>
        </w:tc>
        <w:tc>
          <w:tcPr>
            <w:tcW w:w="19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原辅料废包装袋</w:t>
            </w:r>
          </w:p>
        </w:tc>
        <w:tc>
          <w:tcPr>
            <w:tcW w:w="15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6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5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w:t>
            </w:r>
            <w:r>
              <w:rPr>
                <w:rFonts w:hint="eastAsia" w:ascii="Times New Roman" w:cs="Times New Roman"/>
                <w:bCs/>
                <w:color w:val="auto"/>
                <w:sz w:val="21"/>
                <w:szCs w:val="21"/>
                <w:lang w:val="en-US" w:eastAsia="zh-CN"/>
              </w:rPr>
              <w:t>8</w:t>
            </w:r>
            <w:r>
              <w:rPr>
                <w:rFonts w:hint="default" w:ascii="Times New Roman" w:hAnsi="Times New Roman" w:cs="Times New Roman"/>
                <w:bCs/>
                <w:color w:val="auto"/>
                <w:sz w:val="21"/>
                <w:szCs w:val="21"/>
                <w:lang w:val="en-US" w:eastAsia="zh-CN"/>
              </w:rPr>
              <w:t>t/a</w:t>
            </w:r>
          </w:p>
        </w:tc>
        <w:tc>
          <w:tcPr>
            <w:tcW w:w="152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66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w:t>
            </w:r>
            <w:r>
              <w:rPr>
                <w:rFonts w:hint="eastAsia" w:ascii="Times New Roman" w:cs="Times New Roman"/>
                <w:bCs/>
                <w:color w:val="auto"/>
                <w:sz w:val="21"/>
                <w:szCs w:val="21"/>
                <w:lang w:val="en-US" w:eastAsia="zh-CN"/>
              </w:rPr>
              <w:t>8</w:t>
            </w:r>
            <w:r>
              <w:rPr>
                <w:rFonts w:hint="default" w:ascii="Times New Roman" w:hAnsi="Times New Roman" w:cs="Times New Roman"/>
                <w:bCs/>
                <w:color w:val="auto"/>
                <w:sz w:val="21"/>
                <w:szCs w:val="21"/>
                <w:lang w:val="en-US" w:eastAsia="zh-CN"/>
              </w:rPr>
              <w:t>t/a</w:t>
            </w:r>
          </w:p>
        </w:tc>
        <w:tc>
          <w:tcPr>
            <w:tcW w:w="1697"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w:t>
            </w:r>
            <w:r>
              <w:rPr>
                <w:rFonts w:hint="eastAsia" w:ascii="Times New Roman" w:cs="Times New Roman"/>
                <w:bCs/>
                <w:color w:val="auto"/>
                <w:sz w:val="21"/>
                <w:szCs w:val="21"/>
                <w:lang w:val="en-US" w:eastAsia="zh-CN"/>
              </w:rPr>
              <w:t>8</w:t>
            </w:r>
            <w:r>
              <w:rPr>
                <w:rFonts w:hint="default" w:ascii="Times New Roman" w:hAnsi="Times New Roman" w:cs="Times New Roman"/>
                <w:bCs/>
                <w:color w:val="auto"/>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6"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p>
        </w:tc>
        <w:tc>
          <w:tcPr>
            <w:tcW w:w="1946"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color w:val="auto"/>
                <w:kern w:val="0"/>
                <w:sz w:val="21"/>
                <w:szCs w:val="21"/>
                <w:lang w:val="en-US" w:eastAsia="zh-CN"/>
              </w:rPr>
              <w:t>锅炉灰渣</w:t>
            </w:r>
          </w:p>
        </w:tc>
        <w:tc>
          <w:tcPr>
            <w:tcW w:w="15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6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509"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eastAsia" w:ascii="Times New Roman" w:cs="Times New Roman"/>
                <w:color w:val="auto"/>
                <w:kern w:val="0"/>
                <w:sz w:val="21"/>
                <w:szCs w:val="21"/>
                <w:lang w:val="en-US" w:eastAsia="zh-CN"/>
              </w:rPr>
              <w:t>47.41</w:t>
            </w:r>
            <w:r>
              <w:rPr>
                <w:rFonts w:hint="default" w:ascii="Times New Roman" w:hAnsi="Times New Roman" w:cs="Times New Roman"/>
                <w:bCs/>
                <w:color w:val="auto"/>
                <w:sz w:val="21"/>
                <w:szCs w:val="21"/>
                <w:lang w:val="en-US" w:eastAsia="zh-CN"/>
              </w:rPr>
              <w:t>t/a</w:t>
            </w:r>
          </w:p>
        </w:tc>
        <w:tc>
          <w:tcPr>
            <w:tcW w:w="152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662"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eastAsia" w:ascii="Times New Roman" w:cs="Times New Roman"/>
                <w:color w:val="auto"/>
                <w:kern w:val="0"/>
                <w:sz w:val="21"/>
                <w:szCs w:val="21"/>
                <w:lang w:val="en-US" w:eastAsia="zh-CN"/>
              </w:rPr>
              <w:t>47.41</w:t>
            </w:r>
            <w:r>
              <w:rPr>
                <w:rFonts w:hint="default" w:ascii="Times New Roman" w:hAnsi="Times New Roman" w:cs="Times New Roman"/>
                <w:bCs/>
                <w:color w:val="auto"/>
                <w:sz w:val="21"/>
                <w:szCs w:val="21"/>
                <w:lang w:val="en-US" w:eastAsia="zh-CN"/>
              </w:rPr>
              <w:t>t/a</w:t>
            </w:r>
          </w:p>
        </w:tc>
        <w:tc>
          <w:tcPr>
            <w:tcW w:w="1697"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color w:val="auto"/>
                <w:kern w:val="0"/>
                <w:sz w:val="21"/>
                <w:szCs w:val="21"/>
                <w:lang w:val="en-US" w:eastAsia="zh-CN"/>
              </w:rPr>
              <w:t>+</w:t>
            </w:r>
            <w:r>
              <w:rPr>
                <w:rFonts w:hint="eastAsia" w:ascii="Times New Roman" w:cs="Times New Roman"/>
                <w:color w:val="auto"/>
                <w:kern w:val="0"/>
                <w:sz w:val="21"/>
                <w:szCs w:val="21"/>
                <w:lang w:val="en-US" w:eastAsia="zh-CN"/>
              </w:rPr>
              <w:t>47.41</w:t>
            </w:r>
            <w:r>
              <w:rPr>
                <w:rFonts w:hint="default" w:ascii="Times New Roman" w:hAnsi="Times New Roman" w:cs="Times New Roman"/>
                <w:bCs/>
                <w:color w:val="auto"/>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6"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p>
        </w:tc>
        <w:tc>
          <w:tcPr>
            <w:tcW w:w="1946"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color w:val="auto"/>
                <w:kern w:val="0"/>
                <w:sz w:val="21"/>
                <w:szCs w:val="21"/>
                <w:lang w:val="en-US" w:eastAsia="zh-CN"/>
              </w:rPr>
              <w:t>除尘灰</w:t>
            </w:r>
          </w:p>
        </w:tc>
        <w:tc>
          <w:tcPr>
            <w:tcW w:w="15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6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509"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eastAsia" w:ascii="Times New Roman" w:cs="Times New Roman"/>
                <w:color w:val="auto"/>
                <w:kern w:val="0"/>
                <w:sz w:val="21"/>
                <w:szCs w:val="21"/>
                <w:lang w:val="en-US" w:eastAsia="zh-CN"/>
              </w:rPr>
              <w:t>0.53</w:t>
            </w:r>
            <w:r>
              <w:rPr>
                <w:rFonts w:hint="default" w:ascii="Times New Roman" w:hAnsi="Times New Roman" w:cs="Times New Roman"/>
                <w:bCs/>
                <w:color w:val="auto"/>
                <w:sz w:val="21"/>
                <w:szCs w:val="21"/>
                <w:lang w:val="en-US" w:eastAsia="zh-CN"/>
              </w:rPr>
              <w:t>t/a</w:t>
            </w:r>
          </w:p>
        </w:tc>
        <w:tc>
          <w:tcPr>
            <w:tcW w:w="152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662"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eastAsia" w:ascii="Times New Roman" w:cs="Times New Roman"/>
                <w:color w:val="auto"/>
                <w:kern w:val="0"/>
                <w:sz w:val="21"/>
                <w:szCs w:val="21"/>
                <w:lang w:val="en-US" w:eastAsia="zh-CN"/>
              </w:rPr>
              <w:t>0.53</w:t>
            </w:r>
            <w:r>
              <w:rPr>
                <w:rFonts w:hint="default" w:ascii="Times New Roman" w:hAnsi="Times New Roman" w:cs="Times New Roman"/>
                <w:bCs/>
                <w:color w:val="auto"/>
                <w:sz w:val="21"/>
                <w:szCs w:val="21"/>
                <w:lang w:val="en-US" w:eastAsia="zh-CN"/>
              </w:rPr>
              <w:t>t/a</w:t>
            </w:r>
          </w:p>
        </w:tc>
        <w:tc>
          <w:tcPr>
            <w:tcW w:w="1697" w:type="dxa"/>
            <w:vAlign w:val="center"/>
          </w:tcPr>
          <w:p>
            <w:pPr>
              <w:keepNext w:val="0"/>
              <w:keepLines w:val="0"/>
              <w:pageBreakBefore w:val="0"/>
              <w:widowControl w:val="0"/>
              <w:kinsoku/>
              <w:wordWrap w:val="0"/>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color w:val="auto"/>
                <w:kern w:val="0"/>
                <w:sz w:val="21"/>
                <w:szCs w:val="21"/>
                <w:lang w:val="en-US" w:eastAsia="zh-CN"/>
              </w:rPr>
              <w:t>+</w:t>
            </w:r>
            <w:r>
              <w:rPr>
                <w:rFonts w:hint="eastAsia" w:ascii="Times New Roman" w:cs="Times New Roman"/>
                <w:color w:val="auto"/>
                <w:kern w:val="0"/>
                <w:sz w:val="21"/>
                <w:szCs w:val="21"/>
                <w:lang w:val="en-US" w:eastAsia="zh-CN"/>
              </w:rPr>
              <w:t>0.53</w:t>
            </w:r>
            <w:r>
              <w:rPr>
                <w:rFonts w:hint="default" w:ascii="Times New Roman" w:hAnsi="Times New Roman" w:cs="Times New Roman"/>
                <w:bCs/>
                <w:color w:val="auto"/>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97" w:hRule="atLeast"/>
        </w:trPr>
        <w:tc>
          <w:tcPr>
            <w:tcW w:w="1076"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p>
        </w:tc>
        <w:tc>
          <w:tcPr>
            <w:tcW w:w="19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污水处理站污泥</w:t>
            </w:r>
          </w:p>
        </w:tc>
        <w:tc>
          <w:tcPr>
            <w:tcW w:w="15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6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5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w:t>
            </w:r>
            <w:r>
              <w:rPr>
                <w:rFonts w:hint="eastAsia" w:ascii="Times New Roman" w:cs="Times New Roman"/>
                <w:bCs/>
                <w:color w:val="auto"/>
                <w:sz w:val="21"/>
                <w:szCs w:val="21"/>
                <w:highlight w:val="none"/>
                <w:lang w:val="en-US" w:eastAsia="zh-CN"/>
              </w:rPr>
              <w:t>8</w:t>
            </w:r>
            <w:r>
              <w:rPr>
                <w:rFonts w:hint="default" w:ascii="Times New Roman" w:hAnsi="Times New Roman" w:cs="Times New Roman"/>
                <w:bCs/>
                <w:color w:val="auto"/>
                <w:sz w:val="21"/>
                <w:szCs w:val="21"/>
                <w:highlight w:val="none"/>
                <w:lang w:val="en-US" w:eastAsia="zh-CN"/>
              </w:rPr>
              <w:t>t/a</w:t>
            </w:r>
          </w:p>
        </w:tc>
        <w:tc>
          <w:tcPr>
            <w:tcW w:w="152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w:t>
            </w:r>
          </w:p>
        </w:tc>
        <w:tc>
          <w:tcPr>
            <w:tcW w:w="166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w:t>
            </w:r>
            <w:r>
              <w:rPr>
                <w:rFonts w:hint="eastAsia" w:ascii="Times New Roman" w:cs="Times New Roman"/>
                <w:bCs/>
                <w:color w:val="auto"/>
                <w:sz w:val="21"/>
                <w:szCs w:val="21"/>
                <w:highlight w:val="none"/>
                <w:lang w:val="en-US" w:eastAsia="zh-CN"/>
              </w:rPr>
              <w:t>8</w:t>
            </w:r>
            <w:r>
              <w:rPr>
                <w:rFonts w:hint="default" w:ascii="Times New Roman" w:hAnsi="Times New Roman" w:cs="Times New Roman"/>
                <w:bCs/>
                <w:color w:val="auto"/>
                <w:sz w:val="21"/>
                <w:szCs w:val="21"/>
                <w:highlight w:val="none"/>
                <w:lang w:val="en-US" w:eastAsia="zh-CN"/>
              </w:rPr>
              <w:t>t/a</w:t>
            </w:r>
          </w:p>
        </w:tc>
        <w:tc>
          <w:tcPr>
            <w:tcW w:w="1697"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+0.</w:t>
            </w:r>
            <w:r>
              <w:rPr>
                <w:rFonts w:hint="eastAsia" w:ascii="Times New Roman" w:cs="Times New Roman"/>
                <w:bCs/>
                <w:color w:val="auto"/>
                <w:sz w:val="21"/>
                <w:szCs w:val="21"/>
                <w:highlight w:val="none"/>
                <w:lang w:val="en-US" w:eastAsia="zh-CN"/>
              </w:rPr>
              <w:t>8</w:t>
            </w:r>
            <w:r>
              <w:rPr>
                <w:rFonts w:hint="default" w:ascii="Times New Roman" w:hAnsi="Times New Roman" w:cs="Times New Roman"/>
                <w:bCs/>
                <w:color w:val="auto"/>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6"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p>
        </w:tc>
        <w:tc>
          <w:tcPr>
            <w:tcW w:w="19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color w:val="auto"/>
                <w:kern w:val="0"/>
                <w:sz w:val="21"/>
                <w:szCs w:val="21"/>
              </w:rPr>
              <w:t>废离子交换树脂</w:t>
            </w:r>
          </w:p>
        </w:tc>
        <w:tc>
          <w:tcPr>
            <w:tcW w:w="15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6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5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0.1t/a</w:t>
            </w:r>
          </w:p>
        </w:tc>
        <w:tc>
          <w:tcPr>
            <w:tcW w:w="152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66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0.1t/a</w:t>
            </w:r>
          </w:p>
        </w:tc>
        <w:tc>
          <w:tcPr>
            <w:tcW w:w="1697"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6" w:type="dxa"/>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危险废物</w:t>
            </w:r>
          </w:p>
        </w:tc>
        <w:tc>
          <w:tcPr>
            <w:tcW w:w="19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废机油</w:t>
            </w:r>
          </w:p>
        </w:tc>
        <w:tc>
          <w:tcPr>
            <w:tcW w:w="15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6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5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0.2t/a</w:t>
            </w:r>
          </w:p>
        </w:tc>
        <w:tc>
          <w:tcPr>
            <w:tcW w:w="152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66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0.2t/a</w:t>
            </w:r>
          </w:p>
        </w:tc>
        <w:tc>
          <w:tcPr>
            <w:tcW w:w="1697"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6"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p>
        </w:tc>
        <w:tc>
          <w:tcPr>
            <w:tcW w:w="19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废油桶</w:t>
            </w:r>
          </w:p>
        </w:tc>
        <w:tc>
          <w:tcPr>
            <w:tcW w:w="15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6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5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0.01t/a</w:t>
            </w:r>
          </w:p>
        </w:tc>
        <w:tc>
          <w:tcPr>
            <w:tcW w:w="152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66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0.01t/a</w:t>
            </w:r>
          </w:p>
        </w:tc>
        <w:tc>
          <w:tcPr>
            <w:tcW w:w="1697"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+0.01t/a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6" w:type="dxa"/>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p>
        </w:tc>
        <w:tc>
          <w:tcPr>
            <w:tcW w:w="19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含油抹布</w:t>
            </w:r>
          </w:p>
        </w:tc>
        <w:tc>
          <w:tcPr>
            <w:tcW w:w="153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235"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646"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50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0.001t/a</w:t>
            </w:r>
          </w:p>
        </w:tc>
        <w:tc>
          <w:tcPr>
            <w:tcW w:w="1529"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1662"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0.001t/a</w:t>
            </w:r>
          </w:p>
        </w:tc>
        <w:tc>
          <w:tcPr>
            <w:tcW w:w="1697"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+0.001t/a</w:t>
            </w:r>
          </w:p>
        </w:tc>
      </w:tr>
    </w:tbl>
    <w:p>
      <w:pPr>
        <w:pStyle w:val="64"/>
        <w:spacing w:before="192" w:beforeLines="80" w:after="24"/>
        <w:jc w:val="left"/>
        <w:rPr>
          <w:rFonts w:hint="default" w:ascii="Times New Roman" w:hAnsi="Times New Roman" w:cs="Times New Roman"/>
          <w:snapToGrid w:val="0"/>
          <w:color w:val="auto"/>
          <w:spacing w:val="-6"/>
          <w:kern w:val="21"/>
          <w:sz w:val="24"/>
          <w:szCs w:val="24"/>
          <w:highlight w:val="none"/>
        </w:rPr>
      </w:pPr>
      <w:r>
        <w:rPr>
          <w:rFonts w:hint="default" w:ascii="Times New Roman" w:hAnsi="Times New Roman" w:cs="Times New Roman"/>
          <w:snapToGrid w:val="0"/>
          <w:color w:val="auto"/>
          <w:kern w:val="21"/>
          <w:sz w:val="24"/>
          <w:szCs w:val="24"/>
          <w:highlight w:val="none"/>
        </w:rPr>
        <w:t>注：</w:t>
      </w:r>
      <w:r>
        <w:rPr>
          <w:rFonts w:hint="default" w:ascii="Times New Roman" w:hAnsi="Times New Roman" w:cs="Times New Roman"/>
          <w:snapToGrid w:val="0"/>
          <w:color w:val="auto"/>
          <w:spacing w:val="-16"/>
          <w:kern w:val="21"/>
          <w:sz w:val="24"/>
          <w:szCs w:val="24"/>
          <w:highlight w:val="none"/>
        </w:rPr>
        <w:fldChar w:fldCharType="begin"/>
      </w:r>
      <w:r>
        <w:rPr>
          <w:rFonts w:hint="default" w:ascii="Times New Roman" w:hAnsi="Times New Roman" w:cs="Times New Roman"/>
          <w:snapToGrid w:val="0"/>
          <w:color w:val="auto"/>
          <w:spacing w:val="-16"/>
          <w:kern w:val="21"/>
          <w:sz w:val="24"/>
          <w:szCs w:val="24"/>
          <w:highlight w:val="none"/>
        </w:rPr>
        <w:instrText xml:space="preserve"> = 6 \* GB3 \* MERGEFORMAT </w:instrText>
      </w:r>
      <w:r>
        <w:rPr>
          <w:rFonts w:hint="default" w:ascii="Times New Roman" w:hAnsi="Times New Roman" w:cs="Times New Roman"/>
          <w:snapToGrid w:val="0"/>
          <w:color w:val="auto"/>
          <w:spacing w:val="-16"/>
          <w:kern w:val="21"/>
          <w:sz w:val="24"/>
          <w:szCs w:val="24"/>
          <w:highlight w:val="none"/>
        </w:rPr>
        <w:fldChar w:fldCharType="separate"/>
      </w:r>
      <w:r>
        <w:rPr>
          <w:rFonts w:hint="default" w:ascii="Times New Roman" w:hAnsi="Times New Roman" w:cs="Times New Roman"/>
          <w:color w:val="auto"/>
          <w:sz w:val="24"/>
          <w:szCs w:val="24"/>
          <w:highlight w:val="none"/>
        </w:rPr>
        <w:t>⑥</w:t>
      </w:r>
      <w:r>
        <w:rPr>
          <w:rFonts w:hint="default" w:ascii="Times New Roman" w:hAnsi="Times New Roman" w:cs="Times New Roman"/>
          <w:snapToGrid w:val="0"/>
          <w:color w:val="auto"/>
          <w:spacing w:val="-16"/>
          <w:kern w:val="21"/>
          <w:sz w:val="24"/>
          <w:szCs w:val="24"/>
          <w:highlight w:val="none"/>
        </w:rPr>
        <w:fldChar w:fldCharType="end"/>
      </w:r>
      <w:r>
        <w:rPr>
          <w:rFonts w:hint="default" w:ascii="Times New Roman" w:hAnsi="Times New Roman" w:cs="Times New Roman"/>
          <w:snapToGrid w:val="0"/>
          <w:color w:val="auto"/>
          <w:spacing w:val="-16"/>
          <w:kern w:val="21"/>
          <w:sz w:val="24"/>
          <w:szCs w:val="24"/>
          <w:highlight w:val="none"/>
        </w:rPr>
        <w:t>=</w:t>
      </w: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1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sz w:val="24"/>
          <w:szCs w:val="24"/>
          <w:highlight w:val="none"/>
        </w:rPr>
        <w:t>①</w:t>
      </w:r>
      <w:r>
        <w:rPr>
          <w:rFonts w:hint="default" w:ascii="Times New Roman" w:hAnsi="Times New Roman" w:cs="Times New Roman"/>
          <w:snapToGrid w:val="0"/>
          <w:color w:val="auto"/>
          <w:spacing w:val="-6"/>
          <w:kern w:val="21"/>
          <w:sz w:val="24"/>
          <w:szCs w:val="24"/>
          <w:highlight w:val="none"/>
        </w:rPr>
        <w:fldChar w:fldCharType="end"/>
      </w:r>
      <w:r>
        <w:rPr>
          <w:rFonts w:hint="default" w:ascii="Times New Roman" w:hAnsi="Times New Roman" w:cs="Times New Roman"/>
          <w:snapToGrid w:val="0"/>
          <w:color w:val="auto"/>
          <w:spacing w:val="-6"/>
          <w:kern w:val="21"/>
          <w:sz w:val="24"/>
          <w:szCs w:val="24"/>
          <w:highlight w:val="none"/>
        </w:rPr>
        <w:t>+</w:t>
      </w: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3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sz w:val="24"/>
          <w:szCs w:val="24"/>
          <w:highlight w:val="none"/>
        </w:rPr>
        <w:t>③</w:t>
      </w:r>
      <w:r>
        <w:rPr>
          <w:rFonts w:hint="default" w:ascii="Times New Roman" w:hAnsi="Times New Roman" w:cs="Times New Roman"/>
          <w:snapToGrid w:val="0"/>
          <w:color w:val="auto"/>
          <w:spacing w:val="-6"/>
          <w:kern w:val="21"/>
          <w:sz w:val="24"/>
          <w:szCs w:val="24"/>
          <w:highlight w:val="none"/>
        </w:rPr>
        <w:fldChar w:fldCharType="end"/>
      </w:r>
      <w:r>
        <w:rPr>
          <w:rFonts w:hint="default" w:ascii="Times New Roman" w:hAnsi="Times New Roman" w:cs="Times New Roman"/>
          <w:snapToGrid w:val="0"/>
          <w:color w:val="auto"/>
          <w:spacing w:val="-6"/>
          <w:kern w:val="21"/>
          <w:sz w:val="24"/>
          <w:szCs w:val="24"/>
          <w:highlight w:val="none"/>
        </w:rPr>
        <w:t>+</w:t>
      </w: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4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sz w:val="24"/>
          <w:szCs w:val="24"/>
          <w:highlight w:val="none"/>
        </w:rPr>
        <w:t>④</w:t>
      </w:r>
      <w:r>
        <w:rPr>
          <w:rFonts w:hint="default" w:ascii="Times New Roman" w:hAnsi="Times New Roman" w:cs="Times New Roman"/>
          <w:snapToGrid w:val="0"/>
          <w:color w:val="auto"/>
          <w:spacing w:val="-6"/>
          <w:kern w:val="21"/>
          <w:sz w:val="24"/>
          <w:szCs w:val="24"/>
          <w:highlight w:val="none"/>
        </w:rPr>
        <w:fldChar w:fldCharType="end"/>
      </w:r>
      <w:r>
        <w:rPr>
          <w:rFonts w:hint="default" w:ascii="Times New Roman" w:hAnsi="Times New Roman" w:cs="Times New Roman"/>
          <w:snapToGrid w:val="0"/>
          <w:color w:val="auto"/>
          <w:spacing w:val="-6"/>
          <w:kern w:val="21"/>
          <w:sz w:val="24"/>
          <w:szCs w:val="24"/>
          <w:highlight w:val="none"/>
        </w:rPr>
        <w:t>-</w:t>
      </w:r>
      <w:r>
        <w:rPr>
          <w:rFonts w:hint="default" w:ascii="Times New Roman" w:hAnsi="Times New Roman" w:cs="Times New Roman"/>
          <w:snapToGrid w:val="0"/>
          <w:color w:val="auto"/>
          <w:spacing w:val="-16"/>
          <w:kern w:val="21"/>
          <w:sz w:val="24"/>
          <w:szCs w:val="24"/>
          <w:highlight w:val="none"/>
        </w:rPr>
        <w:fldChar w:fldCharType="begin"/>
      </w:r>
      <w:r>
        <w:rPr>
          <w:rFonts w:hint="default" w:ascii="Times New Roman" w:hAnsi="Times New Roman" w:cs="Times New Roman"/>
          <w:snapToGrid w:val="0"/>
          <w:color w:val="auto"/>
          <w:spacing w:val="-16"/>
          <w:kern w:val="21"/>
          <w:sz w:val="24"/>
          <w:szCs w:val="24"/>
          <w:highlight w:val="none"/>
        </w:rPr>
        <w:instrText xml:space="preserve"> = 5 \* GB3 \* MERGEFORMAT </w:instrText>
      </w:r>
      <w:r>
        <w:rPr>
          <w:rFonts w:hint="default" w:ascii="Times New Roman" w:hAnsi="Times New Roman" w:cs="Times New Roman"/>
          <w:snapToGrid w:val="0"/>
          <w:color w:val="auto"/>
          <w:spacing w:val="-16"/>
          <w:kern w:val="21"/>
          <w:sz w:val="24"/>
          <w:szCs w:val="24"/>
          <w:highlight w:val="none"/>
        </w:rPr>
        <w:fldChar w:fldCharType="separate"/>
      </w:r>
      <w:r>
        <w:rPr>
          <w:rFonts w:hint="default" w:ascii="Times New Roman" w:hAnsi="Times New Roman" w:cs="Times New Roman"/>
          <w:color w:val="auto"/>
          <w:sz w:val="24"/>
          <w:szCs w:val="24"/>
          <w:highlight w:val="none"/>
        </w:rPr>
        <w:t>⑤</w:t>
      </w:r>
      <w:r>
        <w:rPr>
          <w:rFonts w:hint="default" w:ascii="Times New Roman" w:hAnsi="Times New Roman" w:cs="Times New Roman"/>
          <w:snapToGrid w:val="0"/>
          <w:color w:val="auto"/>
          <w:spacing w:val="-16"/>
          <w:kern w:val="21"/>
          <w:sz w:val="24"/>
          <w:szCs w:val="24"/>
          <w:highlight w:val="none"/>
        </w:rPr>
        <w:fldChar w:fldCharType="end"/>
      </w:r>
      <w:r>
        <w:rPr>
          <w:rFonts w:hint="default" w:ascii="Times New Roman" w:hAnsi="Times New Roman" w:cs="Times New Roman"/>
          <w:snapToGrid w:val="0"/>
          <w:color w:val="auto"/>
          <w:spacing w:val="-16"/>
          <w:kern w:val="21"/>
          <w:sz w:val="24"/>
          <w:szCs w:val="24"/>
          <w:highlight w:val="none"/>
        </w:rPr>
        <w:t>；</w:t>
      </w: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7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sz w:val="24"/>
          <w:szCs w:val="24"/>
          <w:highlight w:val="none"/>
        </w:rPr>
        <w:t>⑦</w:t>
      </w:r>
      <w:r>
        <w:rPr>
          <w:rFonts w:hint="default" w:ascii="Times New Roman" w:hAnsi="Times New Roman" w:cs="Times New Roman"/>
          <w:snapToGrid w:val="0"/>
          <w:color w:val="auto"/>
          <w:spacing w:val="-6"/>
          <w:kern w:val="21"/>
          <w:sz w:val="24"/>
          <w:szCs w:val="24"/>
          <w:highlight w:val="none"/>
        </w:rPr>
        <w:fldChar w:fldCharType="end"/>
      </w:r>
      <w:r>
        <w:rPr>
          <w:rFonts w:hint="default" w:ascii="Times New Roman" w:hAnsi="Times New Roman" w:cs="Times New Roman"/>
          <w:snapToGrid w:val="0"/>
          <w:color w:val="auto"/>
          <w:spacing w:val="-6"/>
          <w:kern w:val="21"/>
          <w:sz w:val="24"/>
          <w:szCs w:val="24"/>
          <w:highlight w:val="none"/>
        </w:rPr>
        <w:t>=</w:t>
      </w:r>
      <w:r>
        <w:rPr>
          <w:rFonts w:hint="default" w:ascii="Times New Roman" w:hAnsi="Times New Roman" w:cs="Times New Roman"/>
          <w:snapToGrid w:val="0"/>
          <w:color w:val="auto"/>
          <w:spacing w:val="-16"/>
          <w:kern w:val="21"/>
          <w:sz w:val="24"/>
          <w:szCs w:val="24"/>
          <w:highlight w:val="none"/>
        </w:rPr>
        <w:fldChar w:fldCharType="begin"/>
      </w:r>
      <w:r>
        <w:rPr>
          <w:rFonts w:hint="default" w:ascii="Times New Roman" w:hAnsi="Times New Roman" w:cs="Times New Roman"/>
          <w:snapToGrid w:val="0"/>
          <w:color w:val="auto"/>
          <w:spacing w:val="-16"/>
          <w:kern w:val="21"/>
          <w:sz w:val="24"/>
          <w:szCs w:val="24"/>
          <w:highlight w:val="none"/>
        </w:rPr>
        <w:instrText xml:space="preserve"> = 6 \* GB3 \* MERGEFORMAT </w:instrText>
      </w:r>
      <w:r>
        <w:rPr>
          <w:rFonts w:hint="default" w:ascii="Times New Roman" w:hAnsi="Times New Roman" w:cs="Times New Roman"/>
          <w:snapToGrid w:val="0"/>
          <w:color w:val="auto"/>
          <w:spacing w:val="-16"/>
          <w:kern w:val="21"/>
          <w:sz w:val="24"/>
          <w:szCs w:val="24"/>
          <w:highlight w:val="none"/>
        </w:rPr>
        <w:fldChar w:fldCharType="separate"/>
      </w:r>
      <w:r>
        <w:rPr>
          <w:rFonts w:hint="default" w:ascii="Times New Roman" w:hAnsi="Times New Roman" w:cs="Times New Roman"/>
          <w:color w:val="auto"/>
          <w:sz w:val="24"/>
          <w:szCs w:val="24"/>
          <w:highlight w:val="none"/>
        </w:rPr>
        <w:t>⑥</w:t>
      </w:r>
      <w:r>
        <w:rPr>
          <w:rFonts w:hint="default" w:ascii="Times New Roman" w:hAnsi="Times New Roman" w:cs="Times New Roman"/>
          <w:snapToGrid w:val="0"/>
          <w:color w:val="auto"/>
          <w:spacing w:val="-16"/>
          <w:kern w:val="21"/>
          <w:sz w:val="24"/>
          <w:szCs w:val="24"/>
          <w:highlight w:val="none"/>
        </w:rPr>
        <w:fldChar w:fldCharType="end"/>
      </w:r>
      <w:r>
        <w:rPr>
          <w:rFonts w:hint="default" w:ascii="Times New Roman" w:hAnsi="Times New Roman" w:cs="Times New Roman"/>
          <w:snapToGrid w:val="0"/>
          <w:color w:val="auto"/>
          <w:spacing w:val="-16"/>
          <w:kern w:val="21"/>
          <w:sz w:val="24"/>
          <w:szCs w:val="24"/>
          <w:highlight w:val="none"/>
        </w:rPr>
        <w:t>-</w:t>
      </w:r>
      <w:r>
        <w:rPr>
          <w:rFonts w:hint="default" w:ascii="Times New Roman" w:hAnsi="Times New Roman" w:cs="Times New Roman"/>
          <w:snapToGrid w:val="0"/>
          <w:color w:val="auto"/>
          <w:spacing w:val="-6"/>
          <w:kern w:val="21"/>
          <w:sz w:val="24"/>
          <w:szCs w:val="24"/>
          <w:highlight w:val="none"/>
        </w:rPr>
        <w:fldChar w:fldCharType="begin"/>
      </w:r>
      <w:r>
        <w:rPr>
          <w:rFonts w:hint="default" w:ascii="Times New Roman" w:hAnsi="Times New Roman" w:cs="Times New Roman"/>
          <w:snapToGrid w:val="0"/>
          <w:color w:val="auto"/>
          <w:spacing w:val="-6"/>
          <w:kern w:val="21"/>
          <w:sz w:val="24"/>
          <w:szCs w:val="24"/>
          <w:highlight w:val="none"/>
        </w:rPr>
        <w:instrText xml:space="preserve"> = 1 \* GB3 \* MERGEFORMAT </w:instrText>
      </w:r>
      <w:r>
        <w:rPr>
          <w:rFonts w:hint="default" w:ascii="Times New Roman" w:hAnsi="Times New Roman" w:cs="Times New Roman"/>
          <w:snapToGrid w:val="0"/>
          <w:color w:val="auto"/>
          <w:spacing w:val="-6"/>
          <w:kern w:val="21"/>
          <w:sz w:val="24"/>
          <w:szCs w:val="24"/>
          <w:highlight w:val="none"/>
        </w:rPr>
        <w:fldChar w:fldCharType="separate"/>
      </w:r>
      <w:r>
        <w:rPr>
          <w:rFonts w:hint="default" w:ascii="Times New Roman" w:hAnsi="Times New Roman" w:cs="Times New Roman"/>
          <w:color w:val="auto"/>
          <w:sz w:val="24"/>
          <w:szCs w:val="24"/>
          <w:highlight w:val="none"/>
        </w:rPr>
        <w:t>①</w:t>
      </w:r>
      <w:r>
        <w:rPr>
          <w:rFonts w:hint="default" w:ascii="Times New Roman" w:hAnsi="Times New Roman" w:cs="Times New Roman"/>
          <w:snapToGrid w:val="0"/>
          <w:color w:val="auto"/>
          <w:spacing w:val="-6"/>
          <w:kern w:val="21"/>
          <w:sz w:val="24"/>
          <w:szCs w:val="24"/>
          <w:highlight w:val="none"/>
        </w:rPr>
        <w:fldChar w:fldCharType="end"/>
      </w:r>
    </w:p>
    <w:p>
      <w:pPr>
        <w:pStyle w:val="47"/>
        <w:ind w:left="0" w:leftChars="0" w:firstLine="0" w:firstLineChars="0"/>
        <w:rPr>
          <w:rFonts w:hint="default" w:ascii="Times New Roman" w:hAnsi="Times New Roman" w:eastAsia="黑体" w:cs="Times New Roman"/>
          <w:color w:val="auto"/>
          <w:highlight w:val="none"/>
        </w:rPr>
        <w:sectPr>
          <w:footerReference r:id="rId7" w:type="default"/>
          <w:pgSz w:w="16838" w:h="11906" w:orient="landscape"/>
          <w:pgMar w:top="1531" w:right="1531" w:bottom="1531" w:left="1531" w:header="851" w:footer="850" w:gutter="0"/>
          <w:pgBorders>
            <w:top w:val="none" w:sz="0" w:space="0"/>
            <w:left w:val="none" w:sz="0" w:space="0"/>
            <w:bottom w:val="none" w:sz="0" w:space="0"/>
            <w:right w:val="none" w:sz="0" w:space="0"/>
          </w:pgBorders>
          <w:pgNumType w:fmt="decimal"/>
          <w:cols w:space="720" w:num="1"/>
          <w:rtlGutter w:val="0"/>
          <w:docGrid w:linePitch="312" w:charSpace="0"/>
        </w:sectPr>
      </w:pPr>
    </w:p>
    <w:p>
      <w:pPr>
        <w:kinsoku w:val="0"/>
        <w:autoSpaceDE w:val="0"/>
        <w:autoSpaceDN w:val="0"/>
        <w:adjustRightInd w:val="0"/>
        <w:snapToGrid w:val="0"/>
        <w:spacing w:line="247" w:lineRule="auto"/>
        <w:jc w:val="left"/>
        <w:textAlignment w:val="baseline"/>
        <w:rPr>
          <w:rFonts w:ascii="Times New Roman" w:hAnsi="Times New Roman" w:eastAsia="Arial" w:cs="Times New Roman"/>
          <w:snapToGrid w:val="0"/>
          <w:color w:val="000000"/>
          <w:kern w:val="0"/>
          <w:sz w:val="21"/>
          <w:szCs w:val="21"/>
          <w:lang w:eastAsia="en-US"/>
        </w:rPr>
      </w:pPr>
    </w:p>
    <w:p>
      <w:pPr>
        <w:kinsoku w:val="0"/>
        <w:autoSpaceDE w:val="0"/>
        <w:autoSpaceDN w:val="0"/>
        <w:adjustRightInd w:val="0"/>
        <w:snapToGrid w:val="0"/>
        <w:spacing w:line="247" w:lineRule="auto"/>
        <w:jc w:val="left"/>
        <w:textAlignment w:val="baseline"/>
        <w:rPr>
          <w:rFonts w:ascii="Times New Roman" w:hAnsi="Times New Roman" w:eastAsia="Arial" w:cs="Times New Roman"/>
          <w:snapToGrid w:val="0"/>
          <w:color w:val="000000"/>
          <w:kern w:val="0"/>
          <w:sz w:val="21"/>
          <w:szCs w:val="21"/>
          <w:lang w:eastAsia="en-US"/>
        </w:rPr>
      </w:pPr>
    </w:p>
    <w:p>
      <w:pPr>
        <w:kinsoku w:val="0"/>
        <w:autoSpaceDE w:val="0"/>
        <w:autoSpaceDN w:val="0"/>
        <w:adjustRightInd w:val="0"/>
        <w:snapToGrid w:val="0"/>
        <w:spacing w:line="247" w:lineRule="auto"/>
        <w:jc w:val="left"/>
        <w:textAlignment w:val="baseline"/>
        <w:rPr>
          <w:rFonts w:ascii="Times New Roman" w:hAnsi="Times New Roman" w:eastAsia="Arial" w:cs="Times New Roman"/>
          <w:snapToGrid w:val="0"/>
          <w:color w:val="000000"/>
          <w:kern w:val="0"/>
          <w:sz w:val="21"/>
          <w:szCs w:val="21"/>
          <w:lang w:eastAsia="en-US"/>
        </w:rPr>
      </w:pPr>
    </w:p>
    <w:p>
      <w:pPr>
        <w:kinsoku w:val="0"/>
        <w:autoSpaceDE w:val="0"/>
        <w:autoSpaceDN w:val="0"/>
        <w:adjustRightInd w:val="0"/>
        <w:snapToGrid w:val="0"/>
        <w:spacing w:line="247" w:lineRule="auto"/>
        <w:jc w:val="left"/>
        <w:textAlignment w:val="baseline"/>
        <w:rPr>
          <w:rFonts w:ascii="Times New Roman" w:hAnsi="Times New Roman" w:eastAsia="Arial" w:cs="Times New Roman"/>
          <w:snapToGrid w:val="0"/>
          <w:color w:val="000000"/>
          <w:kern w:val="0"/>
          <w:sz w:val="21"/>
          <w:szCs w:val="21"/>
          <w:lang w:eastAsia="en-US"/>
        </w:rPr>
      </w:pPr>
    </w:p>
    <w:p>
      <w:pPr>
        <w:kinsoku w:val="0"/>
        <w:autoSpaceDE w:val="0"/>
        <w:autoSpaceDN w:val="0"/>
        <w:adjustRightInd w:val="0"/>
        <w:snapToGrid w:val="0"/>
        <w:spacing w:line="248" w:lineRule="auto"/>
        <w:jc w:val="left"/>
        <w:textAlignment w:val="baseline"/>
        <w:rPr>
          <w:rFonts w:ascii="Times New Roman" w:hAnsi="Times New Roman" w:eastAsia="Arial" w:cs="Times New Roman"/>
          <w:snapToGrid w:val="0"/>
          <w:color w:val="000000"/>
          <w:kern w:val="0"/>
          <w:sz w:val="21"/>
          <w:szCs w:val="21"/>
          <w:lang w:eastAsia="en-US"/>
        </w:rPr>
      </w:pPr>
    </w:p>
    <w:p>
      <w:pPr>
        <w:kinsoku w:val="0"/>
        <w:autoSpaceDE w:val="0"/>
        <w:autoSpaceDN w:val="0"/>
        <w:adjustRightInd w:val="0"/>
        <w:snapToGrid w:val="0"/>
        <w:spacing w:line="248" w:lineRule="auto"/>
        <w:jc w:val="left"/>
        <w:textAlignment w:val="baseline"/>
        <w:rPr>
          <w:rFonts w:ascii="Times New Roman" w:hAnsi="Times New Roman" w:eastAsia="Arial" w:cs="Times New Roman"/>
          <w:snapToGrid w:val="0"/>
          <w:color w:val="000000"/>
          <w:kern w:val="0"/>
          <w:sz w:val="21"/>
          <w:szCs w:val="21"/>
          <w:lang w:eastAsia="en-US"/>
        </w:rPr>
      </w:pPr>
    </w:p>
    <w:p>
      <w:pPr>
        <w:kinsoku w:val="0"/>
        <w:autoSpaceDE w:val="0"/>
        <w:autoSpaceDN w:val="0"/>
        <w:adjustRightInd w:val="0"/>
        <w:snapToGrid w:val="0"/>
        <w:spacing w:line="248" w:lineRule="auto"/>
        <w:jc w:val="left"/>
        <w:textAlignment w:val="baseline"/>
        <w:rPr>
          <w:rFonts w:ascii="Times New Roman" w:hAnsi="Times New Roman" w:eastAsia="Arial" w:cs="Times New Roman"/>
          <w:snapToGrid w:val="0"/>
          <w:color w:val="000000"/>
          <w:kern w:val="0"/>
          <w:sz w:val="21"/>
          <w:szCs w:val="21"/>
          <w:lang w:eastAsia="en-US"/>
        </w:rPr>
      </w:pPr>
    </w:p>
    <w:p>
      <w:pPr>
        <w:widowControl/>
        <w:kinsoku w:val="0"/>
        <w:autoSpaceDE w:val="0"/>
        <w:autoSpaceDN w:val="0"/>
        <w:adjustRightInd w:val="0"/>
        <w:snapToGrid w:val="0"/>
        <w:spacing w:before="105" w:line="222" w:lineRule="auto"/>
        <w:jc w:val="center"/>
        <w:textAlignment w:val="baseline"/>
        <w:outlineLvl w:val="0"/>
        <w:rPr>
          <w:rFonts w:hint="default" w:ascii="Times New Roman" w:hAnsi="Times New Roman" w:cs="Times New Roman"/>
          <w:b/>
          <w:bCs/>
          <w:snapToGrid w:val="0"/>
          <w:color w:val="000000"/>
          <w:kern w:val="0"/>
          <w:sz w:val="43"/>
          <w:szCs w:val="43"/>
          <w:highlight w:val="none"/>
          <w:lang w:val="en-US" w:eastAsia="zh-CN"/>
        </w:rPr>
      </w:pPr>
      <w:r>
        <w:rPr>
          <w:rFonts w:hint="default" w:ascii="Times New Roman" w:hAnsi="Times New Roman" w:cs="Times New Roman"/>
          <w:b/>
          <w:bCs/>
          <w:snapToGrid w:val="0"/>
          <w:color w:val="000000"/>
          <w:kern w:val="0"/>
          <w:sz w:val="43"/>
          <w:szCs w:val="43"/>
          <w:highlight w:val="none"/>
          <w:lang w:val="en-US" w:eastAsia="zh-CN"/>
        </w:rPr>
        <w:t>翼城县慧洁洗衣店二部</w:t>
      </w:r>
    </w:p>
    <w:p>
      <w:pPr>
        <w:widowControl/>
        <w:kinsoku w:val="0"/>
        <w:autoSpaceDE w:val="0"/>
        <w:autoSpaceDN w:val="0"/>
        <w:adjustRightInd w:val="0"/>
        <w:snapToGrid w:val="0"/>
        <w:spacing w:before="105" w:line="222" w:lineRule="auto"/>
        <w:jc w:val="center"/>
        <w:textAlignment w:val="baseline"/>
        <w:outlineLvl w:val="0"/>
        <w:rPr>
          <w:rFonts w:hint="default" w:ascii="Times New Roman" w:hAnsi="Times New Roman" w:cs="Times New Roman"/>
          <w:b/>
          <w:bCs/>
          <w:snapToGrid w:val="0"/>
          <w:color w:val="000000"/>
          <w:kern w:val="0"/>
          <w:sz w:val="43"/>
          <w:szCs w:val="43"/>
          <w:highlight w:val="none"/>
          <w:lang w:val="en-US" w:eastAsia="zh-CN"/>
        </w:rPr>
      </w:pPr>
      <w:r>
        <w:rPr>
          <w:rFonts w:hint="default" w:ascii="Times New Roman" w:hAnsi="Times New Roman" w:cs="Times New Roman"/>
          <w:b/>
          <w:bCs/>
          <w:snapToGrid w:val="0"/>
          <w:color w:val="000000"/>
          <w:kern w:val="0"/>
          <w:sz w:val="43"/>
          <w:szCs w:val="43"/>
          <w:highlight w:val="none"/>
          <w:lang w:val="en-US" w:eastAsia="zh-CN"/>
        </w:rPr>
        <w:t>年洗涤</w:t>
      </w:r>
      <w:r>
        <w:rPr>
          <w:rFonts w:hint="eastAsia" w:ascii="Times New Roman" w:hAnsi="Times New Roman" w:cs="Times New Roman"/>
          <w:b/>
          <w:bCs/>
          <w:snapToGrid w:val="0"/>
          <w:color w:val="000000"/>
          <w:kern w:val="0"/>
          <w:sz w:val="43"/>
          <w:szCs w:val="43"/>
          <w:highlight w:val="none"/>
          <w:lang w:val="en-US" w:eastAsia="zh-CN"/>
        </w:rPr>
        <w:t>8</w:t>
      </w:r>
      <w:r>
        <w:rPr>
          <w:rFonts w:hint="default" w:ascii="Times New Roman" w:hAnsi="Times New Roman" w:cs="Times New Roman"/>
          <w:b/>
          <w:bCs/>
          <w:snapToGrid w:val="0"/>
          <w:color w:val="000000"/>
          <w:kern w:val="0"/>
          <w:sz w:val="43"/>
          <w:szCs w:val="43"/>
          <w:highlight w:val="none"/>
          <w:lang w:val="en-US" w:eastAsia="zh-CN"/>
        </w:rPr>
        <w:t>万套布草建设项目</w:t>
      </w:r>
    </w:p>
    <w:p>
      <w:pPr>
        <w:widowControl/>
        <w:kinsoku w:val="0"/>
        <w:autoSpaceDE w:val="0"/>
        <w:autoSpaceDN w:val="0"/>
        <w:adjustRightInd w:val="0"/>
        <w:snapToGrid w:val="0"/>
        <w:spacing w:before="105" w:line="222" w:lineRule="auto"/>
        <w:jc w:val="center"/>
        <w:textAlignment w:val="baseline"/>
        <w:outlineLvl w:val="0"/>
        <w:rPr>
          <w:rFonts w:ascii="Times New Roman" w:hAnsi="Times New Roman" w:cs="Times New Roman"/>
          <w:snapToGrid w:val="0"/>
          <w:color w:val="000000"/>
          <w:kern w:val="0"/>
          <w:sz w:val="43"/>
          <w:szCs w:val="43"/>
          <w:highlight w:val="none"/>
        </w:rPr>
      </w:pPr>
      <w:r>
        <w:rPr>
          <w:rFonts w:ascii="Times New Roman" w:hAnsi="Times New Roman" w:cs="Times New Roman"/>
          <w:b/>
          <w:bCs/>
          <w:snapToGrid w:val="0"/>
          <w:color w:val="000000"/>
          <w:spacing w:val="4"/>
          <w:kern w:val="0"/>
          <w:sz w:val="43"/>
          <w:szCs w:val="43"/>
          <w:highlight w:val="none"/>
        </w:rPr>
        <w:t>大气环境影响专项评价</w:t>
      </w:r>
    </w:p>
    <w:p>
      <w:pPr>
        <w:kinsoku w:val="0"/>
        <w:autoSpaceDE w:val="0"/>
        <w:autoSpaceDN w:val="0"/>
        <w:adjustRightInd w:val="0"/>
        <w:snapToGrid w:val="0"/>
        <w:jc w:val="center"/>
        <w:textAlignment w:val="baseline"/>
        <w:rPr>
          <w:rFonts w:ascii="Times New Roman" w:hAnsi="Times New Roman" w:eastAsia="Arial" w:cs="Times New Roman"/>
          <w:snapToGrid w:val="0"/>
          <w:color w:val="000000"/>
          <w:kern w:val="0"/>
          <w:sz w:val="21"/>
          <w:szCs w:val="21"/>
        </w:rPr>
      </w:pPr>
    </w:p>
    <w:p>
      <w:pPr>
        <w:kinsoku w:val="0"/>
        <w:autoSpaceDE w:val="0"/>
        <w:autoSpaceDN w:val="0"/>
        <w:adjustRightInd w:val="0"/>
        <w:snapToGrid w:val="0"/>
        <w:jc w:val="center"/>
        <w:textAlignment w:val="baseline"/>
        <w:rPr>
          <w:rFonts w:ascii="Times New Roman" w:hAnsi="Times New Roman" w:eastAsia="Arial" w:cs="Times New Roman"/>
          <w:snapToGrid w:val="0"/>
          <w:color w:val="000000"/>
          <w:kern w:val="0"/>
          <w:sz w:val="21"/>
          <w:szCs w:val="21"/>
        </w:rPr>
      </w:pPr>
    </w:p>
    <w:p>
      <w:pPr>
        <w:kinsoku w:val="0"/>
        <w:autoSpaceDE w:val="0"/>
        <w:autoSpaceDN w:val="0"/>
        <w:adjustRightInd w:val="0"/>
        <w:snapToGrid w:val="0"/>
        <w:jc w:val="left"/>
        <w:textAlignment w:val="baseline"/>
        <w:rPr>
          <w:rFonts w:ascii="Times New Roman" w:hAnsi="Times New Roman" w:eastAsia="Arial" w:cs="Times New Roman"/>
          <w:snapToGrid w:val="0"/>
          <w:color w:val="000000"/>
          <w:kern w:val="0"/>
          <w:sz w:val="21"/>
          <w:szCs w:val="21"/>
        </w:rPr>
      </w:pPr>
    </w:p>
    <w:p>
      <w:pPr>
        <w:kinsoku w:val="0"/>
        <w:autoSpaceDE w:val="0"/>
        <w:autoSpaceDN w:val="0"/>
        <w:adjustRightInd w:val="0"/>
        <w:snapToGrid w:val="0"/>
        <w:jc w:val="left"/>
        <w:textAlignment w:val="baseline"/>
        <w:rPr>
          <w:rFonts w:ascii="Times New Roman" w:hAnsi="Times New Roman" w:eastAsia="Arial" w:cs="Times New Roman"/>
          <w:snapToGrid w:val="0"/>
          <w:color w:val="000000"/>
          <w:kern w:val="0"/>
          <w:sz w:val="21"/>
          <w:szCs w:val="21"/>
        </w:rPr>
      </w:pPr>
    </w:p>
    <w:p>
      <w:pPr>
        <w:kinsoku w:val="0"/>
        <w:autoSpaceDE w:val="0"/>
        <w:autoSpaceDN w:val="0"/>
        <w:adjustRightInd w:val="0"/>
        <w:snapToGrid w:val="0"/>
        <w:jc w:val="left"/>
        <w:textAlignment w:val="baseline"/>
        <w:rPr>
          <w:rFonts w:ascii="Times New Roman" w:hAnsi="Times New Roman" w:eastAsia="Arial" w:cs="Times New Roman"/>
          <w:snapToGrid w:val="0"/>
          <w:color w:val="000000"/>
          <w:kern w:val="0"/>
          <w:sz w:val="21"/>
          <w:szCs w:val="21"/>
        </w:rPr>
      </w:pPr>
    </w:p>
    <w:p>
      <w:pPr>
        <w:kinsoku w:val="0"/>
        <w:autoSpaceDE w:val="0"/>
        <w:autoSpaceDN w:val="0"/>
        <w:adjustRightInd w:val="0"/>
        <w:snapToGrid w:val="0"/>
        <w:jc w:val="left"/>
        <w:textAlignment w:val="baseline"/>
        <w:rPr>
          <w:rFonts w:ascii="Times New Roman" w:hAnsi="Times New Roman" w:eastAsia="Arial" w:cs="Times New Roman"/>
          <w:snapToGrid w:val="0"/>
          <w:color w:val="000000"/>
          <w:kern w:val="0"/>
          <w:sz w:val="21"/>
          <w:szCs w:val="21"/>
        </w:rPr>
      </w:pPr>
    </w:p>
    <w:p>
      <w:pPr>
        <w:kinsoku w:val="0"/>
        <w:autoSpaceDE w:val="0"/>
        <w:autoSpaceDN w:val="0"/>
        <w:adjustRightInd w:val="0"/>
        <w:snapToGrid w:val="0"/>
        <w:jc w:val="left"/>
        <w:textAlignment w:val="baseline"/>
        <w:rPr>
          <w:rFonts w:ascii="Times New Roman" w:hAnsi="Times New Roman" w:eastAsia="Arial" w:cs="Times New Roman"/>
          <w:snapToGrid w:val="0"/>
          <w:color w:val="000000"/>
          <w:kern w:val="0"/>
          <w:sz w:val="21"/>
          <w:szCs w:val="21"/>
        </w:rPr>
      </w:pPr>
    </w:p>
    <w:p>
      <w:pPr>
        <w:kinsoku w:val="0"/>
        <w:autoSpaceDE w:val="0"/>
        <w:autoSpaceDN w:val="0"/>
        <w:adjustRightInd w:val="0"/>
        <w:snapToGrid w:val="0"/>
        <w:jc w:val="left"/>
        <w:textAlignment w:val="baseline"/>
        <w:rPr>
          <w:rFonts w:ascii="Times New Roman" w:hAnsi="Times New Roman" w:eastAsia="Arial" w:cs="Times New Roman"/>
          <w:snapToGrid w:val="0"/>
          <w:color w:val="000000"/>
          <w:kern w:val="0"/>
          <w:sz w:val="21"/>
          <w:szCs w:val="21"/>
        </w:rPr>
      </w:pPr>
    </w:p>
    <w:p>
      <w:pPr>
        <w:kinsoku w:val="0"/>
        <w:autoSpaceDE w:val="0"/>
        <w:autoSpaceDN w:val="0"/>
        <w:adjustRightInd w:val="0"/>
        <w:snapToGrid w:val="0"/>
        <w:jc w:val="left"/>
        <w:textAlignment w:val="baseline"/>
        <w:rPr>
          <w:rFonts w:ascii="Times New Roman" w:hAnsi="Times New Roman" w:eastAsia="Arial" w:cs="Times New Roman"/>
          <w:snapToGrid w:val="0"/>
          <w:color w:val="000000"/>
          <w:kern w:val="0"/>
          <w:sz w:val="21"/>
          <w:szCs w:val="21"/>
        </w:rPr>
      </w:pPr>
    </w:p>
    <w:p>
      <w:pPr>
        <w:kinsoku w:val="0"/>
        <w:autoSpaceDE w:val="0"/>
        <w:autoSpaceDN w:val="0"/>
        <w:adjustRightInd w:val="0"/>
        <w:snapToGrid w:val="0"/>
        <w:jc w:val="left"/>
        <w:textAlignment w:val="baseline"/>
        <w:rPr>
          <w:rFonts w:ascii="Times New Roman" w:hAnsi="Times New Roman" w:eastAsia="Arial" w:cs="Times New Roman"/>
          <w:snapToGrid w:val="0"/>
          <w:color w:val="000000"/>
          <w:kern w:val="0"/>
          <w:sz w:val="21"/>
          <w:szCs w:val="21"/>
        </w:rPr>
      </w:pPr>
    </w:p>
    <w:p>
      <w:pPr>
        <w:kinsoku w:val="0"/>
        <w:autoSpaceDE w:val="0"/>
        <w:autoSpaceDN w:val="0"/>
        <w:adjustRightInd w:val="0"/>
        <w:snapToGrid w:val="0"/>
        <w:jc w:val="left"/>
        <w:textAlignment w:val="baseline"/>
        <w:rPr>
          <w:rFonts w:ascii="Times New Roman" w:hAnsi="Times New Roman" w:eastAsia="Arial" w:cs="Times New Roman"/>
          <w:snapToGrid w:val="0"/>
          <w:color w:val="000000"/>
          <w:kern w:val="0"/>
          <w:sz w:val="21"/>
          <w:szCs w:val="21"/>
        </w:rPr>
      </w:pPr>
    </w:p>
    <w:p>
      <w:pPr>
        <w:kinsoku w:val="0"/>
        <w:autoSpaceDE w:val="0"/>
        <w:autoSpaceDN w:val="0"/>
        <w:adjustRightInd w:val="0"/>
        <w:snapToGrid w:val="0"/>
        <w:jc w:val="left"/>
        <w:textAlignment w:val="baseline"/>
        <w:rPr>
          <w:rFonts w:ascii="Times New Roman" w:hAnsi="Times New Roman" w:eastAsia="Arial" w:cs="Times New Roman"/>
          <w:snapToGrid w:val="0"/>
          <w:color w:val="000000"/>
          <w:kern w:val="0"/>
          <w:sz w:val="21"/>
          <w:szCs w:val="21"/>
        </w:rPr>
      </w:pPr>
    </w:p>
    <w:p>
      <w:pPr>
        <w:kinsoku w:val="0"/>
        <w:autoSpaceDE w:val="0"/>
        <w:autoSpaceDN w:val="0"/>
        <w:adjustRightInd w:val="0"/>
        <w:snapToGrid w:val="0"/>
        <w:jc w:val="left"/>
        <w:textAlignment w:val="baseline"/>
        <w:rPr>
          <w:rFonts w:ascii="Times New Roman" w:hAnsi="Times New Roman" w:eastAsia="Arial" w:cs="Times New Roman"/>
          <w:snapToGrid w:val="0"/>
          <w:color w:val="000000"/>
          <w:kern w:val="0"/>
          <w:sz w:val="21"/>
          <w:szCs w:val="21"/>
        </w:rPr>
      </w:pPr>
    </w:p>
    <w:p>
      <w:pPr>
        <w:kinsoku w:val="0"/>
        <w:autoSpaceDE w:val="0"/>
        <w:autoSpaceDN w:val="0"/>
        <w:adjustRightInd w:val="0"/>
        <w:snapToGrid w:val="0"/>
        <w:jc w:val="left"/>
        <w:textAlignment w:val="baseline"/>
        <w:rPr>
          <w:rFonts w:ascii="Times New Roman" w:hAnsi="Times New Roman" w:eastAsia="Arial" w:cs="Times New Roman"/>
          <w:snapToGrid w:val="0"/>
          <w:color w:val="000000"/>
          <w:kern w:val="0"/>
          <w:sz w:val="21"/>
          <w:szCs w:val="21"/>
        </w:rPr>
      </w:pPr>
    </w:p>
    <w:p>
      <w:pPr>
        <w:kinsoku w:val="0"/>
        <w:autoSpaceDE w:val="0"/>
        <w:autoSpaceDN w:val="0"/>
        <w:adjustRightInd w:val="0"/>
        <w:snapToGrid w:val="0"/>
        <w:jc w:val="left"/>
        <w:textAlignment w:val="baseline"/>
        <w:rPr>
          <w:rFonts w:ascii="Times New Roman" w:hAnsi="Times New Roman" w:eastAsia="Arial" w:cs="Times New Roman"/>
          <w:snapToGrid w:val="0"/>
          <w:color w:val="000000"/>
          <w:kern w:val="0"/>
          <w:sz w:val="21"/>
          <w:szCs w:val="21"/>
        </w:rPr>
      </w:pPr>
    </w:p>
    <w:p>
      <w:pPr>
        <w:kinsoku w:val="0"/>
        <w:autoSpaceDE w:val="0"/>
        <w:autoSpaceDN w:val="0"/>
        <w:adjustRightInd w:val="0"/>
        <w:snapToGrid w:val="0"/>
        <w:jc w:val="left"/>
        <w:textAlignment w:val="baseline"/>
        <w:rPr>
          <w:rFonts w:ascii="Times New Roman" w:hAnsi="Times New Roman" w:eastAsia="Arial" w:cs="Times New Roman"/>
          <w:snapToGrid w:val="0"/>
          <w:color w:val="000000"/>
          <w:kern w:val="0"/>
          <w:sz w:val="21"/>
          <w:szCs w:val="21"/>
        </w:rPr>
      </w:pPr>
    </w:p>
    <w:p>
      <w:pPr>
        <w:kinsoku w:val="0"/>
        <w:autoSpaceDE w:val="0"/>
        <w:autoSpaceDN w:val="0"/>
        <w:adjustRightInd w:val="0"/>
        <w:snapToGrid w:val="0"/>
        <w:jc w:val="left"/>
        <w:textAlignment w:val="baseline"/>
        <w:rPr>
          <w:rFonts w:ascii="Times New Roman" w:hAnsi="Times New Roman" w:eastAsia="Arial" w:cs="Times New Roman"/>
          <w:snapToGrid w:val="0"/>
          <w:color w:val="000000"/>
          <w:kern w:val="0"/>
          <w:sz w:val="21"/>
          <w:szCs w:val="21"/>
        </w:rPr>
      </w:pPr>
    </w:p>
    <w:p>
      <w:pPr>
        <w:kinsoku w:val="0"/>
        <w:autoSpaceDE w:val="0"/>
        <w:autoSpaceDN w:val="0"/>
        <w:adjustRightInd w:val="0"/>
        <w:snapToGrid w:val="0"/>
        <w:jc w:val="left"/>
        <w:textAlignment w:val="baseline"/>
        <w:rPr>
          <w:rFonts w:ascii="Times New Roman" w:hAnsi="Times New Roman" w:eastAsia="Arial" w:cs="Times New Roman"/>
          <w:snapToGrid w:val="0"/>
          <w:color w:val="000000"/>
          <w:kern w:val="0"/>
          <w:sz w:val="21"/>
          <w:szCs w:val="21"/>
        </w:rPr>
      </w:pPr>
    </w:p>
    <w:p>
      <w:pPr>
        <w:kinsoku w:val="0"/>
        <w:autoSpaceDE w:val="0"/>
        <w:autoSpaceDN w:val="0"/>
        <w:adjustRightInd w:val="0"/>
        <w:snapToGrid w:val="0"/>
        <w:jc w:val="left"/>
        <w:textAlignment w:val="baseline"/>
        <w:rPr>
          <w:rFonts w:ascii="Times New Roman" w:hAnsi="Times New Roman" w:eastAsia="Arial" w:cs="Times New Roman"/>
          <w:snapToGrid w:val="0"/>
          <w:color w:val="000000"/>
          <w:kern w:val="0"/>
          <w:sz w:val="21"/>
          <w:szCs w:val="21"/>
        </w:rPr>
      </w:pPr>
    </w:p>
    <w:p>
      <w:pPr>
        <w:kinsoku w:val="0"/>
        <w:autoSpaceDE w:val="0"/>
        <w:autoSpaceDN w:val="0"/>
        <w:adjustRightInd w:val="0"/>
        <w:snapToGrid w:val="0"/>
        <w:jc w:val="left"/>
        <w:textAlignment w:val="baseline"/>
        <w:rPr>
          <w:rFonts w:ascii="Times New Roman" w:hAnsi="Times New Roman" w:eastAsia="Arial" w:cs="Times New Roman"/>
          <w:snapToGrid w:val="0"/>
          <w:color w:val="000000"/>
          <w:kern w:val="0"/>
          <w:sz w:val="21"/>
          <w:szCs w:val="21"/>
        </w:rPr>
      </w:pPr>
    </w:p>
    <w:p>
      <w:pPr>
        <w:kinsoku w:val="0"/>
        <w:autoSpaceDE w:val="0"/>
        <w:autoSpaceDN w:val="0"/>
        <w:adjustRightInd w:val="0"/>
        <w:snapToGrid w:val="0"/>
        <w:jc w:val="left"/>
        <w:textAlignment w:val="baseline"/>
        <w:rPr>
          <w:rFonts w:ascii="Times New Roman" w:hAnsi="Times New Roman" w:eastAsia="Arial" w:cs="Times New Roman"/>
          <w:snapToGrid w:val="0"/>
          <w:color w:val="000000"/>
          <w:kern w:val="0"/>
          <w:sz w:val="21"/>
          <w:szCs w:val="21"/>
        </w:rPr>
      </w:pPr>
    </w:p>
    <w:p>
      <w:pPr>
        <w:kinsoku w:val="0"/>
        <w:autoSpaceDE w:val="0"/>
        <w:autoSpaceDN w:val="0"/>
        <w:adjustRightInd w:val="0"/>
        <w:snapToGrid w:val="0"/>
        <w:jc w:val="left"/>
        <w:textAlignment w:val="baseline"/>
        <w:rPr>
          <w:rFonts w:ascii="Times New Roman" w:hAnsi="Times New Roman" w:eastAsia="Arial" w:cs="Times New Roman"/>
          <w:snapToGrid w:val="0"/>
          <w:color w:val="000000"/>
          <w:kern w:val="0"/>
          <w:sz w:val="21"/>
          <w:szCs w:val="21"/>
        </w:rPr>
      </w:pPr>
    </w:p>
    <w:p>
      <w:pPr>
        <w:kinsoku w:val="0"/>
        <w:autoSpaceDE w:val="0"/>
        <w:autoSpaceDN w:val="0"/>
        <w:adjustRightInd w:val="0"/>
        <w:snapToGrid w:val="0"/>
        <w:jc w:val="left"/>
        <w:textAlignment w:val="baseline"/>
        <w:rPr>
          <w:rFonts w:ascii="Times New Roman" w:hAnsi="Times New Roman" w:eastAsia="Arial" w:cs="Times New Roman"/>
          <w:snapToGrid w:val="0"/>
          <w:color w:val="000000"/>
          <w:kern w:val="0"/>
          <w:sz w:val="21"/>
          <w:szCs w:val="21"/>
        </w:rPr>
      </w:pPr>
    </w:p>
    <w:p>
      <w:pPr>
        <w:kinsoku w:val="0"/>
        <w:autoSpaceDE w:val="0"/>
        <w:autoSpaceDN w:val="0"/>
        <w:adjustRightInd w:val="0"/>
        <w:snapToGrid w:val="0"/>
        <w:jc w:val="left"/>
        <w:textAlignment w:val="baseline"/>
        <w:rPr>
          <w:rFonts w:ascii="Times New Roman" w:hAnsi="Times New Roman" w:eastAsia="Arial" w:cs="Times New Roman"/>
          <w:snapToGrid w:val="0"/>
          <w:color w:val="000000"/>
          <w:kern w:val="0"/>
          <w:sz w:val="21"/>
          <w:szCs w:val="21"/>
        </w:rPr>
      </w:pPr>
    </w:p>
    <w:p>
      <w:pPr>
        <w:kinsoku w:val="0"/>
        <w:autoSpaceDE w:val="0"/>
        <w:autoSpaceDN w:val="0"/>
        <w:adjustRightInd w:val="0"/>
        <w:snapToGrid w:val="0"/>
        <w:jc w:val="left"/>
        <w:textAlignment w:val="baseline"/>
        <w:rPr>
          <w:rFonts w:ascii="Times New Roman" w:hAnsi="Times New Roman" w:eastAsia="Arial" w:cs="Times New Roman"/>
          <w:snapToGrid w:val="0"/>
          <w:color w:val="000000"/>
          <w:kern w:val="0"/>
          <w:sz w:val="21"/>
          <w:szCs w:val="21"/>
        </w:rPr>
      </w:pPr>
    </w:p>
    <w:p>
      <w:pPr>
        <w:kinsoku w:val="0"/>
        <w:autoSpaceDE w:val="0"/>
        <w:autoSpaceDN w:val="0"/>
        <w:adjustRightInd w:val="0"/>
        <w:snapToGrid w:val="0"/>
        <w:jc w:val="left"/>
        <w:textAlignment w:val="baseline"/>
        <w:rPr>
          <w:rFonts w:ascii="Times New Roman" w:hAnsi="Times New Roman" w:eastAsia="Arial" w:cs="Times New Roman"/>
          <w:snapToGrid w:val="0"/>
          <w:color w:val="000000"/>
          <w:kern w:val="0"/>
          <w:sz w:val="21"/>
          <w:szCs w:val="21"/>
        </w:rPr>
      </w:pPr>
    </w:p>
    <w:p>
      <w:pPr>
        <w:kinsoku w:val="0"/>
        <w:autoSpaceDE w:val="0"/>
        <w:autoSpaceDN w:val="0"/>
        <w:adjustRightInd w:val="0"/>
        <w:snapToGrid w:val="0"/>
        <w:jc w:val="left"/>
        <w:textAlignment w:val="baseline"/>
        <w:rPr>
          <w:rFonts w:ascii="Times New Roman" w:hAnsi="Times New Roman" w:eastAsia="Arial" w:cs="Times New Roman"/>
          <w:snapToGrid w:val="0"/>
          <w:color w:val="000000"/>
          <w:kern w:val="0"/>
          <w:sz w:val="21"/>
          <w:szCs w:val="21"/>
        </w:rPr>
      </w:pPr>
    </w:p>
    <w:p>
      <w:pPr>
        <w:spacing w:before="100" w:line="225" w:lineRule="auto"/>
        <w:jc w:val="center"/>
        <w:rPr>
          <w:rFonts w:ascii="Times New Roman" w:hAnsi="Times New Roman" w:cs="Times New Roman"/>
          <w:b/>
          <w:bCs/>
          <w:spacing w:val="3"/>
          <w:kern w:val="2"/>
          <w:sz w:val="31"/>
          <w:szCs w:val="31"/>
        </w:rPr>
      </w:pPr>
    </w:p>
    <w:p>
      <w:pPr>
        <w:spacing w:before="100" w:line="225" w:lineRule="auto"/>
        <w:jc w:val="center"/>
        <w:rPr>
          <w:rFonts w:ascii="Times New Roman" w:hAnsi="Times New Roman" w:cs="Times New Roman"/>
          <w:b/>
          <w:bCs/>
          <w:spacing w:val="3"/>
          <w:kern w:val="2"/>
          <w:sz w:val="31"/>
          <w:szCs w:val="31"/>
        </w:rPr>
      </w:pPr>
    </w:p>
    <w:p>
      <w:pPr>
        <w:spacing w:before="100" w:line="225" w:lineRule="auto"/>
        <w:jc w:val="center"/>
        <w:rPr>
          <w:rFonts w:ascii="Times New Roman" w:hAnsi="Times New Roman" w:cs="Times New Roman"/>
          <w:b/>
          <w:bCs/>
          <w:spacing w:val="3"/>
          <w:kern w:val="2"/>
          <w:sz w:val="31"/>
          <w:szCs w:val="31"/>
        </w:rPr>
      </w:pPr>
    </w:p>
    <w:p>
      <w:pPr>
        <w:spacing w:before="100" w:line="225" w:lineRule="auto"/>
        <w:jc w:val="center"/>
        <w:rPr>
          <w:rFonts w:ascii="Times New Roman" w:hAnsi="Times New Roman" w:cs="Times New Roman"/>
          <w:kern w:val="2"/>
          <w:sz w:val="31"/>
          <w:szCs w:val="31"/>
        </w:rPr>
      </w:pPr>
      <w:r>
        <w:rPr>
          <w:rFonts w:ascii="Times New Roman" w:hAnsi="Times New Roman" w:cs="Times New Roman"/>
          <w:b/>
          <w:bCs/>
          <w:spacing w:val="3"/>
          <w:kern w:val="2"/>
          <w:sz w:val="31"/>
          <w:szCs w:val="31"/>
        </w:rPr>
        <w:t>编制日期：</w:t>
      </w:r>
      <w:r>
        <w:rPr>
          <w:rFonts w:ascii="Times New Roman" w:hAnsi="Times New Roman" w:eastAsia="Times New Roman" w:cs="Times New Roman"/>
          <w:b/>
          <w:bCs/>
          <w:spacing w:val="3"/>
          <w:kern w:val="2"/>
          <w:sz w:val="31"/>
          <w:szCs w:val="31"/>
        </w:rPr>
        <w:t>202</w:t>
      </w:r>
      <w:r>
        <w:rPr>
          <w:rFonts w:hint="eastAsia" w:ascii="Times New Roman" w:hAnsi="Times New Roman" w:cs="Times New Roman"/>
          <w:b/>
          <w:bCs/>
          <w:spacing w:val="3"/>
          <w:kern w:val="2"/>
          <w:sz w:val="31"/>
          <w:szCs w:val="31"/>
        </w:rPr>
        <w:t>4</w:t>
      </w:r>
      <w:r>
        <w:rPr>
          <w:rFonts w:ascii="Times New Roman" w:hAnsi="Times New Roman" w:cs="Times New Roman"/>
          <w:b/>
          <w:bCs/>
          <w:spacing w:val="3"/>
          <w:kern w:val="2"/>
          <w:sz w:val="31"/>
          <w:szCs w:val="31"/>
        </w:rPr>
        <w:t>年</w:t>
      </w:r>
      <w:r>
        <w:rPr>
          <w:rFonts w:hint="eastAsia" w:ascii="Times New Roman" w:hAnsi="Times New Roman" w:cs="Times New Roman"/>
          <w:b/>
          <w:bCs/>
          <w:spacing w:val="3"/>
          <w:kern w:val="2"/>
          <w:sz w:val="31"/>
          <w:szCs w:val="31"/>
          <w:lang w:val="en-US" w:eastAsia="zh-CN"/>
        </w:rPr>
        <w:t>11</w:t>
      </w:r>
      <w:r>
        <w:rPr>
          <w:rFonts w:ascii="Times New Roman" w:hAnsi="Times New Roman" w:cs="Times New Roman"/>
          <w:b/>
          <w:bCs/>
          <w:spacing w:val="3"/>
          <w:kern w:val="2"/>
          <w:sz w:val="31"/>
          <w:szCs w:val="31"/>
        </w:rPr>
        <w:t>月</w:t>
      </w:r>
    </w:p>
    <w:p>
      <w:pPr>
        <w:spacing w:line="225" w:lineRule="auto"/>
        <w:rPr>
          <w:sz w:val="31"/>
          <w:szCs w:val="31"/>
        </w:rPr>
        <w:sectPr>
          <w:footerReference r:id="rId8" w:type="default"/>
          <w:pgSz w:w="11906" w:h="16839"/>
          <w:pgMar w:top="1440" w:right="1800" w:bottom="1440" w:left="1800" w:header="0" w:footer="0" w:gutter="0"/>
          <w:pgBorders>
            <w:top w:val="none" w:sz="0" w:space="0"/>
            <w:left w:val="none" w:sz="0" w:space="0"/>
            <w:bottom w:val="none" w:sz="0" w:space="0"/>
            <w:right w:val="none" w:sz="0" w:space="0"/>
          </w:pgBorders>
          <w:pgNumType w:fmt="decimal"/>
          <w:cols w:space="720" w:num="1"/>
        </w:sectPr>
      </w:pPr>
    </w:p>
    <w:p>
      <w:pPr>
        <w:kinsoku w:val="0"/>
        <w:autoSpaceDE w:val="0"/>
        <w:autoSpaceDN w:val="0"/>
        <w:adjustRightInd w:val="0"/>
        <w:snapToGrid w:val="0"/>
        <w:spacing w:line="248" w:lineRule="auto"/>
        <w:jc w:val="left"/>
        <w:textAlignment w:val="baseline"/>
        <w:rPr>
          <w:rFonts w:ascii="Times New Roman" w:hAnsi="Times New Roman" w:eastAsia="Arial" w:cs="Times New Roman"/>
          <w:snapToGrid w:val="0"/>
          <w:color w:val="000000"/>
          <w:kern w:val="0"/>
          <w:sz w:val="21"/>
          <w:szCs w:val="21"/>
        </w:rPr>
      </w:pPr>
    </w:p>
    <w:p>
      <w:pPr>
        <w:keepNext w:val="0"/>
        <w:keepLines w:val="0"/>
        <w:widowControl w:val="0"/>
        <w:suppressLineNumbers w:val="0"/>
        <w:spacing w:before="0" w:beforeAutospacing="0" w:after="0" w:afterAutospacing="0" w:line="460" w:lineRule="atLeast"/>
        <w:ind w:left="0" w:right="0" w:firstLine="480" w:firstLineChars="200"/>
        <w:jc w:val="both"/>
        <w:rPr>
          <w:rFonts w:hint="default" w:ascii="Times New Roman" w:hAnsi="Times New Roman" w:eastAsia="宋体" w:cs="Times New Roman"/>
          <w:color w:val="000000"/>
          <w:kern w:val="2"/>
          <w:sz w:val="24"/>
          <w:szCs w:val="24"/>
          <w:lang w:val="en-US" w:eastAsia="zh-CN" w:bidi="ar"/>
        </w:rPr>
      </w:pPr>
      <w:r>
        <w:rPr>
          <w:rFonts w:hint="default" w:ascii="Times New Roman" w:hAnsi="Times New Roman" w:eastAsia="宋体" w:cs="Times New Roman"/>
          <w:color w:val="000000"/>
          <w:kern w:val="2"/>
          <w:sz w:val="24"/>
          <w:szCs w:val="24"/>
          <w:lang w:val="en-US" w:eastAsia="zh-CN" w:bidi="ar"/>
        </w:rPr>
        <w:t>翼城县慧洁洗衣店二部年洗涤</w:t>
      </w:r>
      <w:r>
        <w:rPr>
          <w:rFonts w:hint="eastAsia" w:ascii="Times New Roman" w:hAnsi="Times New Roman" w:eastAsia="宋体" w:cs="Times New Roman"/>
          <w:color w:val="000000"/>
          <w:kern w:val="2"/>
          <w:sz w:val="24"/>
          <w:szCs w:val="24"/>
          <w:lang w:val="en-US" w:eastAsia="zh-CN" w:bidi="ar"/>
        </w:rPr>
        <w:t>8</w:t>
      </w:r>
      <w:r>
        <w:rPr>
          <w:rFonts w:hint="default" w:ascii="Times New Roman" w:hAnsi="Times New Roman" w:eastAsia="宋体" w:cs="Times New Roman"/>
          <w:color w:val="000000"/>
          <w:kern w:val="2"/>
          <w:sz w:val="24"/>
          <w:szCs w:val="24"/>
          <w:lang w:val="en-US" w:eastAsia="zh-CN" w:bidi="ar"/>
        </w:rPr>
        <w:t>万套布草建设项目位于翼城县唐兴镇谭村东168m，</w:t>
      </w:r>
      <w:r>
        <w:rPr>
          <w:rFonts w:hint="eastAsia" w:ascii="Times New Roman" w:hAnsi="Times New Roman" w:eastAsia="宋体" w:cs="Times New Roman"/>
          <w:color w:val="000000"/>
          <w:kern w:val="2"/>
          <w:sz w:val="24"/>
          <w:szCs w:val="24"/>
          <w:lang w:val="en-US" w:eastAsia="zh-CN" w:bidi="ar"/>
        </w:rPr>
        <w:t>生物质锅炉</w:t>
      </w:r>
      <w:r>
        <w:rPr>
          <w:rFonts w:hint="default" w:ascii="Times New Roman" w:hAnsi="Times New Roman" w:eastAsia="宋体" w:cs="Times New Roman"/>
          <w:color w:val="000000"/>
          <w:kern w:val="2"/>
          <w:sz w:val="24"/>
          <w:szCs w:val="24"/>
          <w:lang w:val="en-US" w:eastAsia="zh-CN" w:bidi="ar"/>
        </w:rPr>
        <w:t>排放废气中含有</w:t>
      </w:r>
      <w:r>
        <w:rPr>
          <w:rFonts w:hint="eastAsia" w:ascii="Times New Roman" w:hAnsi="Times New Roman" w:eastAsia="宋体" w:cs="Times New Roman"/>
          <w:color w:val="000000"/>
          <w:kern w:val="2"/>
          <w:sz w:val="24"/>
          <w:szCs w:val="24"/>
          <w:lang w:val="en-US" w:eastAsia="zh-CN" w:bidi="ar"/>
        </w:rPr>
        <w:t>汞</w:t>
      </w:r>
      <w:r>
        <w:rPr>
          <w:rFonts w:hint="default" w:ascii="Times New Roman" w:hAnsi="Times New Roman" w:eastAsia="宋体" w:cs="Times New Roman"/>
          <w:color w:val="000000"/>
          <w:kern w:val="2"/>
          <w:sz w:val="24"/>
          <w:szCs w:val="24"/>
          <w:lang w:val="en-US" w:eastAsia="zh-CN" w:bidi="ar"/>
        </w:rPr>
        <w:t>，根据《建设项目环境影响报告表编制技术指南（污染影响类）（试行）》，本次评价设大气专题。</w:t>
      </w:r>
    </w:p>
    <w:p>
      <w:pPr>
        <w:keepNext w:val="0"/>
        <w:keepLines w:val="0"/>
        <w:widowControl w:val="0"/>
        <w:suppressLineNumbers w:val="0"/>
        <w:spacing w:before="0" w:beforeAutospacing="0" w:after="0" w:afterAutospacing="0" w:line="460" w:lineRule="atLeast"/>
        <w:ind w:left="0" w:right="0" w:firstLine="482" w:firstLineChars="200"/>
        <w:jc w:val="both"/>
        <w:rPr>
          <w:rFonts w:hint="default" w:ascii="Times New Roman" w:hAnsi="Times New Roman" w:eastAsia="宋体" w:cs="Times New Roman"/>
          <w:b/>
          <w:bCs/>
          <w:color w:val="000000"/>
          <w:kern w:val="2"/>
          <w:sz w:val="24"/>
          <w:szCs w:val="24"/>
          <w:lang w:val="en-US" w:eastAsia="zh-CN" w:bidi="ar"/>
        </w:rPr>
      </w:pPr>
      <w:r>
        <w:rPr>
          <w:rFonts w:hint="default" w:ascii="Times New Roman" w:hAnsi="Times New Roman" w:eastAsia="宋体" w:cs="Times New Roman"/>
          <w:b/>
          <w:bCs/>
          <w:color w:val="000000"/>
          <w:kern w:val="2"/>
          <w:sz w:val="24"/>
          <w:szCs w:val="24"/>
          <w:lang w:val="en-US" w:eastAsia="zh-CN" w:bidi="ar"/>
        </w:rPr>
        <w:t>1、废气源强核算</w:t>
      </w:r>
    </w:p>
    <w:p>
      <w:pPr>
        <w:keepNext w:val="0"/>
        <w:keepLines w:val="0"/>
        <w:widowControl w:val="0"/>
        <w:suppressLineNumbers w:val="0"/>
        <w:spacing w:before="0" w:beforeAutospacing="0" w:after="0" w:afterAutospacing="0" w:line="460" w:lineRule="atLeast"/>
        <w:ind w:left="0" w:right="0" w:firstLine="480" w:firstLineChars="200"/>
        <w:jc w:val="both"/>
        <w:rPr>
          <w:rFonts w:hint="default" w:ascii="Times New Roman" w:hAnsi="Times New Roman" w:eastAsia="宋体" w:cs="Times New Roman"/>
          <w:color w:val="000000"/>
          <w:kern w:val="2"/>
          <w:sz w:val="24"/>
          <w:szCs w:val="24"/>
          <w:lang w:val="en-US" w:eastAsia="zh-CN" w:bidi="ar"/>
        </w:rPr>
      </w:pPr>
      <w:r>
        <w:rPr>
          <w:rFonts w:hint="default" w:ascii="Times New Roman" w:hAnsi="Times New Roman" w:eastAsia="宋体" w:cs="Times New Roman"/>
          <w:color w:val="000000"/>
          <w:kern w:val="2"/>
          <w:sz w:val="24"/>
          <w:szCs w:val="24"/>
          <w:lang w:val="en-US" w:eastAsia="zh-CN" w:bidi="ar"/>
        </w:rPr>
        <w:t>项目运营期废气排放如下所示：</w:t>
      </w:r>
    </w:p>
    <w:p>
      <w:pPr>
        <w:adjustRightInd w:val="0"/>
        <w:spacing w:line="360" w:lineRule="auto"/>
        <w:jc w:val="center"/>
        <w:rPr>
          <w:rFonts w:ascii="Times New Roman" w:hAnsi="Times New Roman" w:eastAsia="Arial" w:cs="Times New Roman"/>
          <w:snapToGrid w:val="0"/>
          <w:color w:val="000000"/>
          <w:kern w:val="0"/>
          <w:sz w:val="21"/>
          <w:szCs w:val="21"/>
          <w:lang w:eastAsia="en-US"/>
        </w:rPr>
      </w:pPr>
      <w:r>
        <w:rPr>
          <w:rFonts w:ascii="Times New Roman" w:hAnsi="Times New Roman" w:cs="Times New Roman"/>
          <w:b/>
          <w:color w:val="000000"/>
          <w:kern w:val="2"/>
          <w:sz w:val="21"/>
          <w:szCs w:val="21"/>
          <w:lang w:eastAsia="en-US" w:bidi="ar"/>
        </w:rPr>
        <w:t>表</w:t>
      </w:r>
      <w:r>
        <w:rPr>
          <w:rFonts w:ascii="Times New Roman" w:hAnsi="Times New Roman" w:cs="Times New Roman"/>
          <w:b/>
          <w:color w:val="000000"/>
          <w:kern w:val="2"/>
          <w:sz w:val="21"/>
          <w:szCs w:val="21"/>
          <w:lang w:bidi="ar"/>
        </w:rPr>
        <w:t>1</w:t>
      </w:r>
      <w:r>
        <w:rPr>
          <w:rFonts w:hint="eastAsia" w:ascii="Times New Roman" w:cs="Times New Roman"/>
          <w:b/>
          <w:color w:val="000000"/>
          <w:kern w:val="2"/>
          <w:sz w:val="21"/>
          <w:szCs w:val="21"/>
          <w:lang w:val="en-US" w:eastAsia="zh-CN" w:bidi="ar"/>
        </w:rPr>
        <w:t>有组织</w:t>
      </w:r>
      <w:r>
        <w:rPr>
          <w:rFonts w:ascii="Times New Roman" w:hAnsi="Times New Roman" w:cs="Times New Roman"/>
          <w:b/>
          <w:color w:val="000000"/>
          <w:kern w:val="2"/>
          <w:sz w:val="21"/>
          <w:szCs w:val="21"/>
          <w:lang w:eastAsia="en-US" w:bidi="ar"/>
        </w:rPr>
        <w:t>废气排放情况汇总表</w:t>
      </w:r>
    </w:p>
    <w:tbl>
      <w:tblPr>
        <w:tblStyle w:val="38"/>
        <w:tblW w:w="51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52"/>
        <w:gridCol w:w="289"/>
        <w:gridCol w:w="432"/>
        <w:gridCol w:w="834"/>
        <w:gridCol w:w="729"/>
        <w:gridCol w:w="834"/>
        <w:gridCol w:w="1118"/>
        <w:gridCol w:w="855"/>
        <w:gridCol w:w="678"/>
        <w:gridCol w:w="1021"/>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148"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rPr>
            </w:pPr>
            <w:r>
              <w:rPr>
                <w:rFonts w:ascii="Times New Roman" w:hAnsi="Times New Roman" w:cs="Times New Roman"/>
                <w:bCs/>
                <w:color w:val="000000"/>
                <w:kern w:val="2"/>
                <w:sz w:val="21"/>
                <w:szCs w:val="21"/>
                <w:highlight w:val="none"/>
                <w:lang w:bidi="ar"/>
              </w:rPr>
              <w:t>废气来源</w:t>
            </w:r>
          </w:p>
        </w:tc>
        <w:tc>
          <w:tcPr>
            <w:tcW w:w="169"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rPr>
            </w:pPr>
            <w:r>
              <w:rPr>
                <w:rFonts w:ascii="Times New Roman" w:hAnsi="Times New Roman" w:cs="Times New Roman"/>
                <w:bCs/>
                <w:color w:val="000000"/>
                <w:kern w:val="2"/>
                <w:sz w:val="21"/>
                <w:szCs w:val="21"/>
                <w:highlight w:val="none"/>
                <w:lang w:bidi="ar"/>
              </w:rPr>
              <w:t>排放方式</w:t>
            </w:r>
          </w:p>
        </w:tc>
        <w:tc>
          <w:tcPr>
            <w:tcW w:w="253"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rPr>
            </w:pPr>
            <w:r>
              <w:rPr>
                <w:rFonts w:ascii="Times New Roman" w:hAnsi="Times New Roman" w:cs="Times New Roman"/>
                <w:bCs/>
                <w:color w:val="000000"/>
                <w:kern w:val="2"/>
                <w:sz w:val="21"/>
                <w:szCs w:val="21"/>
                <w:highlight w:val="none"/>
                <w:lang w:bidi="ar"/>
              </w:rPr>
              <w:t>污染物</w:t>
            </w:r>
          </w:p>
        </w:tc>
        <w:tc>
          <w:tcPr>
            <w:tcW w:w="918" w:type="pct"/>
            <w:gridSpan w:val="2"/>
            <w:tcBorders>
              <w:top w:val="single" w:color="auto" w:sz="4" w:space="0"/>
              <w:left w:val="single" w:color="auto" w:sz="4" w:space="0"/>
              <w:bottom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rPr>
            </w:pPr>
            <w:r>
              <w:rPr>
                <w:rFonts w:ascii="Times New Roman" w:hAnsi="Times New Roman" w:cs="Times New Roman"/>
                <w:bCs/>
                <w:color w:val="000000"/>
                <w:kern w:val="2"/>
                <w:sz w:val="21"/>
                <w:szCs w:val="21"/>
                <w:highlight w:val="none"/>
                <w:lang w:bidi="ar"/>
              </w:rPr>
              <w:t>污染物产生</w:t>
            </w:r>
          </w:p>
        </w:tc>
        <w:tc>
          <w:tcPr>
            <w:tcW w:w="1146" w:type="pct"/>
            <w:gridSpan w:val="2"/>
            <w:tcBorders>
              <w:top w:val="single" w:color="auto" w:sz="4" w:space="0"/>
              <w:left w:val="single" w:color="auto" w:sz="4" w:space="0"/>
              <w:bottom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rPr>
            </w:pPr>
            <w:r>
              <w:rPr>
                <w:rFonts w:ascii="Times New Roman" w:hAnsi="Times New Roman" w:cs="Times New Roman"/>
                <w:bCs/>
                <w:color w:val="000000"/>
                <w:kern w:val="2"/>
                <w:sz w:val="21"/>
                <w:szCs w:val="21"/>
                <w:highlight w:val="none"/>
                <w:lang w:bidi="ar"/>
              </w:rPr>
              <w:t>污染物排放</w:t>
            </w:r>
          </w:p>
        </w:tc>
        <w:tc>
          <w:tcPr>
            <w:tcW w:w="1500" w:type="pct"/>
            <w:gridSpan w:val="3"/>
            <w:tcBorders>
              <w:top w:val="single" w:color="auto" w:sz="4" w:space="0"/>
              <w:left w:val="single" w:color="auto" w:sz="4" w:space="0"/>
              <w:bottom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rPr>
            </w:pPr>
            <w:r>
              <w:rPr>
                <w:rFonts w:ascii="Times New Roman" w:hAnsi="Times New Roman" w:cs="Times New Roman"/>
                <w:bCs/>
                <w:color w:val="000000"/>
                <w:kern w:val="2"/>
                <w:sz w:val="21"/>
                <w:szCs w:val="21"/>
                <w:highlight w:val="none"/>
                <w:lang w:bidi="ar"/>
              </w:rPr>
              <w:t>排气筒情况</w:t>
            </w:r>
          </w:p>
        </w:tc>
        <w:tc>
          <w:tcPr>
            <w:tcW w:w="863" w:type="pct"/>
            <w:vMerge w:val="restart"/>
            <w:tcBorders>
              <w:top w:val="single" w:color="auto" w:sz="4" w:space="0"/>
              <w:left w:val="single" w:color="auto" w:sz="4" w:space="0"/>
              <w:bottom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FF"/>
                <w:kern w:val="2"/>
                <w:sz w:val="21"/>
                <w:szCs w:val="21"/>
                <w:highlight w:val="none"/>
              </w:rPr>
            </w:pPr>
            <w:r>
              <w:rPr>
                <w:rFonts w:ascii="Times New Roman" w:hAnsi="Times New Roman" w:cs="Times New Roman"/>
                <w:bCs/>
                <w:color w:val="000000"/>
                <w:kern w:val="2"/>
                <w:sz w:val="21"/>
                <w:szCs w:val="21"/>
                <w:highlight w:val="none"/>
                <w:lang w:bidi="ar"/>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48"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180" w:lineRule="atLeast"/>
              <w:jc w:val="center"/>
              <w:rPr>
                <w:rFonts w:ascii="Times New Roman" w:hAnsi="Times New Roman" w:cs="Times New Roman"/>
                <w:color w:val="000000"/>
                <w:kern w:val="2"/>
                <w:sz w:val="20"/>
                <w:szCs w:val="20"/>
                <w:highlight w:val="none"/>
              </w:rPr>
            </w:pPr>
          </w:p>
        </w:tc>
        <w:tc>
          <w:tcPr>
            <w:tcW w:w="169"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180" w:lineRule="atLeast"/>
              <w:jc w:val="center"/>
              <w:rPr>
                <w:rFonts w:ascii="Times New Roman" w:hAnsi="Times New Roman" w:cs="Times New Roman"/>
                <w:color w:val="000000"/>
                <w:kern w:val="2"/>
                <w:sz w:val="20"/>
                <w:szCs w:val="20"/>
                <w:highlight w:val="none"/>
              </w:rPr>
            </w:pPr>
          </w:p>
        </w:tc>
        <w:tc>
          <w:tcPr>
            <w:tcW w:w="25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180" w:lineRule="atLeast"/>
              <w:jc w:val="center"/>
              <w:rPr>
                <w:rFonts w:ascii="Times New Roman" w:hAnsi="Times New Roman" w:cs="Times New Roman"/>
                <w:color w:val="000000"/>
                <w:kern w:val="2"/>
                <w:sz w:val="20"/>
                <w:szCs w:val="20"/>
                <w:highlight w:val="none"/>
              </w:rPr>
            </w:pPr>
          </w:p>
        </w:tc>
        <w:tc>
          <w:tcPr>
            <w:tcW w:w="489"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rPr>
            </w:pPr>
            <w:r>
              <w:rPr>
                <w:rFonts w:ascii="Times New Roman" w:hAnsi="Times New Roman" w:cs="Times New Roman"/>
                <w:bCs/>
                <w:color w:val="000000"/>
                <w:kern w:val="2"/>
                <w:sz w:val="21"/>
                <w:szCs w:val="21"/>
                <w:highlight w:val="none"/>
                <w:lang w:bidi="ar"/>
              </w:rPr>
              <w:t>产生量(t/a)</w:t>
            </w:r>
          </w:p>
        </w:tc>
        <w:tc>
          <w:tcPr>
            <w:tcW w:w="428"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rPr>
            </w:pPr>
            <w:r>
              <w:rPr>
                <w:rFonts w:ascii="Times New Roman" w:hAnsi="Times New Roman" w:cs="Times New Roman"/>
                <w:bCs/>
                <w:color w:val="000000"/>
                <w:kern w:val="2"/>
                <w:sz w:val="21"/>
                <w:szCs w:val="21"/>
                <w:highlight w:val="none"/>
                <w:lang w:bidi="ar"/>
              </w:rPr>
              <w:t>产生浓度(mg/m</w:t>
            </w:r>
            <w:r>
              <w:rPr>
                <w:rFonts w:ascii="Times New Roman" w:hAnsi="Times New Roman" w:cs="Times New Roman"/>
                <w:bCs/>
                <w:color w:val="000000"/>
                <w:kern w:val="2"/>
                <w:sz w:val="21"/>
                <w:szCs w:val="21"/>
                <w:highlight w:val="none"/>
                <w:vertAlign w:val="superscript"/>
                <w:lang w:bidi="ar"/>
              </w:rPr>
              <w:t>3</w:t>
            </w:r>
            <w:r>
              <w:rPr>
                <w:rFonts w:ascii="Times New Roman" w:hAnsi="Times New Roman" w:cs="Times New Roman"/>
                <w:bCs/>
                <w:color w:val="000000"/>
                <w:kern w:val="2"/>
                <w:sz w:val="21"/>
                <w:szCs w:val="21"/>
                <w:highlight w:val="none"/>
                <w:lang w:bidi="ar"/>
              </w:rPr>
              <w:t>)</w:t>
            </w:r>
          </w:p>
        </w:tc>
        <w:tc>
          <w:tcPr>
            <w:tcW w:w="489"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rPr>
            </w:pPr>
            <w:r>
              <w:rPr>
                <w:rFonts w:ascii="Times New Roman" w:hAnsi="Times New Roman" w:cs="Times New Roman"/>
                <w:bCs/>
                <w:color w:val="000000"/>
                <w:kern w:val="2"/>
                <w:sz w:val="21"/>
                <w:szCs w:val="21"/>
                <w:highlight w:val="none"/>
                <w:lang w:bidi="ar"/>
              </w:rPr>
              <w:t>排放量(t/a)</w:t>
            </w:r>
          </w:p>
        </w:tc>
        <w:tc>
          <w:tcPr>
            <w:tcW w:w="656"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rPr>
            </w:pPr>
            <w:r>
              <w:rPr>
                <w:rFonts w:ascii="Times New Roman" w:hAnsi="Times New Roman" w:cs="Times New Roman"/>
                <w:bCs/>
                <w:color w:val="000000"/>
                <w:kern w:val="2"/>
                <w:sz w:val="21"/>
                <w:szCs w:val="21"/>
                <w:highlight w:val="none"/>
                <w:lang w:bidi="ar"/>
              </w:rPr>
              <w:t>排放浓度(mg/m</w:t>
            </w:r>
            <w:r>
              <w:rPr>
                <w:rFonts w:ascii="Times New Roman" w:hAnsi="Times New Roman" w:cs="Times New Roman"/>
                <w:bCs/>
                <w:color w:val="000000"/>
                <w:kern w:val="2"/>
                <w:sz w:val="21"/>
                <w:szCs w:val="21"/>
                <w:highlight w:val="none"/>
                <w:vertAlign w:val="superscript"/>
                <w:lang w:bidi="ar"/>
              </w:rPr>
              <w:t>3</w:t>
            </w:r>
            <w:r>
              <w:rPr>
                <w:rFonts w:ascii="Times New Roman" w:hAnsi="Times New Roman" w:cs="Times New Roman"/>
                <w:bCs/>
                <w:color w:val="000000"/>
                <w:kern w:val="2"/>
                <w:sz w:val="21"/>
                <w:szCs w:val="21"/>
                <w:highlight w:val="none"/>
                <w:lang w:bidi="ar"/>
              </w:rPr>
              <w:t>)</w:t>
            </w:r>
          </w:p>
        </w:tc>
        <w:tc>
          <w:tcPr>
            <w:tcW w:w="502"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rPr>
            </w:pPr>
            <w:r>
              <w:rPr>
                <w:rFonts w:ascii="Times New Roman" w:hAnsi="Times New Roman" w:cs="Times New Roman"/>
                <w:bCs/>
                <w:color w:val="000000"/>
                <w:kern w:val="2"/>
                <w:sz w:val="21"/>
                <w:szCs w:val="21"/>
                <w:highlight w:val="none"/>
                <w:lang w:bidi="ar"/>
              </w:rPr>
              <w:t>φ×H、温度</w:t>
            </w:r>
          </w:p>
        </w:tc>
        <w:tc>
          <w:tcPr>
            <w:tcW w:w="398"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rPr>
            </w:pPr>
            <w:r>
              <w:rPr>
                <w:rFonts w:ascii="Times New Roman" w:hAnsi="Times New Roman" w:cs="Times New Roman"/>
                <w:bCs/>
                <w:color w:val="000000"/>
                <w:kern w:val="2"/>
                <w:sz w:val="21"/>
                <w:szCs w:val="21"/>
                <w:highlight w:val="none"/>
                <w:lang w:bidi="ar"/>
              </w:rPr>
              <w:t>名称、</w:t>
            </w:r>
          </w:p>
          <w:p>
            <w:pPr>
              <w:adjustRightInd w:val="0"/>
              <w:spacing w:line="180" w:lineRule="atLeast"/>
              <w:jc w:val="center"/>
              <w:rPr>
                <w:rFonts w:ascii="Times New Roman" w:hAnsi="Times New Roman" w:cs="Times New Roman"/>
                <w:bCs/>
                <w:color w:val="000000"/>
                <w:kern w:val="2"/>
                <w:sz w:val="21"/>
                <w:szCs w:val="21"/>
                <w:highlight w:val="none"/>
              </w:rPr>
            </w:pPr>
            <w:r>
              <w:rPr>
                <w:rFonts w:ascii="Times New Roman" w:hAnsi="Times New Roman" w:cs="Times New Roman"/>
                <w:bCs/>
                <w:color w:val="000000"/>
                <w:kern w:val="2"/>
                <w:sz w:val="21"/>
                <w:szCs w:val="21"/>
                <w:highlight w:val="none"/>
                <w:lang w:bidi="ar"/>
              </w:rPr>
              <w:t>编号</w:t>
            </w:r>
          </w:p>
        </w:tc>
        <w:tc>
          <w:tcPr>
            <w:tcW w:w="599"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rPr>
            </w:pPr>
            <w:r>
              <w:rPr>
                <w:rFonts w:ascii="Times New Roman" w:hAnsi="Times New Roman" w:cs="Times New Roman"/>
                <w:bCs/>
                <w:color w:val="000000"/>
                <w:kern w:val="2"/>
                <w:sz w:val="21"/>
                <w:szCs w:val="21"/>
                <w:highlight w:val="none"/>
                <w:lang w:bidi="ar"/>
              </w:rPr>
              <w:t>地理坐标</w:t>
            </w:r>
          </w:p>
        </w:tc>
        <w:tc>
          <w:tcPr>
            <w:tcW w:w="86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180" w:lineRule="atLeast"/>
              <w:jc w:val="center"/>
              <w:rPr>
                <w:rFonts w:ascii="Times New Roman" w:hAnsi="Times New Roman" w:cs="Times New Roman"/>
                <w:color w:val="0000FF"/>
                <w:kern w:val="2"/>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jc w:val="center"/>
        </w:trPr>
        <w:tc>
          <w:tcPr>
            <w:tcW w:w="148" w:type="pct"/>
            <w:vMerge w:val="restart"/>
            <w:tcBorders>
              <w:left w:val="single" w:color="auto" w:sz="4" w:space="0"/>
              <w:right w:val="single" w:color="auto" w:sz="4" w:space="0"/>
            </w:tcBorders>
            <w:noWrap w:val="0"/>
            <w:vAlign w:val="center"/>
          </w:tcPr>
          <w:p>
            <w:pPr>
              <w:adjustRightInd w:val="0"/>
              <w:spacing w:line="180" w:lineRule="atLeast"/>
              <w:jc w:val="center"/>
              <w:rPr>
                <w:rFonts w:hint="eastAsia" w:ascii="Times New Roman" w:hAnsi="Times New Roman" w:eastAsia="宋体" w:cs="Times New Roman"/>
                <w:bCs/>
                <w:color w:val="0000FF"/>
                <w:kern w:val="2"/>
                <w:sz w:val="21"/>
                <w:szCs w:val="21"/>
                <w:highlight w:val="none"/>
                <w:lang w:eastAsia="zh-CN" w:bidi="ar"/>
              </w:rPr>
            </w:pPr>
            <w:r>
              <w:rPr>
                <w:rFonts w:hint="eastAsia" w:ascii="Times New Roman" w:hAnsi="Times New Roman" w:cs="Times New Roman"/>
                <w:bCs/>
                <w:kern w:val="2"/>
                <w:sz w:val="21"/>
                <w:szCs w:val="21"/>
                <w:highlight w:val="none"/>
                <w:lang w:eastAsia="zh-CN" w:bidi="ar"/>
              </w:rPr>
              <w:t>生物质锅炉废气</w:t>
            </w:r>
          </w:p>
        </w:tc>
        <w:tc>
          <w:tcPr>
            <w:tcW w:w="169" w:type="pct"/>
            <w:vMerge w:val="restart"/>
            <w:tcBorders>
              <w:left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lang w:bidi="ar"/>
              </w:rPr>
            </w:pPr>
            <w:r>
              <w:rPr>
                <w:rFonts w:ascii="Times New Roman" w:hAnsi="Times New Roman" w:cs="Times New Roman"/>
                <w:bCs/>
                <w:color w:val="000000"/>
                <w:kern w:val="2"/>
                <w:sz w:val="21"/>
                <w:szCs w:val="21"/>
                <w:highlight w:val="none"/>
                <w:lang w:bidi="ar"/>
              </w:rPr>
              <w:t>有组织</w:t>
            </w:r>
          </w:p>
        </w:tc>
        <w:tc>
          <w:tcPr>
            <w:tcW w:w="253"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lang w:bidi="ar"/>
              </w:rPr>
            </w:pPr>
            <w:r>
              <w:rPr>
                <w:rFonts w:ascii="Times New Roman" w:hAnsi="Times New Roman" w:cs="Times New Roman"/>
                <w:bCs/>
                <w:color w:val="000000"/>
                <w:kern w:val="2"/>
                <w:sz w:val="21"/>
                <w:szCs w:val="21"/>
                <w:highlight w:val="none"/>
                <w:lang w:bidi="ar"/>
              </w:rPr>
              <w:t>颗粒物</w:t>
            </w:r>
          </w:p>
        </w:tc>
        <w:tc>
          <w:tcPr>
            <w:tcW w:w="4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ascii="Times New Roman" w:hAnsi="Times New Roman" w:cs="Times New Roman"/>
                <w:bCs/>
                <w:color w:val="000000"/>
                <w:kern w:val="2"/>
                <w:sz w:val="21"/>
                <w:szCs w:val="21"/>
                <w:highlight w:val="none"/>
                <w:lang w:bidi="ar"/>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0.677</w:t>
            </w:r>
          </w:p>
        </w:tc>
        <w:tc>
          <w:tcPr>
            <w:tcW w:w="42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ascii="Times New Roman" w:hAnsi="Times New Roman" w:cs="Times New Roman"/>
                <w:bCs/>
                <w:color w:val="000000"/>
                <w:kern w:val="2"/>
                <w:sz w:val="21"/>
                <w:szCs w:val="21"/>
                <w:highlight w:val="none"/>
                <w:lang w:bidi="ar"/>
              </w:rPr>
            </w:pP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67.07</w:t>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 xml:space="preserve"> </w:t>
            </w:r>
          </w:p>
        </w:tc>
        <w:tc>
          <w:tcPr>
            <w:tcW w:w="4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ascii="Times New Roman" w:hAnsi="Times New Roman" w:cs="Times New Roman"/>
                <w:bCs/>
                <w:color w:val="000000"/>
                <w:kern w:val="2"/>
                <w:sz w:val="21"/>
                <w:szCs w:val="21"/>
                <w:highlight w:val="none"/>
                <w:lang w:bidi="ar"/>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0.144</w:t>
            </w:r>
          </w:p>
        </w:tc>
        <w:tc>
          <w:tcPr>
            <w:tcW w:w="6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ascii="Times New Roman" w:hAnsi="Times New Roman" w:cs="Times New Roman"/>
                <w:bCs/>
                <w:color w:val="000000"/>
                <w:kern w:val="2"/>
                <w:sz w:val="21"/>
                <w:szCs w:val="21"/>
                <w:highlight w:val="none"/>
                <w:lang w:bidi="ar"/>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10</w:t>
            </w:r>
          </w:p>
        </w:tc>
        <w:tc>
          <w:tcPr>
            <w:tcW w:w="502" w:type="pct"/>
            <w:vMerge w:val="restart"/>
            <w:tcBorders>
              <w:top w:val="single" w:color="auto" w:sz="4" w:space="0"/>
              <w:left w:val="single" w:color="auto" w:sz="4" w:space="0"/>
              <w:right w:val="single" w:color="auto" w:sz="4" w:space="0"/>
            </w:tcBorders>
            <w:noWrap w:val="0"/>
            <w:vAlign w:val="center"/>
          </w:tcPr>
          <w:p>
            <w:pPr>
              <w:adjustRightInd w:val="0"/>
              <w:spacing w:line="180" w:lineRule="atLeast"/>
              <w:jc w:val="center"/>
              <w:rPr>
                <w:rFonts w:hint="default" w:ascii="Times New Roman" w:hAnsi="Times New Roman" w:eastAsia="宋体" w:cs="Times New Roman"/>
                <w:bCs/>
                <w:color w:val="000000"/>
                <w:kern w:val="2"/>
                <w:sz w:val="21"/>
                <w:szCs w:val="21"/>
                <w:highlight w:val="none"/>
                <w:lang w:val="en-US" w:eastAsia="zh-CN"/>
              </w:rPr>
            </w:pPr>
            <w:r>
              <w:rPr>
                <w:rFonts w:ascii="Times New Roman" w:hAnsi="Times New Roman" w:cs="Times New Roman"/>
                <w:bCs/>
                <w:color w:val="000000"/>
                <w:kern w:val="2"/>
                <w:sz w:val="21"/>
                <w:szCs w:val="21"/>
                <w:highlight w:val="none"/>
                <w:lang w:bidi="ar"/>
              </w:rPr>
              <w:t>0.</w:t>
            </w:r>
            <w:r>
              <w:rPr>
                <w:rFonts w:hint="eastAsia" w:ascii="Times New Roman" w:hAnsi="Times New Roman" w:cs="Times New Roman"/>
                <w:bCs/>
                <w:color w:val="000000"/>
                <w:kern w:val="2"/>
                <w:sz w:val="21"/>
                <w:szCs w:val="21"/>
                <w:highlight w:val="none"/>
                <w:lang w:val="en-US" w:eastAsia="zh-CN" w:bidi="ar"/>
              </w:rPr>
              <w:t>35</w:t>
            </w:r>
            <w:r>
              <w:rPr>
                <w:rFonts w:ascii="Times New Roman" w:hAnsi="Times New Roman" w:cs="Times New Roman"/>
                <w:bCs/>
                <w:color w:val="000000"/>
                <w:kern w:val="2"/>
                <w:sz w:val="21"/>
                <w:szCs w:val="21"/>
                <w:highlight w:val="none"/>
                <w:lang w:bidi="ar"/>
              </w:rPr>
              <w:t>×</w:t>
            </w:r>
            <w:r>
              <w:rPr>
                <w:rFonts w:hint="eastAsia" w:ascii="Times New Roman" w:hAnsi="Times New Roman" w:cs="Times New Roman"/>
                <w:bCs/>
                <w:color w:val="000000"/>
                <w:kern w:val="2"/>
                <w:sz w:val="21"/>
                <w:szCs w:val="21"/>
                <w:highlight w:val="none"/>
                <w:lang w:val="en-US" w:eastAsia="zh-CN" w:bidi="ar"/>
              </w:rPr>
              <w:t>30</w:t>
            </w:r>
          </w:p>
          <w:p>
            <w:pPr>
              <w:adjustRightInd w:val="0"/>
              <w:spacing w:line="180" w:lineRule="atLeast"/>
              <w:jc w:val="center"/>
              <w:rPr>
                <w:rFonts w:ascii="Times New Roman" w:hAnsi="Times New Roman" w:cs="Times New Roman"/>
                <w:bCs/>
                <w:color w:val="000000"/>
                <w:kern w:val="2"/>
                <w:sz w:val="21"/>
                <w:szCs w:val="21"/>
                <w:highlight w:val="none"/>
                <w:lang w:bidi="ar"/>
              </w:rPr>
            </w:pPr>
            <w:r>
              <w:rPr>
                <w:rFonts w:hint="eastAsia" w:ascii="Times New Roman" w:hAnsi="Times New Roman" w:cs="Times New Roman"/>
                <w:bCs/>
                <w:color w:val="000000"/>
                <w:kern w:val="2"/>
                <w:sz w:val="21"/>
                <w:szCs w:val="21"/>
                <w:highlight w:val="none"/>
                <w:lang w:val="en-US" w:eastAsia="zh-CN" w:bidi="ar"/>
              </w:rPr>
              <w:t>120</w:t>
            </w:r>
            <w:r>
              <w:rPr>
                <w:rFonts w:ascii="Times New Roman" w:hAnsi="Times New Roman" w:cs="Times New Roman"/>
                <w:bCs/>
                <w:color w:val="000000"/>
                <w:kern w:val="2"/>
                <w:sz w:val="21"/>
                <w:szCs w:val="21"/>
                <w:highlight w:val="none"/>
                <w:lang w:bidi="ar"/>
              </w:rPr>
              <w:t>℃</w:t>
            </w:r>
          </w:p>
        </w:tc>
        <w:tc>
          <w:tcPr>
            <w:tcW w:w="398" w:type="pct"/>
            <w:vMerge w:val="restart"/>
            <w:tcBorders>
              <w:top w:val="single" w:color="auto" w:sz="4" w:space="0"/>
              <w:left w:val="single" w:color="auto" w:sz="4" w:space="0"/>
              <w:right w:val="single" w:color="auto" w:sz="4" w:space="0"/>
            </w:tcBorders>
            <w:noWrap w:val="0"/>
            <w:vAlign w:val="center"/>
          </w:tcPr>
          <w:p>
            <w:pPr>
              <w:adjustRightInd w:val="0"/>
              <w:spacing w:line="180" w:lineRule="atLeast"/>
              <w:jc w:val="center"/>
              <w:rPr>
                <w:rFonts w:hint="eastAsia" w:ascii="Times New Roman" w:hAnsi="Times New Roman" w:eastAsia="宋体" w:cs="Times New Roman"/>
                <w:bCs/>
                <w:color w:val="000000"/>
                <w:kern w:val="2"/>
                <w:sz w:val="21"/>
                <w:szCs w:val="21"/>
                <w:highlight w:val="none"/>
                <w:lang w:eastAsia="zh-CN" w:bidi="ar"/>
              </w:rPr>
            </w:pPr>
            <w:r>
              <w:rPr>
                <w:rFonts w:ascii="Times New Roman" w:hAnsi="Times New Roman" w:cs="Times New Roman"/>
                <w:bCs/>
                <w:color w:val="000000"/>
                <w:kern w:val="2"/>
                <w:sz w:val="21"/>
                <w:szCs w:val="21"/>
                <w:highlight w:val="none"/>
                <w:lang w:bidi="ar"/>
              </w:rPr>
              <w:t>DA00</w:t>
            </w:r>
            <w:r>
              <w:rPr>
                <w:rFonts w:hint="eastAsia" w:ascii="Times New Roman" w:hAnsi="Times New Roman" w:cs="Times New Roman"/>
                <w:bCs/>
                <w:color w:val="000000"/>
                <w:kern w:val="2"/>
                <w:sz w:val="21"/>
                <w:szCs w:val="21"/>
                <w:highlight w:val="none"/>
                <w:lang w:val="en-US" w:eastAsia="zh-CN" w:bidi="ar"/>
              </w:rPr>
              <w:t>1</w:t>
            </w:r>
          </w:p>
        </w:tc>
        <w:tc>
          <w:tcPr>
            <w:tcW w:w="599" w:type="pct"/>
            <w:vMerge w:val="restart"/>
            <w:tcBorders>
              <w:top w:val="single" w:color="auto" w:sz="4" w:space="0"/>
              <w:left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auto"/>
                <w:kern w:val="2"/>
                <w:sz w:val="21"/>
                <w:szCs w:val="21"/>
                <w:highlight w:val="none"/>
                <w:lang w:bidi="ar"/>
              </w:rPr>
            </w:pPr>
          </w:p>
        </w:tc>
        <w:tc>
          <w:tcPr>
            <w:tcW w:w="863" w:type="pct"/>
            <w:vMerge w:val="restart"/>
            <w:tcBorders>
              <w:left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color w:val="auto"/>
                <w:kern w:val="2"/>
                <w:sz w:val="21"/>
                <w:szCs w:val="24"/>
                <w:highlight w:val="none"/>
              </w:rPr>
            </w:pPr>
            <w:r>
              <w:rPr>
                <w:rFonts w:hint="default" w:ascii="Times New Roman" w:hAnsi="Times New Roman" w:cs="Times New Roman"/>
                <w:color w:val="auto"/>
                <w:kern w:val="2"/>
                <w:sz w:val="21"/>
                <w:szCs w:val="24"/>
                <w:highlight w:val="none"/>
                <w:lang w:val="en-US" w:eastAsia="zh-CN"/>
              </w:rPr>
              <w:t>山西省《锅炉大气污染物排放标准》（DB14/1929-2019）表2中新建燃</w:t>
            </w:r>
            <w:r>
              <w:rPr>
                <w:rFonts w:hint="eastAsia" w:ascii="Times New Roman" w:cs="Times New Roman"/>
                <w:color w:val="auto"/>
                <w:kern w:val="2"/>
                <w:sz w:val="21"/>
                <w:szCs w:val="24"/>
                <w:highlight w:val="none"/>
                <w:lang w:val="en-US" w:eastAsia="zh-CN"/>
              </w:rPr>
              <w:t>气</w:t>
            </w:r>
            <w:bookmarkStart w:id="50" w:name="_GoBack"/>
            <w:bookmarkEnd w:id="50"/>
            <w:r>
              <w:rPr>
                <w:rFonts w:hint="default" w:ascii="Times New Roman" w:hAnsi="Times New Roman" w:cs="Times New Roman"/>
                <w:color w:val="auto"/>
                <w:kern w:val="2"/>
                <w:sz w:val="21"/>
                <w:szCs w:val="24"/>
                <w:highlight w:val="none"/>
                <w:lang w:val="en-US" w:eastAsia="zh-CN"/>
              </w:rPr>
              <w:t>生物质锅炉排放浓度限值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148" w:type="pct"/>
            <w:vMerge w:val="continue"/>
            <w:tcBorders>
              <w:left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rPr>
            </w:pPr>
          </w:p>
        </w:tc>
        <w:tc>
          <w:tcPr>
            <w:tcW w:w="169" w:type="pct"/>
            <w:vMerge w:val="continue"/>
            <w:tcBorders>
              <w:left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kern w:val="2"/>
                <w:sz w:val="21"/>
                <w:szCs w:val="21"/>
                <w:highlight w:val="none"/>
                <w:lang w:bidi="ar"/>
              </w:rPr>
            </w:pPr>
          </w:p>
        </w:tc>
        <w:tc>
          <w:tcPr>
            <w:tcW w:w="253"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kern w:val="2"/>
                <w:sz w:val="21"/>
                <w:szCs w:val="21"/>
                <w:highlight w:val="none"/>
                <w:lang w:bidi="ar"/>
              </w:rPr>
            </w:pPr>
            <w:r>
              <w:rPr>
                <w:rFonts w:ascii="Times New Roman" w:hAnsi="Times New Roman" w:cs="Times New Roman"/>
                <w:kern w:val="2"/>
                <w:sz w:val="21"/>
                <w:szCs w:val="24"/>
                <w:highlight w:val="none"/>
              </w:rPr>
              <w:t>SO</w:t>
            </w:r>
            <w:r>
              <w:rPr>
                <w:rFonts w:ascii="Times New Roman" w:hAnsi="Times New Roman" w:cs="Times New Roman"/>
                <w:kern w:val="2"/>
                <w:sz w:val="21"/>
                <w:szCs w:val="24"/>
                <w:highlight w:val="none"/>
                <w:vertAlign w:val="subscript"/>
              </w:rPr>
              <w:t>2</w:t>
            </w:r>
          </w:p>
        </w:tc>
        <w:tc>
          <w:tcPr>
            <w:tcW w:w="4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ascii="Times New Roman" w:hAnsi="Times New Roman" w:cs="Times New Roman"/>
                <w:bCs/>
                <w:color w:val="000000"/>
                <w:kern w:val="2"/>
                <w:sz w:val="21"/>
                <w:szCs w:val="21"/>
                <w:highlight w:val="none"/>
                <w:lang w:bidi="ar"/>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0.</w:t>
            </w: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23</w:t>
            </w:r>
          </w:p>
        </w:tc>
        <w:tc>
          <w:tcPr>
            <w:tcW w:w="42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ascii="Times New Roman" w:hAnsi="Times New Roman" w:cs="Times New Roman"/>
                <w:bCs/>
                <w:color w:val="000000"/>
                <w:kern w:val="2"/>
                <w:sz w:val="21"/>
                <w:szCs w:val="21"/>
                <w:highlight w:val="none"/>
                <w:lang w:bidi="ar"/>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22.8</w:t>
            </w:r>
          </w:p>
        </w:tc>
        <w:tc>
          <w:tcPr>
            <w:tcW w:w="4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ascii="Times New Roman" w:hAnsi="Times New Roman" w:cs="Times New Roman"/>
                <w:bCs/>
                <w:color w:val="000000"/>
                <w:kern w:val="2"/>
                <w:sz w:val="21"/>
                <w:szCs w:val="21"/>
                <w:highlight w:val="none"/>
                <w:lang w:bidi="ar"/>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0.</w:t>
            </w: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23</w:t>
            </w:r>
          </w:p>
        </w:tc>
        <w:tc>
          <w:tcPr>
            <w:tcW w:w="6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ascii="Times New Roman" w:hAnsi="Times New Roman" w:cs="Times New Roman"/>
                <w:bCs/>
                <w:color w:val="000000"/>
                <w:kern w:val="2"/>
                <w:sz w:val="21"/>
                <w:szCs w:val="21"/>
                <w:highlight w:val="none"/>
                <w:lang w:bidi="ar"/>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22.8</w:t>
            </w:r>
          </w:p>
        </w:tc>
        <w:tc>
          <w:tcPr>
            <w:tcW w:w="502" w:type="pct"/>
            <w:vMerge w:val="continue"/>
            <w:tcBorders>
              <w:left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lang w:bidi="ar"/>
              </w:rPr>
            </w:pPr>
          </w:p>
        </w:tc>
        <w:tc>
          <w:tcPr>
            <w:tcW w:w="398" w:type="pct"/>
            <w:vMerge w:val="continue"/>
            <w:tcBorders>
              <w:left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lang w:bidi="ar"/>
              </w:rPr>
            </w:pPr>
          </w:p>
        </w:tc>
        <w:tc>
          <w:tcPr>
            <w:tcW w:w="599" w:type="pct"/>
            <w:vMerge w:val="continue"/>
            <w:tcBorders>
              <w:left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lang w:bidi="ar"/>
              </w:rPr>
            </w:pPr>
          </w:p>
        </w:tc>
        <w:tc>
          <w:tcPr>
            <w:tcW w:w="863" w:type="pct"/>
            <w:vMerge w:val="continue"/>
            <w:tcBorders>
              <w:left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jc w:val="center"/>
        </w:trPr>
        <w:tc>
          <w:tcPr>
            <w:tcW w:w="148" w:type="pct"/>
            <w:vMerge w:val="continue"/>
            <w:tcBorders>
              <w:left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rPr>
            </w:pPr>
          </w:p>
        </w:tc>
        <w:tc>
          <w:tcPr>
            <w:tcW w:w="169" w:type="pct"/>
            <w:vMerge w:val="continue"/>
            <w:tcBorders>
              <w:left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lang w:bidi="ar"/>
              </w:rPr>
            </w:pPr>
          </w:p>
        </w:tc>
        <w:tc>
          <w:tcPr>
            <w:tcW w:w="253"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lang w:bidi="ar"/>
              </w:rPr>
            </w:pPr>
            <w:r>
              <w:rPr>
                <w:rFonts w:ascii="Times New Roman" w:hAnsi="Times New Roman" w:cs="Times New Roman"/>
                <w:kern w:val="2"/>
                <w:sz w:val="21"/>
                <w:szCs w:val="24"/>
                <w:highlight w:val="none"/>
              </w:rPr>
              <w:t>NOx</w:t>
            </w:r>
          </w:p>
        </w:tc>
        <w:tc>
          <w:tcPr>
            <w:tcW w:w="4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ascii="Times New Roman" w:hAnsi="Times New Roman" w:cs="Times New Roman"/>
                <w:bCs/>
                <w:color w:val="000000"/>
                <w:kern w:val="2"/>
                <w:sz w:val="21"/>
                <w:szCs w:val="21"/>
                <w:highlight w:val="none"/>
                <w:lang w:bidi="ar"/>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0.</w:t>
            </w: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96</w:t>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 xml:space="preserve"> </w:t>
            </w:r>
          </w:p>
        </w:tc>
        <w:tc>
          <w:tcPr>
            <w:tcW w:w="42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ascii="Times New Roman" w:hAnsi="Times New Roman" w:cs="Times New Roman"/>
                <w:bCs/>
                <w:color w:val="000000"/>
                <w:kern w:val="2"/>
                <w:sz w:val="21"/>
                <w:szCs w:val="21"/>
                <w:highlight w:val="none"/>
                <w:lang w:bidi="ar"/>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95.24</w:t>
            </w:r>
          </w:p>
        </w:tc>
        <w:tc>
          <w:tcPr>
            <w:tcW w:w="4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ascii="Times New Roman" w:hAnsi="Times New Roman" w:cs="Times New Roman"/>
                <w:bCs/>
                <w:color w:val="000000"/>
                <w:kern w:val="2"/>
                <w:sz w:val="21"/>
                <w:szCs w:val="21"/>
                <w:highlight w:val="none"/>
                <w:lang w:bidi="ar"/>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0.</w:t>
            </w: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49</w:t>
            </w:r>
          </w:p>
        </w:tc>
        <w:tc>
          <w:tcPr>
            <w:tcW w:w="6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ascii="Times New Roman" w:hAnsi="Times New Roman" w:cs="Times New Roman"/>
                <w:bCs/>
                <w:color w:val="000000"/>
                <w:kern w:val="2"/>
                <w:sz w:val="21"/>
                <w:szCs w:val="21"/>
                <w:highlight w:val="none"/>
                <w:lang w:bidi="ar"/>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 xml:space="preserve">48.29 </w:t>
            </w:r>
          </w:p>
        </w:tc>
        <w:tc>
          <w:tcPr>
            <w:tcW w:w="502" w:type="pct"/>
            <w:vMerge w:val="continue"/>
            <w:tcBorders>
              <w:left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lang w:bidi="ar"/>
              </w:rPr>
            </w:pPr>
          </w:p>
        </w:tc>
        <w:tc>
          <w:tcPr>
            <w:tcW w:w="398" w:type="pct"/>
            <w:vMerge w:val="continue"/>
            <w:tcBorders>
              <w:left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lang w:bidi="ar"/>
              </w:rPr>
            </w:pPr>
          </w:p>
        </w:tc>
        <w:tc>
          <w:tcPr>
            <w:tcW w:w="599" w:type="pct"/>
            <w:vMerge w:val="continue"/>
            <w:tcBorders>
              <w:left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lang w:bidi="ar"/>
              </w:rPr>
            </w:pPr>
          </w:p>
        </w:tc>
        <w:tc>
          <w:tcPr>
            <w:tcW w:w="863" w:type="pct"/>
            <w:vMerge w:val="continue"/>
            <w:tcBorders>
              <w:left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148" w:type="pct"/>
            <w:vMerge w:val="continue"/>
            <w:tcBorders>
              <w:left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rPr>
            </w:pPr>
          </w:p>
        </w:tc>
        <w:tc>
          <w:tcPr>
            <w:tcW w:w="169" w:type="pct"/>
            <w:vMerge w:val="continue"/>
            <w:tcBorders>
              <w:left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lang w:bidi="ar"/>
              </w:rPr>
            </w:pPr>
          </w:p>
        </w:tc>
        <w:tc>
          <w:tcPr>
            <w:tcW w:w="253"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180" w:lineRule="atLeast"/>
              <w:jc w:val="center"/>
              <w:rPr>
                <w:rFonts w:hint="eastAsia" w:ascii="Times New Roman" w:hAnsi="Times New Roman" w:eastAsia="宋体" w:cs="Times New Roman"/>
                <w:kern w:val="2"/>
                <w:sz w:val="21"/>
                <w:szCs w:val="24"/>
                <w:highlight w:val="none"/>
                <w:lang w:val="en-US" w:eastAsia="zh-CN"/>
              </w:rPr>
            </w:pPr>
            <w:r>
              <w:rPr>
                <w:rFonts w:hint="eastAsia" w:ascii="Times New Roman" w:hAnsi="Times New Roman" w:eastAsia="宋体" w:cs="Times New Roman"/>
                <w:kern w:val="2"/>
                <w:sz w:val="21"/>
                <w:szCs w:val="24"/>
                <w:highlight w:val="none"/>
                <w:lang w:val="en-US" w:eastAsia="zh-CN"/>
              </w:rPr>
              <w:t>汞及其化合物</w:t>
            </w:r>
          </w:p>
        </w:tc>
        <w:tc>
          <w:tcPr>
            <w:tcW w:w="489"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ascii="Times New Roman" w:hAnsi="Times New Roman" w:cs="Times New Roman"/>
                <w:kern w:val="2"/>
                <w:sz w:val="21"/>
                <w:szCs w:val="24"/>
                <w:highlight w:val="none"/>
              </w:rPr>
            </w:pPr>
            <w:r>
              <w:rPr>
                <w:rFonts w:hint="eastAsia" w:ascii="Times New Roman" w:cs="Times New Roman"/>
                <w:bCs/>
                <w:color w:val="000000" w:themeColor="text1"/>
                <w:kern w:val="2"/>
                <w:sz w:val="21"/>
                <w:szCs w:val="21"/>
                <w:lang w:val="en-US" w:eastAsia="zh-CN"/>
                <w14:textFill>
                  <w14:solidFill>
                    <w14:schemeClr w14:val="tx1"/>
                  </w14:solidFill>
                </w14:textFill>
              </w:rPr>
              <w:t>2.12</w:t>
            </w:r>
            <w:r>
              <w:rPr>
                <w:rFonts w:hint="default" w:ascii="Times New Roman" w:hAnsi="Times New Roman" w:eastAsia="宋体" w:cs="Times New Roman"/>
                <w:bCs/>
                <w:color w:val="000000" w:themeColor="text1"/>
                <w:kern w:val="2"/>
                <w:sz w:val="21"/>
                <w:szCs w:val="21"/>
                <w:lang w:val="en-US" w:eastAsia="zh-CN"/>
                <w14:textFill>
                  <w14:solidFill>
                    <w14:schemeClr w14:val="tx1"/>
                  </w14:solidFill>
                </w14:textFill>
              </w:rPr>
              <w:t>×10</w:t>
            </w:r>
            <w:r>
              <w:rPr>
                <w:rFonts w:hint="default" w:ascii="Times New Roman" w:hAnsi="Times New Roman" w:eastAsia="宋体" w:cs="Times New Roman"/>
                <w:bCs/>
                <w:color w:val="000000" w:themeColor="text1"/>
                <w:kern w:val="2"/>
                <w:sz w:val="21"/>
                <w:szCs w:val="21"/>
                <w:vertAlign w:val="superscript"/>
                <w:lang w:val="en-US" w:eastAsia="zh-CN"/>
                <w14:textFill>
                  <w14:solidFill>
                    <w14:schemeClr w14:val="tx1"/>
                  </w14:solidFill>
                </w14:textFill>
              </w:rPr>
              <w:t>-5</w:t>
            </w:r>
          </w:p>
        </w:tc>
        <w:tc>
          <w:tcPr>
            <w:tcW w:w="428"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kern w:val="2"/>
                <w:sz w:val="21"/>
                <w:szCs w:val="24"/>
                <w:highlight w:val="none"/>
                <w:lang w:val="en-US" w:eastAsia="zh-CN"/>
              </w:rPr>
            </w:pP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2.1</w:t>
            </w:r>
            <w:r>
              <w:rPr>
                <w:rFonts w:hint="default" w:ascii="Times New Roman" w:hAnsi="Times New Roman" w:eastAsia="宋体" w:cs="Times New Roman"/>
                <w:bCs/>
                <w:color w:val="000000" w:themeColor="text1"/>
                <w:kern w:val="2"/>
                <w:sz w:val="21"/>
                <w:szCs w:val="21"/>
                <w:lang w:val="en-US" w:eastAsia="zh-CN"/>
                <w14:textFill>
                  <w14:solidFill>
                    <w14:schemeClr w14:val="tx1"/>
                  </w14:solidFill>
                </w14:textFill>
              </w:rPr>
              <w:t>×10</w:t>
            </w:r>
            <w:r>
              <w:rPr>
                <w:rFonts w:hint="default" w:ascii="Times New Roman" w:hAnsi="Times New Roman" w:eastAsia="宋体" w:cs="Times New Roman"/>
                <w:bCs/>
                <w:color w:val="000000" w:themeColor="text1"/>
                <w:kern w:val="2"/>
                <w:sz w:val="21"/>
                <w:szCs w:val="21"/>
                <w:vertAlign w:val="superscript"/>
                <w:lang w:val="en-US" w:eastAsia="zh-CN"/>
                <w14:textFill>
                  <w14:solidFill>
                    <w14:schemeClr w14:val="tx1"/>
                  </w14:solidFill>
                </w14:textFill>
              </w:rPr>
              <w:t>-3</w:t>
            </w:r>
          </w:p>
        </w:tc>
        <w:tc>
          <w:tcPr>
            <w:tcW w:w="489"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ascii="Times New Roman" w:hAnsi="Times New Roman" w:cs="Times New Roman"/>
                <w:kern w:val="2"/>
                <w:sz w:val="21"/>
                <w:szCs w:val="24"/>
                <w:highlight w:val="none"/>
              </w:rPr>
            </w:pPr>
            <w:r>
              <w:rPr>
                <w:rFonts w:hint="eastAsia" w:ascii="Times New Roman" w:cs="Times New Roman"/>
                <w:bCs/>
                <w:color w:val="000000" w:themeColor="text1"/>
                <w:kern w:val="2"/>
                <w:sz w:val="21"/>
                <w:szCs w:val="21"/>
                <w:highlight w:val="none"/>
                <w:lang w:val="en-US" w:eastAsia="zh-CN"/>
                <w14:textFill>
                  <w14:solidFill>
                    <w14:schemeClr w14:val="tx1"/>
                  </w14:solidFill>
                </w14:textFill>
              </w:rPr>
              <w:t>6.37</w:t>
            </w:r>
            <w:r>
              <w:rPr>
                <w:rFonts w:hint="default"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t>×10</w:t>
            </w:r>
            <w:r>
              <w:rPr>
                <w:rFonts w:hint="default" w:ascii="Times New Roman" w:hAnsi="Times New Roman" w:eastAsia="宋体" w:cs="Times New Roman"/>
                <w:bCs/>
                <w:color w:val="000000" w:themeColor="text1"/>
                <w:kern w:val="2"/>
                <w:sz w:val="21"/>
                <w:szCs w:val="21"/>
                <w:highlight w:val="none"/>
                <w:vertAlign w:val="superscript"/>
                <w:lang w:val="en-US" w:eastAsia="zh-CN"/>
                <w14:textFill>
                  <w14:solidFill>
                    <w14:schemeClr w14:val="tx1"/>
                  </w14:solidFill>
                </w14:textFill>
              </w:rPr>
              <w:t>-6</w:t>
            </w:r>
          </w:p>
        </w:tc>
        <w:tc>
          <w:tcPr>
            <w:tcW w:w="656"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ascii="Times New Roman" w:hAnsi="Times New Roman" w:eastAsia="宋体" w:cs="Times New Roman"/>
                <w:kern w:val="2"/>
                <w:sz w:val="21"/>
                <w:szCs w:val="24"/>
                <w:highlight w:val="none"/>
                <w:lang w:val="en-US" w:eastAsia="zh-CN"/>
              </w:rPr>
            </w:pP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6</w:t>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.3</w:t>
            </w: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1</w:t>
            </w:r>
            <w:r>
              <w:rPr>
                <w:rFonts w:hint="default" w:ascii="Times New Roman" w:hAnsi="Times New Roman" w:eastAsia="宋体" w:cs="Times New Roman"/>
                <w:bCs/>
                <w:color w:val="000000" w:themeColor="text1"/>
                <w:kern w:val="2"/>
                <w:sz w:val="21"/>
                <w:szCs w:val="21"/>
                <w:lang w:val="en-US" w:eastAsia="zh-CN"/>
                <w14:textFill>
                  <w14:solidFill>
                    <w14:schemeClr w14:val="tx1"/>
                  </w14:solidFill>
                </w14:textFill>
              </w:rPr>
              <w:t>×10</w:t>
            </w:r>
            <w:r>
              <w:rPr>
                <w:rFonts w:hint="default" w:ascii="Times New Roman" w:hAnsi="Times New Roman" w:eastAsia="宋体" w:cs="Times New Roman"/>
                <w:bCs/>
                <w:color w:val="000000" w:themeColor="text1"/>
                <w:kern w:val="2"/>
                <w:sz w:val="21"/>
                <w:szCs w:val="21"/>
                <w:vertAlign w:val="superscript"/>
                <w:lang w:val="en-US" w:eastAsia="zh-CN"/>
                <w14:textFill>
                  <w14:solidFill>
                    <w14:schemeClr w14:val="tx1"/>
                  </w14:solidFill>
                </w14:textFill>
              </w:rPr>
              <w:t>-4</w:t>
            </w:r>
          </w:p>
        </w:tc>
        <w:tc>
          <w:tcPr>
            <w:tcW w:w="502" w:type="pct"/>
            <w:vMerge w:val="continue"/>
            <w:tcBorders>
              <w:left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lang w:bidi="ar"/>
              </w:rPr>
            </w:pPr>
          </w:p>
        </w:tc>
        <w:tc>
          <w:tcPr>
            <w:tcW w:w="398" w:type="pct"/>
            <w:vMerge w:val="continue"/>
            <w:tcBorders>
              <w:left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lang w:bidi="ar"/>
              </w:rPr>
            </w:pPr>
          </w:p>
        </w:tc>
        <w:tc>
          <w:tcPr>
            <w:tcW w:w="599" w:type="pct"/>
            <w:vMerge w:val="continue"/>
            <w:tcBorders>
              <w:left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lang w:bidi="ar"/>
              </w:rPr>
            </w:pPr>
          </w:p>
        </w:tc>
        <w:tc>
          <w:tcPr>
            <w:tcW w:w="863" w:type="pct"/>
            <w:vMerge w:val="continue"/>
            <w:tcBorders>
              <w:left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kern w:val="2"/>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148" w:type="pct"/>
            <w:vMerge w:val="continue"/>
            <w:tcBorders>
              <w:left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rPr>
            </w:pPr>
          </w:p>
        </w:tc>
        <w:tc>
          <w:tcPr>
            <w:tcW w:w="169" w:type="pct"/>
            <w:vMerge w:val="continue"/>
            <w:tcBorders>
              <w:left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lang w:bidi="ar"/>
              </w:rPr>
            </w:pPr>
          </w:p>
        </w:tc>
        <w:tc>
          <w:tcPr>
            <w:tcW w:w="253" w:type="pct"/>
            <w:tcBorders>
              <w:top w:val="single" w:color="auto" w:sz="4" w:space="0"/>
              <w:left w:val="single" w:color="auto" w:sz="4" w:space="0"/>
              <w:bottom w:val="single" w:color="auto" w:sz="4" w:space="0"/>
              <w:right w:val="single" w:color="auto" w:sz="4" w:space="0"/>
            </w:tcBorders>
            <w:noWrap w:val="0"/>
            <w:vAlign w:val="center"/>
          </w:tcPr>
          <w:p>
            <w:pPr>
              <w:adjustRightInd w:val="0"/>
              <w:spacing w:line="180" w:lineRule="atLeast"/>
              <w:jc w:val="center"/>
              <w:rPr>
                <w:rFonts w:hint="default" w:ascii="Times New Roman" w:hAnsi="Times New Roman" w:eastAsia="宋体" w:cs="Times New Roman"/>
                <w:kern w:val="2"/>
                <w:sz w:val="21"/>
                <w:szCs w:val="24"/>
                <w:highlight w:val="none"/>
                <w:lang w:val="en-US" w:eastAsia="zh-CN"/>
              </w:rPr>
            </w:pPr>
            <w:r>
              <w:rPr>
                <w:rFonts w:hint="eastAsia" w:ascii="Times New Roman" w:cs="Times New Roman"/>
                <w:kern w:val="2"/>
                <w:sz w:val="21"/>
                <w:szCs w:val="24"/>
                <w:highlight w:val="none"/>
                <w:lang w:val="en-US" w:eastAsia="zh-CN"/>
              </w:rPr>
              <w:t>CO</w:t>
            </w:r>
          </w:p>
        </w:tc>
        <w:tc>
          <w:tcPr>
            <w:tcW w:w="489"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cs="Times New Roman"/>
                <w:bCs/>
                <w:color w:val="000000" w:themeColor="text1"/>
                <w:kern w:val="2"/>
                <w:sz w:val="21"/>
                <w:szCs w:val="21"/>
                <w:lang w:val="en-US" w:eastAsia="zh-CN"/>
                <w14:textFill>
                  <w14:solidFill>
                    <w14:schemeClr w14:val="tx1"/>
                  </w14:solidFill>
                </w14:textFill>
              </w:rPr>
            </w:pPr>
            <w:r>
              <w:rPr>
                <w:rFonts w:hint="eastAsia" w:ascii="Times New Roman" w:cs="Times New Roman"/>
                <w:bCs/>
                <w:color w:val="000000" w:themeColor="text1"/>
                <w:kern w:val="2"/>
                <w:sz w:val="21"/>
                <w:szCs w:val="21"/>
                <w:lang w:val="en-US" w:eastAsia="zh-CN"/>
                <w14:textFill>
                  <w14:solidFill>
                    <w14:schemeClr w14:val="tx1"/>
                  </w14:solidFill>
                </w14:textFill>
              </w:rPr>
              <w:t>2.02</w:t>
            </w:r>
          </w:p>
        </w:tc>
        <w:tc>
          <w:tcPr>
            <w:tcW w:w="428" w:type="pct"/>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200</w:t>
            </w:r>
          </w:p>
        </w:tc>
        <w:tc>
          <w:tcPr>
            <w:tcW w:w="489"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40" w:lineRule="auto"/>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cs="Times New Roman"/>
                <w:bCs/>
                <w:color w:val="000000" w:themeColor="text1"/>
                <w:kern w:val="2"/>
                <w:sz w:val="21"/>
                <w:szCs w:val="21"/>
                <w:lang w:val="en-US" w:eastAsia="zh-CN"/>
                <w14:textFill>
                  <w14:solidFill>
                    <w14:schemeClr w14:val="tx1"/>
                  </w14:solidFill>
                </w14:textFill>
              </w:rPr>
              <w:t>2.02</w:t>
            </w:r>
          </w:p>
        </w:tc>
        <w:tc>
          <w:tcPr>
            <w:tcW w:w="656" w:type="pct"/>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240" w:lineRule="auto"/>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200</w:t>
            </w:r>
          </w:p>
        </w:tc>
        <w:tc>
          <w:tcPr>
            <w:tcW w:w="502" w:type="pct"/>
            <w:vMerge w:val="continue"/>
            <w:tcBorders>
              <w:left w:val="single" w:color="auto" w:sz="4" w:space="0"/>
              <w:bottom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lang w:bidi="ar"/>
              </w:rPr>
            </w:pPr>
          </w:p>
        </w:tc>
        <w:tc>
          <w:tcPr>
            <w:tcW w:w="398" w:type="pct"/>
            <w:vMerge w:val="continue"/>
            <w:tcBorders>
              <w:left w:val="single" w:color="auto" w:sz="4" w:space="0"/>
              <w:bottom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lang w:bidi="ar"/>
              </w:rPr>
            </w:pPr>
          </w:p>
        </w:tc>
        <w:tc>
          <w:tcPr>
            <w:tcW w:w="599" w:type="pct"/>
            <w:vMerge w:val="continue"/>
            <w:tcBorders>
              <w:left w:val="single" w:color="auto" w:sz="4" w:space="0"/>
              <w:bottom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bCs/>
                <w:color w:val="000000"/>
                <w:kern w:val="2"/>
                <w:sz w:val="21"/>
                <w:szCs w:val="21"/>
                <w:highlight w:val="none"/>
                <w:lang w:bidi="ar"/>
              </w:rPr>
            </w:pPr>
          </w:p>
        </w:tc>
        <w:tc>
          <w:tcPr>
            <w:tcW w:w="863" w:type="pct"/>
            <w:vMerge w:val="continue"/>
            <w:tcBorders>
              <w:left w:val="single" w:color="auto" w:sz="4" w:space="0"/>
              <w:right w:val="single" w:color="auto" w:sz="4" w:space="0"/>
            </w:tcBorders>
            <w:noWrap w:val="0"/>
            <w:vAlign w:val="center"/>
          </w:tcPr>
          <w:p>
            <w:pPr>
              <w:adjustRightInd w:val="0"/>
              <w:spacing w:line="180" w:lineRule="atLeast"/>
              <w:jc w:val="center"/>
              <w:rPr>
                <w:rFonts w:ascii="Times New Roman" w:hAnsi="Times New Roman" w:cs="Times New Roman"/>
                <w:kern w:val="2"/>
                <w:sz w:val="21"/>
                <w:szCs w:val="21"/>
                <w:highlight w:val="none"/>
              </w:rPr>
            </w:pPr>
          </w:p>
        </w:tc>
      </w:tr>
    </w:tbl>
    <w:p>
      <w:pPr>
        <w:widowControl/>
        <w:kinsoku w:val="0"/>
        <w:autoSpaceDE w:val="0"/>
        <w:autoSpaceDN w:val="0"/>
        <w:adjustRightInd w:val="0"/>
        <w:snapToGrid w:val="0"/>
        <w:spacing w:before="182" w:line="460" w:lineRule="exact"/>
        <w:ind w:left="119" w:firstLine="456" w:firstLineChars="200"/>
        <w:textAlignment w:val="baseline"/>
        <w:rPr>
          <w:rFonts w:ascii="Times New Roman" w:hAnsi="Times New Roman" w:eastAsia="Times New Roman" w:cs="Times New Roman"/>
          <w:b/>
          <w:bCs/>
          <w:snapToGrid w:val="0"/>
          <w:color w:val="000000"/>
          <w:spacing w:val="-6"/>
          <w:kern w:val="0"/>
          <w:sz w:val="24"/>
          <w:szCs w:val="24"/>
          <w:lang w:eastAsia="en-US"/>
        </w:rPr>
      </w:pPr>
      <w:r>
        <w:rPr>
          <w:rFonts w:ascii="Times New Roman" w:hAnsi="Times New Roman" w:eastAsia="Times New Roman" w:cs="Times New Roman"/>
          <w:b/>
          <w:bCs/>
          <w:snapToGrid w:val="0"/>
          <w:color w:val="000000"/>
          <w:spacing w:val="-6"/>
          <w:kern w:val="0"/>
          <w:sz w:val="24"/>
          <w:szCs w:val="24"/>
          <w:lang w:eastAsia="en-US"/>
        </w:rPr>
        <w:t>2 、污染源参数</w:t>
      </w:r>
    </w:p>
    <w:p>
      <w:pPr>
        <w:keepNext w:val="0"/>
        <w:keepLines w:val="0"/>
        <w:widowControl w:val="0"/>
        <w:suppressLineNumbers w:val="0"/>
        <w:spacing w:before="0" w:beforeAutospacing="0" w:after="0" w:afterAutospacing="0" w:line="460" w:lineRule="atLeast"/>
        <w:ind w:left="0" w:right="0" w:firstLine="472" w:firstLineChars="200"/>
        <w:jc w:val="both"/>
        <w:rPr>
          <w:rFonts w:hint="default" w:ascii="Times New Roman" w:hAnsi="Times New Roman" w:eastAsia="宋体" w:cs="Times New Roman"/>
          <w:snapToGrid w:val="0"/>
          <w:color w:val="000000"/>
          <w:kern w:val="0"/>
          <w:sz w:val="24"/>
          <w:szCs w:val="24"/>
          <w:lang w:val="en-US" w:eastAsia="en-US" w:bidi="ar"/>
        </w:rPr>
      </w:pPr>
      <w:r>
        <w:rPr>
          <w:rFonts w:hint="default" w:ascii="Times New Roman" w:hAnsi="Times New Roman" w:eastAsia="宋体" w:cs="Times New Roman"/>
          <w:snapToGrid w:val="0"/>
          <w:color w:val="000000"/>
          <w:spacing w:val="-2"/>
          <w:kern w:val="0"/>
          <w:sz w:val="24"/>
          <w:szCs w:val="24"/>
          <w:lang w:val="en-US" w:eastAsia="en-US" w:bidi="ar"/>
        </w:rPr>
        <w:t>项目参数如下表所示：</w:t>
      </w:r>
    </w:p>
    <w:p>
      <w:pPr>
        <w:adjustRightInd w:val="0"/>
        <w:spacing w:line="360" w:lineRule="auto"/>
        <w:jc w:val="center"/>
        <w:rPr>
          <w:rFonts w:hint="default" w:ascii="Times New Roman" w:hAnsi="Times New Roman" w:eastAsia="宋体" w:cs="Times New Roman"/>
          <w:b/>
          <w:color w:val="000000"/>
          <w:kern w:val="2"/>
          <w:sz w:val="21"/>
          <w:szCs w:val="21"/>
          <w:lang w:eastAsia="en-US" w:bidi="ar"/>
        </w:rPr>
      </w:pPr>
      <w:r>
        <w:rPr>
          <w:rFonts w:hint="default" w:ascii="Times New Roman" w:hAnsi="Times New Roman" w:eastAsia="宋体" w:cs="Times New Roman"/>
          <w:b/>
          <w:color w:val="000000"/>
          <w:kern w:val="2"/>
          <w:sz w:val="21"/>
          <w:szCs w:val="21"/>
          <w:lang w:eastAsia="en-US" w:bidi="ar"/>
        </w:rPr>
        <w:t>表2</w:t>
      </w:r>
      <w:r>
        <w:rPr>
          <w:rFonts w:hint="eastAsia" w:ascii="Times New Roman" w:hAnsi="Times New Roman" w:eastAsia="宋体" w:cs="Times New Roman"/>
          <w:b/>
          <w:color w:val="000000"/>
          <w:kern w:val="2"/>
          <w:sz w:val="21"/>
          <w:szCs w:val="21"/>
          <w:lang w:val="en-US" w:eastAsia="zh-CN" w:bidi="ar"/>
        </w:rPr>
        <w:t>-1</w:t>
      </w:r>
      <w:r>
        <w:rPr>
          <w:rFonts w:hint="default" w:ascii="Times New Roman" w:hAnsi="Times New Roman" w:eastAsia="宋体" w:cs="Times New Roman"/>
          <w:b/>
          <w:color w:val="000000"/>
          <w:kern w:val="2"/>
          <w:sz w:val="21"/>
          <w:szCs w:val="21"/>
          <w:lang w:eastAsia="en-US" w:bidi="ar"/>
        </w:rPr>
        <w:t xml:space="preserve"> </w:t>
      </w:r>
      <w:r>
        <w:rPr>
          <w:rFonts w:hint="default" w:ascii="Times New Roman" w:hAnsi="Times New Roman" w:eastAsia="宋体" w:cs="Times New Roman"/>
          <w:b/>
          <w:color w:val="000000"/>
          <w:kern w:val="2"/>
          <w:sz w:val="21"/>
          <w:szCs w:val="21"/>
          <w:lang w:bidi="ar"/>
        </w:rPr>
        <w:t>大气污染源排放参数一览表</w:t>
      </w:r>
      <w:r>
        <w:rPr>
          <w:rFonts w:hint="eastAsia" w:ascii="Times New Roman" w:hAnsi="Times New Roman" w:eastAsia="宋体" w:cs="Times New Roman"/>
          <w:b/>
          <w:color w:val="000000"/>
          <w:kern w:val="2"/>
          <w:sz w:val="21"/>
          <w:szCs w:val="21"/>
          <w:lang w:eastAsia="zh-CN" w:bidi="ar"/>
        </w:rPr>
        <w:t>（</w:t>
      </w:r>
      <w:r>
        <w:rPr>
          <w:rFonts w:hint="eastAsia" w:ascii="Times New Roman" w:hAnsi="Times New Roman" w:eastAsia="宋体" w:cs="Times New Roman"/>
          <w:b/>
          <w:color w:val="000000"/>
          <w:kern w:val="2"/>
          <w:sz w:val="21"/>
          <w:szCs w:val="21"/>
          <w:lang w:val="en-US" w:eastAsia="zh-CN" w:bidi="ar"/>
        </w:rPr>
        <w:t>点</w:t>
      </w:r>
      <w:r>
        <w:rPr>
          <w:rFonts w:hint="default" w:ascii="Times New Roman" w:hAnsi="Times New Roman" w:eastAsia="宋体" w:cs="Times New Roman"/>
          <w:b/>
          <w:color w:val="000000"/>
          <w:kern w:val="2"/>
          <w:sz w:val="21"/>
          <w:szCs w:val="21"/>
          <w:lang w:bidi="ar"/>
        </w:rPr>
        <w:t>源</w:t>
      </w:r>
      <w:r>
        <w:rPr>
          <w:rFonts w:hint="eastAsia" w:ascii="Times New Roman" w:hAnsi="Times New Roman" w:eastAsia="宋体" w:cs="Times New Roman"/>
          <w:b/>
          <w:color w:val="000000"/>
          <w:kern w:val="2"/>
          <w:sz w:val="21"/>
          <w:szCs w:val="21"/>
          <w:lang w:eastAsia="zh-CN" w:bidi="ar"/>
        </w:rPr>
        <w:t>）</w:t>
      </w:r>
    </w:p>
    <w:tbl>
      <w:tblPr>
        <w:tblStyle w:val="38"/>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91"/>
        <w:gridCol w:w="822"/>
        <w:gridCol w:w="839"/>
        <w:gridCol w:w="975"/>
        <w:gridCol w:w="884"/>
        <w:gridCol w:w="869"/>
        <w:gridCol w:w="852"/>
        <w:gridCol w:w="625"/>
        <w:gridCol w:w="11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70" w:hRule="atLeast"/>
          <w:jc w:val="center"/>
        </w:trPr>
        <w:tc>
          <w:tcPr>
            <w:tcW w:w="777" w:type="pct"/>
            <w:noWrap w:val="0"/>
            <w:vAlign w:val="center"/>
          </w:tcPr>
          <w:p>
            <w:pPr>
              <w:adjustRightInd w:val="0"/>
              <w:spacing w:line="180" w:lineRule="atLeast"/>
              <w:jc w:val="center"/>
              <w:rPr>
                <w:rFonts w:ascii="Times New Roman" w:hAnsi="Times New Roman" w:cs="Times New Roman"/>
                <w:bCs/>
                <w:color w:val="000000"/>
                <w:kern w:val="2"/>
                <w:sz w:val="21"/>
                <w:szCs w:val="21"/>
                <w:lang w:eastAsia="en-US" w:bidi="ar"/>
              </w:rPr>
            </w:pPr>
            <w:r>
              <w:rPr>
                <w:rFonts w:ascii="Times New Roman" w:hAnsi="Times New Roman" w:cs="Times New Roman"/>
                <w:bCs/>
                <w:color w:val="000000"/>
                <w:kern w:val="2"/>
                <w:sz w:val="21"/>
                <w:szCs w:val="21"/>
                <w:lang w:eastAsia="en-US" w:bidi="ar"/>
              </w:rPr>
              <w:t>名称</w:t>
            </w:r>
          </w:p>
        </w:tc>
        <w:tc>
          <w:tcPr>
            <w:tcW w:w="495" w:type="pct"/>
            <w:noWrap w:val="0"/>
            <w:vAlign w:val="center"/>
          </w:tcPr>
          <w:p>
            <w:pPr>
              <w:adjustRightInd w:val="0"/>
              <w:spacing w:line="180" w:lineRule="atLeast"/>
              <w:jc w:val="center"/>
              <w:rPr>
                <w:rFonts w:ascii="Times New Roman" w:hAnsi="Times New Roman" w:cs="Times New Roman"/>
                <w:bCs/>
                <w:color w:val="000000"/>
                <w:kern w:val="2"/>
                <w:sz w:val="21"/>
                <w:szCs w:val="21"/>
                <w:lang w:bidi="ar"/>
              </w:rPr>
            </w:pPr>
            <w:r>
              <w:rPr>
                <w:rFonts w:hint="eastAsia" w:ascii="Times New Roman" w:hAnsi="Times New Roman" w:cs="Times New Roman"/>
                <w:bCs/>
                <w:color w:val="000000"/>
                <w:kern w:val="2"/>
                <w:sz w:val="21"/>
                <w:szCs w:val="21"/>
                <w:lang w:bidi="ar"/>
              </w:rPr>
              <w:t>除尘器风量</w:t>
            </w:r>
            <w:r>
              <w:rPr>
                <w:rFonts w:ascii="Times New Roman" w:hAnsi="Times New Roman" w:cs="Times New Roman"/>
                <w:bCs/>
                <w:color w:val="000000"/>
                <w:kern w:val="2"/>
                <w:sz w:val="21"/>
                <w:szCs w:val="21"/>
                <w:lang w:eastAsia="en-US" w:bidi="ar"/>
              </w:rPr>
              <w:t>（m</w:t>
            </w:r>
            <w:r>
              <w:rPr>
                <w:rFonts w:hint="eastAsia" w:ascii="Times New Roman" w:hAnsi="Times New Roman" w:cs="Times New Roman"/>
                <w:bCs/>
                <w:color w:val="000000"/>
                <w:kern w:val="2"/>
                <w:sz w:val="21"/>
                <w:szCs w:val="21"/>
                <w:vertAlign w:val="superscript"/>
                <w:lang w:bidi="ar"/>
              </w:rPr>
              <w:t>3</w:t>
            </w:r>
            <w:r>
              <w:rPr>
                <w:rFonts w:ascii="Times New Roman" w:hAnsi="Times New Roman" w:cs="Times New Roman"/>
                <w:bCs/>
                <w:color w:val="000000"/>
                <w:kern w:val="2"/>
                <w:sz w:val="21"/>
                <w:szCs w:val="21"/>
                <w:lang w:eastAsia="en-US" w:bidi="ar"/>
              </w:rPr>
              <w:t>/</w:t>
            </w:r>
            <w:r>
              <w:rPr>
                <w:rFonts w:hint="eastAsia" w:ascii="Times New Roman" w:hAnsi="Times New Roman" w:cs="Times New Roman"/>
                <w:bCs/>
                <w:color w:val="000000"/>
                <w:kern w:val="2"/>
                <w:sz w:val="21"/>
                <w:szCs w:val="21"/>
                <w:lang w:bidi="ar"/>
              </w:rPr>
              <w:t>h</w:t>
            </w:r>
            <w:r>
              <w:rPr>
                <w:rFonts w:ascii="Times New Roman" w:hAnsi="Times New Roman" w:cs="Times New Roman"/>
                <w:bCs/>
                <w:color w:val="000000"/>
                <w:kern w:val="2"/>
                <w:sz w:val="21"/>
                <w:szCs w:val="21"/>
                <w:lang w:eastAsia="en-US" w:bidi="ar"/>
              </w:rPr>
              <w:t>）</w:t>
            </w:r>
          </w:p>
        </w:tc>
        <w:tc>
          <w:tcPr>
            <w:tcW w:w="505" w:type="pct"/>
            <w:noWrap w:val="0"/>
            <w:vAlign w:val="center"/>
          </w:tcPr>
          <w:p>
            <w:pPr>
              <w:adjustRightInd w:val="0"/>
              <w:spacing w:line="180" w:lineRule="atLeast"/>
              <w:jc w:val="center"/>
              <w:rPr>
                <w:rFonts w:ascii="Times New Roman" w:hAnsi="Times New Roman" w:cs="Times New Roman"/>
                <w:bCs/>
                <w:color w:val="000000"/>
                <w:kern w:val="2"/>
                <w:sz w:val="21"/>
                <w:szCs w:val="21"/>
                <w:lang w:eastAsia="en-US" w:bidi="ar"/>
              </w:rPr>
            </w:pPr>
            <w:r>
              <w:rPr>
                <w:rFonts w:ascii="Times New Roman" w:hAnsi="Times New Roman" w:cs="Times New Roman"/>
                <w:bCs/>
                <w:color w:val="000000"/>
                <w:kern w:val="2"/>
                <w:sz w:val="21"/>
                <w:szCs w:val="21"/>
                <w:lang w:eastAsia="en-US" w:bidi="ar"/>
              </w:rPr>
              <w:t>排气筒高度/m</w:t>
            </w:r>
          </w:p>
        </w:tc>
        <w:tc>
          <w:tcPr>
            <w:tcW w:w="587" w:type="pct"/>
            <w:noWrap w:val="0"/>
            <w:vAlign w:val="center"/>
          </w:tcPr>
          <w:p>
            <w:pPr>
              <w:adjustRightInd w:val="0"/>
              <w:spacing w:line="180" w:lineRule="atLeast"/>
              <w:jc w:val="center"/>
              <w:rPr>
                <w:rFonts w:ascii="Times New Roman" w:hAnsi="Times New Roman" w:cs="Times New Roman"/>
                <w:bCs/>
                <w:color w:val="000000"/>
                <w:kern w:val="2"/>
                <w:sz w:val="21"/>
                <w:szCs w:val="21"/>
                <w:lang w:eastAsia="en-US" w:bidi="ar"/>
              </w:rPr>
            </w:pPr>
            <w:r>
              <w:rPr>
                <w:rFonts w:ascii="Times New Roman" w:hAnsi="Times New Roman" w:cs="Times New Roman"/>
                <w:bCs/>
                <w:color w:val="000000"/>
                <w:kern w:val="2"/>
                <w:sz w:val="21"/>
                <w:szCs w:val="21"/>
                <w:lang w:eastAsia="en-US" w:bidi="ar"/>
              </w:rPr>
              <w:t>排气筒出口内径/m</w:t>
            </w:r>
          </w:p>
        </w:tc>
        <w:tc>
          <w:tcPr>
            <w:tcW w:w="532" w:type="pct"/>
            <w:noWrap w:val="0"/>
            <w:vAlign w:val="center"/>
          </w:tcPr>
          <w:p>
            <w:pPr>
              <w:adjustRightInd w:val="0"/>
              <w:spacing w:line="180" w:lineRule="atLeast"/>
              <w:jc w:val="center"/>
              <w:rPr>
                <w:rFonts w:ascii="Times New Roman" w:hAnsi="Times New Roman" w:cs="Times New Roman"/>
                <w:bCs/>
                <w:color w:val="000000"/>
                <w:kern w:val="2"/>
                <w:sz w:val="21"/>
                <w:szCs w:val="21"/>
                <w:lang w:eastAsia="en-US" w:bidi="ar"/>
              </w:rPr>
            </w:pPr>
            <w:r>
              <w:rPr>
                <w:rFonts w:ascii="Times New Roman" w:hAnsi="Times New Roman" w:cs="Times New Roman"/>
                <w:bCs/>
                <w:color w:val="000000"/>
                <w:kern w:val="2"/>
                <w:sz w:val="21"/>
                <w:szCs w:val="21"/>
                <w:lang w:eastAsia="en-US" w:bidi="ar"/>
              </w:rPr>
              <w:t>烟气流速/（m/s）</w:t>
            </w:r>
          </w:p>
        </w:tc>
        <w:tc>
          <w:tcPr>
            <w:tcW w:w="523" w:type="pct"/>
            <w:noWrap w:val="0"/>
            <w:vAlign w:val="center"/>
          </w:tcPr>
          <w:p>
            <w:pPr>
              <w:adjustRightInd w:val="0"/>
              <w:spacing w:line="180" w:lineRule="atLeast"/>
              <w:jc w:val="center"/>
              <w:rPr>
                <w:rFonts w:ascii="Times New Roman" w:hAnsi="Times New Roman" w:cs="Times New Roman"/>
                <w:bCs/>
                <w:color w:val="000000"/>
                <w:kern w:val="2"/>
                <w:sz w:val="21"/>
                <w:szCs w:val="21"/>
                <w:lang w:eastAsia="en-US" w:bidi="ar"/>
              </w:rPr>
            </w:pPr>
            <w:r>
              <w:rPr>
                <w:rFonts w:ascii="Times New Roman" w:hAnsi="Times New Roman" w:cs="Times New Roman"/>
                <w:bCs/>
                <w:color w:val="000000"/>
                <w:kern w:val="2"/>
                <w:sz w:val="21"/>
                <w:szCs w:val="21"/>
                <w:lang w:eastAsia="en-US" w:bidi="ar"/>
              </w:rPr>
              <w:t>烟气温度℃</w:t>
            </w:r>
          </w:p>
        </w:tc>
        <w:tc>
          <w:tcPr>
            <w:tcW w:w="513" w:type="pct"/>
            <w:noWrap w:val="0"/>
            <w:vAlign w:val="center"/>
          </w:tcPr>
          <w:p>
            <w:pPr>
              <w:adjustRightInd w:val="0"/>
              <w:spacing w:line="180" w:lineRule="atLeast"/>
              <w:jc w:val="center"/>
              <w:rPr>
                <w:rFonts w:ascii="Times New Roman" w:hAnsi="Times New Roman" w:cs="Times New Roman"/>
                <w:bCs/>
                <w:color w:val="000000"/>
                <w:kern w:val="2"/>
                <w:sz w:val="21"/>
                <w:szCs w:val="21"/>
                <w:lang w:eastAsia="en-US" w:bidi="ar"/>
              </w:rPr>
            </w:pPr>
            <w:r>
              <w:rPr>
                <w:rFonts w:ascii="Times New Roman" w:hAnsi="Times New Roman" w:cs="Times New Roman"/>
                <w:bCs/>
                <w:color w:val="000000"/>
                <w:kern w:val="2"/>
                <w:sz w:val="21"/>
                <w:szCs w:val="21"/>
                <w:lang w:eastAsia="en-US" w:bidi="ar"/>
              </w:rPr>
              <w:t>年排放小时数/h</w:t>
            </w:r>
          </w:p>
        </w:tc>
        <w:tc>
          <w:tcPr>
            <w:tcW w:w="376" w:type="pct"/>
            <w:noWrap w:val="0"/>
            <w:vAlign w:val="center"/>
          </w:tcPr>
          <w:p>
            <w:pPr>
              <w:adjustRightInd w:val="0"/>
              <w:spacing w:line="180" w:lineRule="atLeast"/>
              <w:jc w:val="center"/>
              <w:rPr>
                <w:rFonts w:ascii="Times New Roman" w:hAnsi="Times New Roman" w:cs="Times New Roman"/>
                <w:bCs/>
                <w:color w:val="000000"/>
                <w:kern w:val="2"/>
                <w:sz w:val="21"/>
                <w:szCs w:val="21"/>
                <w:lang w:eastAsia="en-US" w:bidi="ar"/>
              </w:rPr>
            </w:pPr>
            <w:r>
              <w:rPr>
                <w:rFonts w:ascii="Times New Roman" w:hAnsi="Times New Roman" w:cs="Times New Roman"/>
                <w:bCs/>
                <w:color w:val="000000"/>
                <w:kern w:val="2"/>
                <w:sz w:val="21"/>
                <w:szCs w:val="21"/>
                <w:lang w:eastAsia="en-US" w:bidi="ar"/>
              </w:rPr>
              <w:t>排放工况</w:t>
            </w:r>
          </w:p>
        </w:tc>
        <w:tc>
          <w:tcPr>
            <w:tcW w:w="688" w:type="pct"/>
            <w:noWrap w:val="0"/>
            <w:vAlign w:val="center"/>
          </w:tcPr>
          <w:p>
            <w:pPr>
              <w:adjustRightInd w:val="0"/>
              <w:spacing w:line="180" w:lineRule="atLeast"/>
              <w:jc w:val="center"/>
              <w:rPr>
                <w:rFonts w:ascii="Times New Roman" w:hAnsi="Times New Roman" w:cs="Times New Roman"/>
                <w:bCs/>
                <w:color w:val="000000"/>
                <w:kern w:val="2"/>
                <w:sz w:val="21"/>
                <w:szCs w:val="21"/>
                <w:lang w:eastAsia="en-US" w:bidi="ar"/>
              </w:rPr>
            </w:pPr>
            <w:r>
              <w:rPr>
                <w:rFonts w:ascii="Times New Roman" w:hAnsi="Times New Roman" w:cs="Times New Roman"/>
                <w:bCs/>
                <w:color w:val="000000"/>
                <w:kern w:val="2"/>
                <w:sz w:val="21"/>
                <w:szCs w:val="21"/>
                <w:lang w:eastAsia="en-US" w:bidi="ar"/>
              </w:rPr>
              <w:t>污染物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777" w:type="pct"/>
            <w:noWrap w:val="0"/>
            <w:vAlign w:val="center"/>
          </w:tcPr>
          <w:p>
            <w:pPr>
              <w:adjustRightInd w:val="0"/>
              <w:spacing w:line="180" w:lineRule="atLeast"/>
              <w:jc w:val="center"/>
              <w:rPr>
                <w:rFonts w:ascii="Times New Roman" w:hAnsi="Times New Roman" w:cs="Times New Roman"/>
                <w:bCs/>
                <w:color w:val="000000"/>
                <w:kern w:val="2"/>
                <w:sz w:val="21"/>
                <w:szCs w:val="21"/>
                <w:lang w:bidi="ar"/>
              </w:rPr>
            </w:pPr>
            <w:r>
              <w:rPr>
                <w:rFonts w:hint="eastAsia" w:ascii="Times New Roman" w:hAnsi="Times New Roman" w:cs="Times New Roman"/>
                <w:bCs/>
                <w:color w:val="000000"/>
                <w:kern w:val="2"/>
                <w:sz w:val="21"/>
                <w:szCs w:val="21"/>
                <w:lang w:eastAsia="zh-CN" w:bidi="ar"/>
              </w:rPr>
              <w:t>DA001</w:t>
            </w:r>
            <w:r>
              <w:rPr>
                <w:rFonts w:hint="eastAsia" w:ascii="Times New Roman" w:hAnsi="Times New Roman" w:cs="Times New Roman"/>
                <w:bCs/>
                <w:color w:val="000000"/>
                <w:kern w:val="2"/>
                <w:sz w:val="21"/>
                <w:szCs w:val="21"/>
                <w:lang w:bidi="ar"/>
              </w:rPr>
              <w:t>（</w:t>
            </w:r>
            <w:r>
              <w:rPr>
                <w:rFonts w:hint="eastAsia" w:ascii="Times New Roman" w:hAnsi="Times New Roman" w:cs="Times New Roman"/>
                <w:bCs/>
                <w:kern w:val="2"/>
                <w:sz w:val="21"/>
                <w:szCs w:val="21"/>
                <w:lang w:eastAsia="zh-CN" w:bidi="ar"/>
              </w:rPr>
              <w:t>生物质锅炉废气</w:t>
            </w:r>
            <w:r>
              <w:rPr>
                <w:rFonts w:hint="eastAsia" w:ascii="Times New Roman" w:hAnsi="Times New Roman" w:cs="Times New Roman"/>
                <w:bCs/>
                <w:color w:val="000000"/>
                <w:kern w:val="2"/>
                <w:sz w:val="21"/>
                <w:szCs w:val="21"/>
                <w:lang w:bidi="ar"/>
              </w:rPr>
              <w:t>）</w:t>
            </w:r>
          </w:p>
        </w:tc>
        <w:tc>
          <w:tcPr>
            <w:tcW w:w="495" w:type="pct"/>
            <w:noWrap w:val="0"/>
            <w:vAlign w:val="center"/>
          </w:tcPr>
          <w:p>
            <w:pPr>
              <w:widowControl/>
              <w:jc w:val="center"/>
              <w:textAlignment w:val="center"/>
              <w:rPr>
                <w:rFonts w:ascii="Times New Roman" w:hAnsi="Times New Roman" w:cs="Times New Roman"/>
                <w:bCs/>
                <w:color w:val="000000"/>
                <w:kern w:val="2"/>
                <w:sz w:val="21"/>
                <w:szCs w:val="21"/>
                <w:lang w:eastAsia="en-US" w:bidi="ar"/>
              </w:rPr>
            </w:pPr>
            <w:r>
              <w:rPr>
                <w:rFonts w:hint="eastAsia" w:ascii="Times New Roman" w:hAnsi="Times New Roman" w:cs="Times New Roman"/>
                <w:color w:val="000000"/>
                <w:kern w:val="0"/>
                <w:sz w:val="21"/>
                <w:szCs w:val="21"/>
                <w:lang w:val="en-US" w:eastAsia="zh-CN" w:bidi="ar"/>
              </w:rPr>
              <w:t>50</w:t>
            </w:r>
            <w:r>
              <w:rPr>
                <w:rFonts w:ascii="Times New Roman" w:hAnsi="Times New Roman" w:cs="Times New Roman"/>
                <w:color w:val="000000"/>
                <w:kern w:val="0"/>
                <w:sz w:val="21"/>
                <w:szCs w:val="21"/>
                <w:lang w:bidi="ar"/>
              </w:rPr>
              <w:t>00</w:t>
            </w:r>
          </w:p>
        </w:tc>
        <w:tc>
          <w:tcPr>
            <w:tcW w:w="505" w:type="pct"/>
            <w:noWrap w:val="0"/>
            <w:vAlign w:val="center"/>
          </w:tcPr>
          <w:p>
            <w:pPr>
              <w:adjustRightInd w:val="0"/>
              <w:spacing w:line="180" w:lineRule="atLeast"/>
              <w:jc w:val="center"/>
              <w:rPr>
                <w:rFonts w:hint="default" w:ascii="Times New Roman" w:hAnsi="Times New Roman" w:eastAsia="宋体" w:cs="Times New Roman"/>
                <w:bCs/>
                <w:color w:val="000000"/>
                <w:kern w:val="2"/>
                <w:sz w:val="21"/>
                <w:szCs w:val="21"/>
                <w:lang w:val="en-US" w:eastAsia="zh-CN" w:bidi="ar"/>
              </w:rPr>
            </w:pPr>
            <w:r>
              <w:rPr>
                <w:rFonts w:hint="eastAsia" w:ascii="Times New Roman" w:hAnsi="Times New Roman" w:cs="Times New Roman"/>
                <w:bCs/>
                <w:color w:val="000000"/>
                <w:kern w:val="2"/>
                <w:sz w:val="21"/>
                <w:szCs w:val="21"/>
                <w:lang w:val="en-US" w:eastAsia="zh-CN" w:bidi="ar"/>
              </w:rPr>
              <w:t>30</w:t>
            </w:r>
          </w:p>
        </w:tc>
        <w:tc>
          <w:tcPr>
            <w:tcW w:w="587" w:type="pct"/>
            <w:noWrap w:val="0"/>
            <w:vAlign w:val="center"/>
          </w:tcPr>
          <w:p>
            <w:pPr>
              <w:adjustRightInd w:val="0"/>
              <w:spacing w:line="180" w:lineRule="atLeast"/>
              <w:jc w:val="center"/>
              <w:rPr>
                <w:rFonts w:hint="default" w:ascii="Times New Roman" w:hAnsi="Times New Roman" w:eastAsia="宋体" w:cs="Times New Roman"/>
                <w:bCs/>
                <w:color w:val="000000"/>
                <w:kern w:val="2"/>
                <w:sz w:val="21"/>
                <w:szCs w:val="21"/>
                <w:lang w:val="en-US" w:eastAsia="zh-CN" w:bidi="ar"/>
              </w:rPr>
            </w:pPr>
            <w:r>
              <w:rPr>
                <w:rFonts w:hint="eastAsia" w:ascii="Times New Roman" w:hAnsi="Times New Roman" w:cs="Times New Roman"/>
                <w:bCs/>
                <w:color w:val="000000"/>
                <w:kern w:val="2"/>
                <w:sz w:val="21"/>
                <w:szCs w:val="21"/>
                <w:lang w:bidi="ar"/>
              </w:rPr>
              <w:t>0.</w:t>
            </w:r>
            <w:r>
              <w:rPr>
                <w:rFonts w:hint="eastAsia" w:ascii="Times New Roman" w:hAnsi="Times New Roman" w:cs="Times New Roman"/>
                <w:bCs/>
                <w:color w:val="000000"/>
                <w:kern w:val="2"/>
                <w:sz w:val="21"/>
                <w:szCs w:val="21"/>
                <w:lang w:val="en-US" w:eastAsia="zh-CN" w:bidi="ar"/>
              </w:rPr>
              <w:t>35</w:t>
            </w:r>
          </w:p>
        </w:tc>
        <w:tc>
          <w:tcPr>
            <w:tcW w:w="532" w:type="pct"/>
            <w:noWrap w:val="0"/>
            <w:vAlign w:val="center"/>
          </w:tcPr>
          <w:p>
            <w:pPr>
              <w:adjustRightInd w:val="0"/>
              <w:spacing w:line="180" w:lineRule="atLeast"/>
              <w:jc w:val="center"/>
              <w:rPr>
                <w:rFonts w:hint="eastAsia" w:ascii="Times New Roman" w:hAnsi="Times New Roman" w:eastAsia="宋体" w:cs="Times New Roman"/>
                <w:bCs/>
                <w:color w:val="000000"/>
                <w:kern w:val="2"/>
                <w:sz w:val="21"/>
                <w:szCs w:val="21"/>
                <w:lang w:eastAsia="en-US" w:bidi="ar"/>
              </w:rPr>
            </w:pPr>
            <w:r>
              <w:rPr>
                <w:rFonts w:hint="default" w:ascii="Times New Roman" w:hAnsi="Times New Roman" w:eastAsia="宋体" w:cs="Times New Roman"/>
                <w:bCs/>
                <w:color w:val="000000"/>
                <w:kern w:val="2"/>
                <w:sz w:val="21"/>
                <w:szCs w:val="21"/>
                <w:lang w:val="en-US" w:eastAsia="zh-CN" w:bidi="ar"/>
              </w:rPr>
              <w:t>14.</w:t>
            </w:r>
            <w:r>
              <w:rPr>
                <w:rFonts w:hint="eastAsia" w:ascii="Times New Roman" w:hAnsi="Times New Roman" w:cs="Times New Roman"/>
                <w:bCs/>
                <w:color w:val="000000"/>
                <w:kern w:val="2"/>
                <w:sz w:val="21"/>
                <w:szCs w:val="21"/>
                <w:lang w:val="en-US" w:eastAsia="zh-CN" w:bidi="ar"/>
              </w:rPr>
              <w:t>44</w:t>
            </w:r>
            <w:r>
              <w:rPr>
                <w:rFonts w:hint="default" w:ascii="Times New Roman" w:hAnsi="Times New Roman" w:eastAsia="宋体" w:cs="Times New Roman"/>
                <w:bCs/>
                <w:color w:val="000000"/>
                <w:kern w:val="2"/>
                <w:sz w:val="21"/>
                <w:szCs w:val="21"/>
                <w:lang w:val="en-US" w:eastAsia="zh-CN" w:bidi="ar"/>
              </w:rPr>
              <w:t xml:space="preserve"> </w:t>
            </w:r>
          </w:p>
        </w:tc>
        <w:tc>
          <w:tcPr>
            <w:tcW w:w="523" w:type="pct"/>
            <w:noWrap w:val="0"/>
            <w:vAlign w:val="center"/>
          </w:tcPr>
          <w:p>
            <w:pPr>
              <w:adjustRightInd w:val="0"/>
              <w:spacing w:line="180" w:lineRule="atLeast"/>
              <w:jc w:val="center"/>
              <w:rPr>
                <w:rFonts w:hint="default" w:ascii="Times New Roman" w:hAnsi="Times New Roman" w:eastAsia="宋体" w:cs="Times New Roman"/>
                <w:bCs/>
                <w:color w:val="000000"/>
                <w:kern w:val="2"/>
                <w:sz w:val="21"/>
                <w:szCs w:val="21"/>
                <w:lang w:val="en-US" w:eastAsia="zh-CN" w:bidi="ar"/>
              </w:rPr>
            </w:pPr>
            <w:r>
              <w:rPr>
                <w:rFonts w:hint="eastAsia" w:ascii="Times New Roman" w:hAnsi="Times New Roman" w:cs="Times New Roman"/>
                <w:bCs/>
                <w:color w:val="000000"/>
                <w:kern w:val="2"/>
                <w:sz w:val="21"/>
                <w:szCs w:val="21"/>
                <w:lang w:val="en-US" w:eastAsia="zh-CN" w:bidi="ar"/>
              </w:rPr>
              <w:t>120</w:t>
            </w:r>
          </w:p>
        </w:tc>
        <w:tc>
          <w:tcPr>
            <w:tcW w:w="513" w:type="pct"/>
            <w:noWrap w:val="0"/>
            <w:vAlign w:val="center"/>
          </w:tcPr>
          <w:p>
            <w:pPr>
              <w:widowControl/>
              <w:jc w:val="center"/>
              <w:textAlignment w:val="center"/>
              <w:rPr>
                <w:rFonts w:hint="default" w:ascii="Times New Roman" w:hAnsi="Times New Roman" w:cs="Times New Roman"/>
                <w:bCs/>
                <w:color w:val="000000"/>
                <w:kern w:val="2"/>
                <w:sz w:val="21"/>
                <w:szCs w:val="21"/>
                <w:lang w:val="en-US" w:eastAsia="en-US" w:bidi="ar"/>
              </w:rPr>
            </w:pPr>
            <w:r>
              <w:rPr>
                <w:rFonts w:hint="eastAsia" w:ascii="Times New Roman" w:hAnsi="Times New Roman" w:cs="Times New Roman"/>
                <w:color w:val="000000"/>
                <w:kern w:val="0"/>
                <w:sz w:val="21"/>
                <w:szCs w:val="21"/>
                <w:lang w:val="en-US" w:eastAsia="zh-CN" w:bidi="ar"/>
              </w:rPr>
              <w:t>2880</w:t>
            </w:r>
          </w:p>
        </w:tc>
        <w:tc>
          <w:tcPr>
            <w:tcW w:w="376" w:type="pct"/>
            <w:noWrap w:val="0"/>
            <w:vAlign w:val="center"/>
          </w:tcPr>
          <w:p>
            <w:pPr>
              <w:adjustRightInd w:val="0"/>
              <w:spacing w:line="180" w:lineRule="atLeast"/>
              <w:jc w:val="center"/>
              <w:rPr>
                <w:rFonts w:ascii="Times New Roman" w:hAnsi="Times New Roman" w:cs="Times New Roman"/>
                <w:bCs/>
                <w:color w:val="000000"/>
                <w:kern w:val="2"/>
                <w:sz w:val="21"/>
                <w:szCs w:val="21"/>
                <w:lang w:eastAsia="en-US" w:bidi="ar"/>
              </w:rPr>
            </w:pPr>
            <w:r>
              <w:rPr>
                <w:rFonts w:ascii="Times New Roman" w:hAnsi="Times New Roman" w:cs="Times New Roman"/>
                <w:bCs/>
                <w:color w:val="000000"/>
                <w:kern w:val="2"/>
                <w:sz w:val="21"/>
                <w:szCs w:val="21"/>
                <w:lang w:eastAsia="en-US" w:bidi="ar"/>
              </w:rPr>
              <w:t>正常</w:t>
            </w:r>
          </w:p>
        </w:tc>
        <w:tc>
          <w:tcPr>
            <w:tcW w:w="688" w:type="pct"/>
            <w:noWrap w:val="0"/>
            <w:vAlign w:val="center"/>
          </w:tcPr>
          <w:p>
            <w:pPr>
              <w:adjustRightInd w:val="0"/>
              <w:spacing w:line="180" w:lineRule="atLeast"/>
              <w:jc w:val="center"/>
              <w:rPr>
                <w:rFonts w:hint="default" w:ascii="Times New Roman" w:hAnsi="Times New Roman" w:eastAsia="宋体" w:cs="Times New Roman"/>
                <w:bCs/>
                <w:color w:val="000000"/>
                <w:kern w:val="2"/>
                <w:sz w:val="21"/>
                <w:szCs w:val="21"/>
                <w:lang w:val="en-US" w:eastAsia="zh-CN" w:bidi="ar"/>
              </w:rPr>
            </w:pPr>
            <w:r>
              <w:rPr>
                <w:rFonts w:hint="eastAsia" w:ascii="Times New Roman" w:hAnsi="Times New Roman" w:cs="Times New Roman"/>
                <w:bCs/>
                <w:color w:val="000000"/>
                <w:kern w:val="2"/>
                <w:sz w:val="21"/>
                <w:szCs w:val="21"/>
                <w:lang w:bidi="ar"/>
              </w:rPr>
              <w:t>颗粒物、SO</w:t>
            </w:r>
            <w:r>
              <w:rPr>
                <w:rFonts w:hint="eastAsia" w:ascii="Times New Roman" w:hAnsi="Times New Roman" w:cs="Times New Roman"/>
                <w:bCs/>
                <w:color w:val="000000"/>
                <w:kern w:val="2"/>
                <w:sz w:val="21"/>
                <w:szCs w:val="21"/>
                <w:vertAlign w:val="subscript"/>
                <w:lang w:bidi="ar"/>
              </w:rPr>
              <w:t>2</w:t>
            </w:r>
            <w:r>
              <w:rPr>
                <w:rFonts w:hint="eastAsia" w:ascii="Times New Roman" w:hAnsi="Times New Roman" w:cs="Times New Roman"/>
                <w:bCs/>
                <w:color w:val="000000"/>
                <w:kern w:val="2"/>
                <w:sz w:val="21"/>
                <w:szCs w:val="21"/>
                <w:lang w:bidi="ar"/>
              </w:rPr>
              <w:t>、NO</w:t>
            </w:r>
            <w:r>
              <w:rPr>
                <w:rFonts w:hint="eastAsia" w:ascii="Times New Roman" w:hAnsi="Times New Roman" w:cs="Times New Roman"/>
                <w:bCs/>
                <w:color w:val="000000"/>
                <w:kern w:val="2"/>
                <w:sz w:val="21"/>
                <w:szCs w:val="21"/>
                <w:vertAlign w:val="subscript"/>
                <w:lang w:bidi="ar"/>
              </w:rPr>
              <w:t>x</w:t>
            </w:r>
            <w:r>
              <w:rPr>
                <w:rFonts w:hint="eastAsia" w:ascii="Times New Roman" w:hAnsi="Times New Roman" w:cs="Times New Roman"/>
                <w:bCs/>
                <w:color w:val="000000"/>
                <w:kern w:val="2"/>
                <w:sz w:val="21"/>
                <w:szCs w:val="21"/>
                <w:vertAlign w:val="baseline"/>
                <w:lang w:eastAsia="zh-CN" w:bidi="ar"/>
              </w:rPr>
              <w:t>、</w:t>
            </w:r>
            <w:r>
              <w:rPr>
                <w:rFonts w:hint="eastAsia" w:ascii="Times New Roman" w:hAnsi="Times New Roman" w:cs="Times New Roman"/>
                <w:bCs/>
                <w:color w:val="000000"/>
                <w:kern w:val="2"/>
                <w:sz w:val="21"/>
                <w:szCs w:val="21"/>
                <w:vertAlign w:val="baseline"/>
                <w:lang w:val="en-US" w:eastAsia="zh-CN" w:bidi="ar"/>
              </w:rPr>
              <w:t>汞及其化合物</w:t>
            </w:r>
            <w:r>
              <w:rPr>
                <w:rFonts w:hint="eastAsia" w:ascii="Times New Roman" w:cs="Times New Roman"/>
                <w:bCs/>
                <w:color w:val="000000"/>
                <w:kern w:val="2"/>
                <w:sz w:val="21"/>
                <w:szCs w:val="21"/>
                <w:vertAlign w:val="baseline"/>
                <w:lang w:val="en-US" w:eastAsia="zh-CN" w:bidi="ar"/>
              </w:rPr>
              <w:t>、CO</w:t>
            </w:r>
          </w:p>
        </w:tc>
      </w:tr>
    </w:tbl>
    <w:p>
      <w:pPr>
        <w:adjustRightInd w:val="0"/>
        <w:spacing w:line="360" w:lineRule="auto"/>
        <w:jc w:val="center"/>
        <w:rPr>
          <w:rFonts w:hint="default" w:ascii="Times New Roman" w:hAnsi="Times New Roman" w:eastAsia="宋体" w:cs="Times New Roman"/>
          <w:b/>
          <w:color w:val="000000"/>
          <w:kern w:val="2"/>
          <w:sz w:val="21"/>
          <w:szCs w:val="21"/>
          <w:lang w:bidi="ar"/>
        </w:rPr>
      </w:pPr>
      <w:r>
        <w:rPr>
          <w:rFonts w:hint="default" w:ascii="Times New Roman" w:hAnsi="Times New Roman" w:eastAsia="宋体" w:cs="Times New Roman"/>
          <w:b/>
          <w:color w:val="000000"/>
          <w:kern w:val="2"/>
          <w:sz w:val="21"/>
          <w:szCs w:val="21"/>
          <w:lang w:bidi="ar"/>
        </w:rPr>
        <w:t>表</w:t>
      </w:r>
      <w:r>
        <w:rPr>
          <w:rFonts w:hint="eastAsia" w:ascii="Times New Roman" w:hAnsi="Times New Roman" w:eastAsia="宋体" w:cs="Times New Roman"/>
          <w:b/>
          <w:color w:val="000000"/>
          <w:kern w:val="2"/>
          <w:sz w:val="21"/>
          <w:szCs w:val="21"/>
          <w:lang w:val="en-US" w:eastAsia="zh-CN" w:bidi="ar"/>
        </w:rPr>
        <w:t xml:space="preserve">2-2  </w:t>
      </w:r>
      <w:r>
        <w:rPr>
          <w:rFonts w:hint="default" w:ascii="Times New Roman" w:hAnsi="Times New Roman" w:eastAsia="宋体" w:cs="Times New Roman"/>
          <w:b/>
          <w:color w:val="000000"/>
          <w:kern w:val="2"/>
          <w:sz w:val="21"/>
          <w:szCs w:val="21"/>
          <w:lang w:bidi="ar"/>
        </w:rPr>
        <w:t>大气污染源排放参数一览表</w:t>
      </w:r>
      <w:r>
        <w:rPr>
          <w:rFonts w:hint="eastAsia" w:ascii="Times New Roman" w:hAnsi="Times New Roman" w:eastAsia="宋体" w:cs="Times New Roman"/>
          <w:b/>
          <w:color w:val="000000"/>
          <w:kern w:val="2"/>
          <w:sz w:val="21"/>
          <w:szCs w:val="21"/>
          <w:lang w:eastAsia="zh-CN" w:bidi="ar"/>
        </w:rPr>
        <w:t>（</w:t>
      </w:r>
      <w:r>
        <w:rPr>
          <w:rFonts w:hint="default" w:ascii="Times New Roman" w:hAnsi="Times New Roman" w:eastAsia="宋体" w:cs="Times New Roman"/>
          <w:b/>
          <w:color w:val="000000"/>
          <w:kern w:val="2"/>
          <w:sz w:val="21"/>
          <w:szCs w:val="21"/>
          <w:lang w:bidi="ar"/>
        </w:rPr>
        <w:t>面源</w:t>
      </w:r>
      <w:r>
        <w:rPr>
          <w:rFonts w:hint="eastAsia" w:ascii="Times New Roman" w:hAnsi="Times New Roman" w:eastAsia="宋体" w:cs="Times New Roman"/>
          <w:b/>
          <w:color w:val="000000"/>
          <w:kern w:val="2"/>
          <w:sz w:val="21"/>
          <w:szCs w:val="21"/>
          <w:lang w:eastAsia="zh-CN" w:bidi="ar"/>
        </w:rPr>
        <w:t>）</w:t>
      </w:r>
    </w:p>
    <w:tbl>
      <w:tblPr>
        <w:tblStyle w:val="38"/>
        <w:tblW w:w="4899"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468"/>
        <w:gridCol w:w="878"/>
        <w:gridCol w:w="756"/>
        <w:gridCol w:w="1448"/>
        <w:gridCol w:w="930"/>
        <w:gridCol w:w="930"/>
        <w:gridCol w:w="1012"/>
        <w:gridCol w:w="92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0" w:type="pct"/>
            <w:vMerge w:val="restart"/>
            <w:tcBorders>
              <w:tl2br w:val="nil"/>
              <w:tr2bl w:val="nil"/>
            </w:tcBorders>
            <w:noWrap w:val="0"/>
            <w:vAlign w:val="center"/>
          </w:tcPr>
          <w:p>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污染源名称</w:t>
            </w:r>
          </w:p>
        </w:tc>
        <w:tc>
          <w:tcPr>
            <w:tcW w:w="527"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面源</w:t>
            </w:r>
          </w:p>
          <w:p>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长度</w:t>
            </w:r>
          </w:p>
        </w:tc>
        <w:tc>
          <w:tcPr>
            <w:tcW w:w="45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面源</w:t>
            </w:r>
          </w:p>
          <w:p>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宽度</w:t>
            </w:r>
          </w:p>
        </w:tc>
        <w:tc>
          <w:tcPr>
            <w:tcW w:w="868"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面源初始</w:t>
            </w:r>
          </w:p>
          <w:p>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排放高度</w:t>
            </w:r>
          </w:p>
        </w:tc>
        <w:tc>
          <w:tcPr>
            <w:tcW w:w="558"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年排放</w:t>
            </w:r>
          </w:p>
          <w:p>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小时数</w:t>
            </w:r>
          </w:p>
        </w:tc>
        <w:tc>
          <w:tcPr>
            <w:tcW w:w="558" w:type="pct"/>
            <w:vMerge w:val="restart"/>
            <w:tcBorders>
              <w:tl2br w:val="nil"/>
              <w:tr2bl w:val="nil"/>
            </w:tcBorders>
            <w:noWrap w:val="0"/>
            <w:vAlign w:val="center"/>
          </w:tcPr>
          <w:p>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排放</w:t>
            </w:r>
          </w:p>
          <w:p>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工况</w:t>
            </w:r>
          </w:p>
        </w:tc>
        <w:tc>
          <w:tcPr>
            <w:tcW w:w="1151" w:type="pct"/>
            <w:gridSpan w:val="2"/>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评价因子源强</w:t>
            </w:r>
            <w:r>
              <w:rPr>
                <w:rFonts w:hint="eastAsia" w:ascii="Times New Roman" w:hAnsi="Times New Roman" w:eastAsia="宋体" w:cs="Times New Roman"/>
                <w:color w:val="auto"/>
                <w:kern w:val="2"/>
                <w:sz w:val="21"/>
                <w:szCs w:val="21"/>
                <w:lang w:val="en-US" w:eastAsia="zh-CN"/>
              </w:rPr>
              <w:t>kg/h</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0" w:type="pct"/>
            <w:vMerge w:val="continue"/>
            <w:tcBorders>
              <w:tl2br w:val="nil"/>
              <w:tr2bl w:val="nil"/>
            </w:tcBorders>
            <w:noWrap w:val="0"/>
            <w:vAlign w:val="center"/>
          </w:tcPr>
          <w:p>
            <w:pPr>
              <w:jc w:val="center"/>
              <w:rPr>
                <w:rFonts w:hint="default" w:ascii="Times New Roman" w:hAnsi="Times New Roman" w:eastAsia="宋体" w:cs="Times New Roman"/>
                <w:color w:val="auto"/>
                <w:kern w:val="2"/>
                <w:sz w:val="21"/>
                <w:szCs w:val="21"/>
              </w:rPr>
            </w:pPr>
          </w:p>
        </w:tc>
        <w:tc>
          <w:tcPr>
            <w:tcW w:w="527"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m</w:t>
            </w:r>
          </w:p>
        </w:tc>
        <w:tc>
          <w:tcPr>
            <w:tcW w:w="45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m</w:t>
            </w:r>
          </w:p>
        </w:tc>
        <w:tc>
          <w:tcPr>
            <w:tcW w:w="868"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m</w:t>
            </w:r>
          </w:p>
        </w:tc>
        <w:tc>
          <w:tcPr>
            <w:tcW w:w="558"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h</w:t>
            </w:r>
          </w:p>
        </w:tc>
        <w:tc>
          <w:tcPr>
            <w:tcW w:w="558" w:type="pct"/>
            <w:vMerge w:val="continue"/>
            <w:tcBorders>
              <w:tl2br w:val="nil"/>
              <w:tr2bl w:val="nil"/>
            </w:tcBorders>
            <w:noWrap w:val="0"/>
            <w:vAlign w:val="center"/>
          </w:tcPr>
          <w:p>
            <w:pPr>
              <w:jc w:val="center"/>
              <w:rPr>
                <w:rFonts w:hint="default" w:ascii="Times New Roman" w:hAnsi="Times New Roman" w:eastAsia="宋体" w:cs="Times New Roman"/>
                <w:color w:val="auto"/>
                <w:kern w:val="2"/>
                <w:sz w:val="21"/>
                <w:szCs w:val="21"/>
              </w:rPr>
            </w:pPr>
          </w:p>
        </w:tc>
        <w:tc>
          <w:tcPr>
            <w:tcW w:w="607"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氨</w:t>
            </w:r>
          </w:p>
        </w:tc>
        <w:tc>
          <w:tcPr>
            <w:tcW w:w="54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硫化氢</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880" w:type="pct"/>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lang w:val="en-US" w:eastAsia="zh-CN"/>
              </w:rPr>
              <w:t>污水处理站</w:t>
            </w:r>
            <w:r>
              <w:rPr>
                <w:rFonts w:hint="default" w:ascii="Times New Roman" w:hAnsi="Times New Roman" w:eastAsia="宋体" w:cs="Times New Roman"/>
                <w:color w:val="auto"/>
                <w:kern w:val="2"/>
                <w:sz w:val="21"/>
                <w:szCs w:val="21"/>
              </w:rPr>
              <w:t>恶臭</w:t>
            </w:r>
          </w:p>
        </w:tc>
        <w:tc>
          <w:tcPr>
            <w:tcW w:w="527"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8</w:t>
            </w:r>
          </w:p>
        </w:tc>
        <w:tc>
          <w:tcPr>
            <w:tcW w:w="45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5</w:t>
            </w:r>
          </w:p>
        </w:tc>
        <w:tc>
          <w:tcPr>
            <w:tcW w:w="868"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0.2</w:t>
            </w:r>
          </w:p>
        </w:tc>
        <w:tc>
          <w:tcPr>
            <w:tcW w:w="558"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8640</w:t>
            </w:r>
          </w:p>
        </w:tc>
        <w:tc>
          <w:tcPr>
            <w:tcW w:w="558"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连续</w:t>
            </w:r>
          </w:p>
        </w:tc>
        <w:tc>
          <w:tcPr>
            <w:tcW w:w="607"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rPr>
            </w:pPr>
            <w:r>
              <w:rPr>
                <w:rFonts w:hint="eastAsia" w:ascii="Times New Roman" w:hAnsi="Times New Roman" w:eastAsia="宋体" w:cs="Times New Roman"/>
                <w:color w:val="auto"/>
                <w:kern w:val="2"/>
                <w:sz w:val="21"/>
                <w:szCs w:val="21"/>
                <w:highlight w:val="none"/>
                <w:lang w:val="en-US" w:eastAsia="zh-CN"/>
              </w:rPr>
              <w:t>6.5</w:t>
            </w:r>
            <w:r>
              <w:rPr>
                <w:rFonts w:hint="default" w:ascii="Times New Roman" w:hAnsi="Times New Roman" w:eastAsia="宋体" w:cs="Times New Roman"/>
                <w:color w:val="auto"/>
                <w:kern w:val="2"/>
                <w:sz w:val="21"/>
                <w:szCs w:val="21"/>
                <w:highlight w:val="none"/>
                <w:lang w:val="en-US" w:eastAsia="zh-CN"/>
              </w:rPr>
              <w:t>×10</w:t>
            </w:r>
            <w:r>
              <w:rPr>
                <w:rFonts w:hint="default" w:ascii="Times New Roman" w:hAnsi="Times New Roman" w:eastAsia="宋体" w:cs="Times New Roman"/>
                <w:color w:val="auto"/>
                <w:kern w:val="2"/>
                <w:sz w:val="21"/>
                <w:szCs w:val="21"/>
                <w:highlight w:val="none"/>
                <w:vertAlign w:val="superscript"/>
                <w:lang w:val="en-US" w:eastAsia="zh-CN"/>
              </w:rPr>
              <w:t>-6</w:t>
            </w:r>
          </w:p>
        </w:tc>
        <w:tc>
          <w:tcPr>
            <w:tcW w:w="544"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eastAsia="zh-CN"/>
              </w:rPr>
            </w:pPr>
            <w:r>
              <w:rPr>
                <w:rFonts w:hint="default" w:ascii="Times New Roman" w:hAnsi="Times New Roman" w:eastAsia="宋体" w:cs="Times New Roman"/>
                <w:color w:val="auto"/>
                <w:kern w:val="2"/>
                <w:sz w:val="21"/>
                <w:szCs w:val="21"/>
                <w:highlight w:val="none"/>
                <w:lang w:val="en-US" w:eastAsia="zh-CN"/>
              </w:rPr>
              <w:t>2</w:t>
            </w:r>
            <w:r>
              <w:rPr>
                <w:rFonts w:hint="eastAsia" w:ascii="Times New Roman" w:hAnsi="Times New Roman" w:eastAsia="宋体" w:cs="Times New Roman"/>
                <w:color w:val="auto"/>
                <w:kern w:val="2"/>
                <w:sz w:val="21"/>
                <w:szCs w:val="21"/>
                <w:highlight w:val="none"/>
                <w:lang w:val="en-US" w:eastAsia="zh-CN"/>
              </w:rPr>
              <w:t>.5</w:t>
            </w:r>
            <w:r>
              <w:rPr>
                <w:rFonts w:hint="default" w:ascii="Times New Roman" w:hAnsi="Times New Roman" w:eastAsia="宋体" w:cs="Times New Roman"/>
                <w:color w:val="auto"/>
                <w:kern w:val="2"/>
                <w:sz w:val="21"/>
                <w:szCs w:val="21"/>
                <w:highlight w:val="none"/>
                <w:lang w:val="en-US" w:eastAsia="zh-CN"/>
              </w:rPr>
              <w:t>×10</w:t>
            </w:r>
            <w:r>
              <w:rPr>
                <w:rFonts w:hint="default" w:ascii="Times New Roman" w:hAnsi="Times New Roman" w:eastAsia="宋体" w:cs="Times New Roman"/>
                <w:color w:val="auto"/>
                <w:kern w:val="2"/>
                <w:sz w:val="21"/>
                <w:szCs w:val="21"/>
                <w:highlight w:val="none"/>
                <w:vertAlign w:val="superscript"/>
                <w:lang w:val="en-US" w:eastAsia="zh-CN"/>
              </w:rPr>
              <w:t>-7</w:t>
            </w:r>
          </w:p>
        </w:tc>
      </w:tr>
    </w:tbl>
    <w:p>
      <w:pPr>
        <w:spacing w:line="360" w:lineRule="auto"/>
        <w:ind w:firstLine="472" w:firstLineChars="196"/>
        <w:rPr>
          <w:rFonts w:ascii="Times New Roman" w:hAnsi="Times New Roman" w:cs="Times New Roman"/>
          <w:b/>
          <w:bCs/>
          <w:color w:val="000000"/>
          <w:kern w:val="2"/>
          <w:sz w:val="24"/>
          <w:szCs w:val="24"/>
          <w:highlight w:val="none"/>
        </w:rPr>
      </w:pPr>
    </w:p>
    <w:p>
      <w:pPr>
        <w:pStyle w:val="37"/>
      </w:pPr>
    </w:p>
    <w:p>
      <w:pPr>
        <w:spacing w:line="360" w:lineRule="auto"/>
        <w:ind w:firstLine="472" w:firstLineChars="196"/>
        <w:rPr>
          <w:rFonts w:ascii="Times New Roman" w:hAnsi="Times New Roman" w:cs="Times New Roman"/>
          <w:b/>
          <w:bCs/>
          <w:color w:val="000000"/>
          <w:kern w:val="2"/>
          <w:sz w:val="24"/>
          <w:szCs w:val="24"/>
          <w:highlight w:val="none"/>
        </w:rPr>
      </w:pPr>
      <w:r>
        <w:rPr>
          <w:rFonts w:ascii="Times New Roman" w:hAnsi="Times New Roman" w:cs="Times New Roman"/>
          <w:b/>
          <w:bCs/>
          <w:color w:val="000000"/>
          <w:kern w:val="2"/>
          <w:sz w:val="24"/>
          <w:szCs w:val="24"/>
          <w:highlight w:val="none"/>
        </w:rPr>
        <w:t>3 、气候气象</w:t>
      </w:r>
    </w:p>
    <w:p>
      <w:pPr>
        <w:spacing w:line="360" w:lineRule="auto"/>
        <w:ind w:firstLine="470" w:firstLineChars="196"/>
        <w:rPr>
          <w:rFonts w:ascii="Times New Roman" w:hAnsi="Times New Roman" w:cs="Times New Roman"/>
          <w:color w:val="000000"/>
          <w:kern w:val="2"/>
          <w:sz w:val="24"/>
          <w:szCs w:val="24"/>
          <w:highlight w:val="none"/>
        </w:rPr>
      </w:pPr>
      <w:r>
        <w:rPr>
          <w:rFonts w:hint="eastAsia" w:ascii="Times New Roman" w:hAnsi="Times New Roman" w:cs="Times New Roman"/>
          <w:color w:val="000000"/>
          <w:kern w:val="2"/>
          <w:sz w:val="24"/>
          <w:szCs w:val="24"/>
          <w:highlight w:val="none"/>
        </w:rPr>
        <w:t>翼城县地处中纬度，属暖温带大陆性季风气候，日照丰富，季风强盛，四季分明，为山西省气候光热资源丰富、无霜期较长的地区。由于受地形和大陆性气候的影响，形成了春季多风少雨，夏季炎热伏</w:t>
      </w:r>
      <w:r>
        <w:rPr>
          <w:rFonts w:hint="eastAsia" w:ascii="Times New Roman" w:cs="Times New Roman"/>
          <w:color w:val="000000"/>
          <w:kern w:val="2"/>
          <w:sz w:val="24"/>
          <w:szCs w:val="24"/>
          <w:highlight w:val="none"/>
          <w:lang w:eastAsia="zh-CN"/>
        </w:rPr>
        <w:t>旱</w:t>
      </w:r>
      <w:r>
        <w:rPr>
          <w:rFonts w:hint="eastAsia" w:ascii="Times New Roman" w:hAnsi="Times New Roman" w:cs="Times New Roman"/>
          <w:color w:val="000000"/>
          <w:kern w:val="2"/>
          <w:sz w:val="24"/>
          <w:szCs w:val="24"/>
          <w:highlight w:val="none"/>
        </w:rPr>
        <w:t>，秋季多阴雨，冬季寒冷少雪的四季分明、日照丰富、温度变化大的小气候特征。</w:t>
      </w:r>
    </w:p>
    <w:p>
      <w:pPr>
        <w:spacing w:line="360" w:lineRule="auto"/>
        <w:ind w:firstLine="470" w:firstLineChars="196"/>
        <w:rPr>
          <w:rFonts w:ascii="Times New Roman" w:hAnsi="Times New Roman" w:cs="Times New Roman"/>
          <w:color w:val="000000"/>
          <w:kern w:val="2"/>
          <w:sz w:val="24"/>
          <w:szCs w:val="24"/>
          <w:highlight w:val="none"/>
        </w:rPr>
      </w:pPr>
      <w:r>
        <w:rPr>
          <w:rFonts w:hint="eastAsia" w:ascii="Times New Roman" w:hAnsi="Times New Roman" w:cs="Times New Roman"/>
          <w:color w:val="000000"/>
          <w:kern w:val="2"/>
          <w:sz w:val="24"/>
          <w:szCs w:val="24"/>
          <w:highlight w:val="none"/>
        </w:rPr>
        <w:t>翼城县主要气候特征为年平均气压949.01hpa；年平均气温12.5℃，气温年相差28.4℃，最热月（七月）平均气温40.5℃，最冷月（一月）平均气温至零下-25.2℃；年平均水汽压10.8hpa，年平均相对湿度62%；年平均降水量505.3mm；年平均蒸发量1708.2mm；年平均日照时数2357.1h，日照百分率53%；全年平均无霜期214d；最大冻土深度54cm。</w:t>
      </w:r>
    </w:p>
    <w:p>
      <w:pPr>
        <w:widowControl/>
        <w:kinsoku w:val="0"/>
        <w:autoSpaceDE w:val="0"/>
        <w:autoSpaceDN w:val="0"/>
        <w:adjustRightInd w:val="0"/>
        <w:snapToGrid w:val="0"/>
        <w:spacing w:before="182" w:line="460" w:lineRule="exact"/>
        <w:ind w:left="119" w:firstLine="456" w:firstLineChars="200"/>
        <w:textAlignment w:val="baseline"/>
        <w:rPr>
          <w:rFonts w:ascii="Times New Roman" w:hAnsi="Times New Roman" w:cs="Times New Roman"/>
          <w:snapToGrid w:val="0"/>
          <w:color w:val="000000"/>
          <w:kern w:val="0"/>
          <w:sz w:val="24"/>
          <w:szCs w:val="24"/>
        </w:rPr>
      </w:pPr>
      <w:r>
        <w:rPr>
          <w:rFonts w:ascii="Times New Roman" w:hAnsi="Times New Roman" w:eastAsia="Times New Roman" w:cs="Times New Roman"/>
          <w:b/>
          <w:bCs/>
          <w:snapToGrid w:val="0"/>
          <w:color w:val="000000"/>
          <w:spacing w:val="-6"/>
          <w:kern w:val="0"/>
          <w:sz w:val="24"/>
          <w:szCs w:val="24"/>
        </w:rPr>
        <w:t>4</w:t>
      </w:r>
      <w:r>
        <w:rPr>
          <w:rFonts w:ascii="Times New Roman" w:hAnsi="Times New Roman" w:eastAsia="Times New Roman" w:cs="Times New Roman"/>
          <w:b/>
          <w:bCs/>
          <w:snapToGrid w:val="0"/>
          <w:color w:val="000000"/>
          <w:spacing w:val="-32"/>
          <w:kern w:val="0"/>
          <w:sz w:val="24"/>
          <w:szCs w:val="24"/>
        </w:rPr>
        <w:t xml:space="preserve"> </w:t>
      </w:r>
      <w:r>
        <w:rPr>
          <w:rFonts w:ascii="Times New Roman" w:hAnsi="Times New Roman" w:cs="Times New Roman"/>
          <w:b/>
          <w:bCs/>
          <w:snapToGrid w:val="0"/>
          <w:color w:val="000000"/>
          <w:spacing w:val="-6"/>
          <w:kern w:val="0"/>
          <w:sz w:val="24"/>
          <w:szCs w:val="24"/>
        </w:rPr>
        <w:t>、估算模型参数</w:t>
      </w:r>
    </w:p>
    <w:p>
      <w:pPr>
        <w:adjustRightInd w:val="0"/>
        <w:spacing w:line="360" w:lineRule="auto"/>
        <w:jc w:val="center"/>
        <w:rPr>
          <w:rFonts w:ascii="Times New Roman" w:hAnsi="Times New Roman" w:eastAsia="Arial" w:cs="Times New Roman"/>
          <w:snapToGrid w:val="0"/>
          <w:color w:val="000000"/>
          <w:kern w:val="0"/>
          <w:sz w:val="21"/>
          <w:szCs w:val="21"/>
        </w:rPr>
      </w:pPr>
      <w:r>
        <w:rPr>
          <w:rFonts w:ascii="Times New Roman" w:hAnsi="Times New Roman" w:cs="Times New Roman"/>
          <w:b/>
          <w:color w:val="000000"/>
          <w:kern w:val="2"/>
          <w:sz w:val="21"/>
          <w:szCs w:val="21"/>
          <w:lang w:bidi="ar"/>
        </w:rPr>
        <w:t>表 3  估算模型参数表</w:t>
      </w:r>
    </w:p>
    <w:tbl>
      <w:tblPr>
        <w:tblStyle w:val="38"/>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868"/>
        <w:gridCol w:w="3661"/>
        <w:gridCol w:w="27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3329" w:type="pct"/>
            <w:gridSpan w:val="2"/>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参数</w:t>
            </w:r>
          </w:p>
        </w:tc>
        <w:tc>
          <w:tcPr>
            <w:tcW w:w="1670" w:type="pct"/>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取值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25" w:type="pct"/>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城市/农村选项</w:t>
            </w:r>
          </w:p>
        </w:tc>
        <w:tc>
          <w:tcPr>
            <w:tcW w:w="2204" w:type="pct"/>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城市/农村</w:t>
            </w:r>
          </w:p>
        </w:tc>
        <w:tc>
          <w:tcPr>
            <w:tcW w:w="1670" w:type="pct"/>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农村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329" w:type="pct"/>
            <w:gridSpan w:val="2"/>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最高环境温度/℃</w:t>
            </w:r>
          </w:p>
        </w:tc>
        <w:tc>
          <w:tcPr>
            <w:tcW w:w="1670" w:type="pct"/>
            <w:noWrap w:val="0"/>
            <w:vAlign w:val="center"/>
          </w:tcPr>
          <w:p>
            <w:pPr>
              <w:snapToGrid w:val="0"/>
              <w:jc w:val="center"/>
              <w:rPr>
                <w:rFonts w:hint="default" w:ascii="Times New Roman" w:hAnsi="Times New Roman" w:eastAsia="SimSun-ExtB" w:cs="Times New Roman"/>
                <w:kern w:val="2"/>
                <w:sz w:val="21"/>
                <w:szCs w:val="21"/>
                <w:highlight w:val="none"/>
                <w:lang w:val="en-US" w:eastAsia="zh-CN"/>
              </w:rPr>
            </w:pPr>
            <w:r>
              <w:rPr>
                <w:rFonts w:hint="eastAsia" w:ascii="Times New Roman" w:hAnsi="Times New Roman" w:eastAsia="SimSun-ExtB" w:cs="Times New Roman"/>
                <w:kern w:val="2"/>
                <w:sz w:val="21"/>
                <w:szCs w:val="21"/>
                <w:highlight w:val="none"/>
                <w:lang w:val="en-US" w:eastAsia="zh-CN"/>
              </w:rPr>
              <w:t>40.5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4" w:hRule="atLeast"/>
        </w:trPr>
        <w:tc>
          <w:tcPr>
            <w:tcW w:w="3329" w:type="pct"/>
            <w:gridSpan w:val="2"/>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最低环境温度/℃</w:t>
            </w:r>
          </w:p>
        </w:tc>
        <w:tc>
          <w:tcPr>
            <w:tcW w:w="1670" w:type="pct"/>
            <w:noWrap w:val="0"/>
            <w:vAlign w:val="center"/>
          </w:tcPr>
          <w:p>
            <w:pPr>
              <w:snapToGrid w:val="0"/>
              <w:jc w:val="center"/>
              <w:rPr>
                <w:rFonts w:hint="default" w:ascii="Times New Roman" w:hAnsi="Times New Roman" w:eastAsia="SimSun-ExtB" w:cs="Times New Roman"/>
                <w:kern w:val="2"/>
                <w:sz w:val="21"/>
                <w:szCs w:val="21"/>
                <w:highlight w:val="none"/>
                <w:lang w:val="en-US" w:eastAsia="zh-CN"/>
              </w:rPr>
            </w:pPr>
            <w:r>
              <w:rPr>
                <w:rFonts w:ascii="Times New Roman" w:hAnsi="Times New Roman" w:eastAsia="SimSun-ExtB" w:cs="Times New Roman"/>
                <w:kern w:val="2"/>
                <w:sz w:val="21"/>
                <w:szCs w:val="21"/>
                <w:highlight w:val="none"/>
                <w:lang w:eastAsia="en-US"/>
              </w:rPr>
              <w:t>-</w:t>
            </w:r>
            <w:r>
              <w:rPr>
                <w:rFonts w:hint="eastAsia" w:ascii="Times New Roman" w:hAnsi="Times New Roman" w:eastAsia="SimSun-ExtB" w:cs="Times New Roman"/>
                <w:kern w:val="2"/>
                <w:sz w:val="21"/>
                <w:szCs w:val="21"/>
                <w:highlight w:val="none"/>
                <w:lang w:val="en-US" w:eastAsia="zh-CN"/>
              </w:rPr>
              <w:t>25.2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3329" w:type="pct"/>
            <w:gridSpan w:val="2"/>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土地利用类型</w:t>
            </w:r>
          </w:p>
        </w:tc>
        <w:tc>
          <w:tcPr>
            <w:tcW w:w="1670" w:type="pct"/>
            <w:noWrap w:val="0"/>
            <w:vAlign w:val="center"/>
          </w:tcPr>
          <w:p>
            <w:pPr>
              <w:snapToGrid w:val="0"/>
              <w:jc w:val="center"/>
              <w:rPr>
                <w:rFonts w:hint="eastAsia" w:ascii="Times New Roman" w:hAnsi="Times New Roman" w:eastAsia="SimSun-ExtB" w:cs="Times New Roman"/>
                <w:kern w:val="2"/>
                <w:sz w:val="21"/>
                <w:szCs w:val="21"/>
                <w:lang w:eastAsia="zh-CN"/>
              </w:rPr>
            </w:pPr>
            <w:r>
              <w:rPr>
                <w:rFonts w:hint="eastAsia" w:ascii="Times New Roman" w:hAnsi="Times New Roman" w:eastAsia="SimSun-ExtB" w:cs="Times New Roman"/>
                <w:kern w:val="2"/>
                <w:sz w:val="21"/>
                <w:szCs w:val="21"/>
                <w:highlight w:val="none"/>
                <w:lang w:val="en-US" w:eastAsia="zh-CN"/>
              </w:rPr>
              <w:t>农田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3329" w:type="pct"/>
            <w:gridSpan w:val="2"/>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区域湿度条件</w:t>
            </w:r>
          </w:p>
        </w:tc>
        <w:tc>
          <w:tcPr>
            <w:tcW w:w="1670" w:type="pct"/>
            <w:noWrap w:val="0"/>
            <w:vAlign w:val="center"/>
          </w:tcPr>
          <w:p>
            <w:pPr>
              <w:snapToGrid w:val="0"/>
              <w:jc w:val="center"/>
              <w:rPr>
                <w:rFonts w:hint="eastAsia" w:ascii="Times New Roman" w:hAnsi="Times New Roman" w:eastAsia="SimSun-ExtB" w:cs="Times New Roman"/>
                <w:kern w:val="2"/>
                <w:sz w:val="21"/>
                <w:szCs w:val="21"/>
                <w:lang w:eastAsia="zh-CN"/>
              </w:rPr>
            </w:pPr>
            <w:r>
              <w:rPr>
                <w:rFonts w:hint="eastAsia" w:ascii="Times New Roman" w:hAnsi="Times New Roman" w:eastAsia="SimSun-ExtB" w:cs="Times New Roman"/>
                <w:kern w:val="2"/>
                <w:sz w:val="21"/>
                <w:szCs w:val="21"/>
                <w:highlight w:val="none"/>
                <w:lang w:val="en-US" w:eastAsia="zh-CN"/>
              </w:rPr>
              <w:t>中等湿度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1125" w:type="pct"/>
            <w:vMerge w:val="restart"/>
            <w:tcBorders>
              <w:bottom w:val="nil"/>
            </w:tcBorders>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是否考虑地形</w:t>
            </w:r>
          </w:p>
        </w:tc>
        <w:tc>
          <w:tcPr>
            <w:tcW w:w="2204" w:type="pct"/>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考虑地形</w:t>
            </w:r>
          </w:p>
        </w:tc>
        <w:tc>
          <w:tcPr>
            <w:tcW w:w="1670" w:type="pct"/>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□是√否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1125" w:type="pct"/>
            <w:vMerge w:val="continue"/>
            <w:tcBorders>
              <w:top w:val="nil"/>
            </w:tcBorders>
            <w:noWrap w:val="0"/>
            <w:vAlign w:val="center"/>
          </w:tcPr>
          <w:p>
            <w:pPr>
              <w:snapToGrid w:val="0"/>
              <w:jc w:val="center"/>
              <w:rPr>
                <w:rFonts w:ascii="Times New Roman" w:hAnsi="Times New Roman" w:eastAsia="SimSun-ExtB" w:cs="Times New Roman"/>
                <w:kern w:val="2"/>
                <w:sz w:val="21"/>
                <w:szCs w:val="21"/>
                <w:lang w:eastAsia="en-US"/>
              </w:rPr>
            </w:pPr>
          </w:p>
        </w:tc>
        <w:tc>
          <w:tcPr>
            <w:tcW w:w="2204" w:type="pct"/>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地形数据分辨率/m</w:t>
            </w:r>
          </w:p>
        </w:tc>
        <w:tc>
          <w:tcPr>
            <w:tcW w:w="1670" w:type="pct"/>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4" w:hRule="atLeast"/>
        </w:trPr>
        <w:tc>
          <w:tcPr>
            <w:tcW w:w="1125" w:type="pct"/>
            <w:vMerge w:val="restart"/>
            <w:tcBorders>
              <w:bottom w:val="nil"/>
            </w:tcBorders>
            <w:noWrap w:val="0"/>
            <w:vAlign w:val="center"/>
          </w:tcPr>
          <w:p>
            <w:pPr>
              <w:snapToGrid w:val="0"/>
              <w:jc w:val="center"/>
              <w:rPr>
                <w:rFonts w:ascii="Times New Roman" w:hAnsi="Times New Roman" w:eastAsia="SimSun-ExtB" w:cs="Times New Roman"/>
                <w:kern w:val="2"/>
                <w:sz w:val="21"/>
                <w:szCs w:val="21"/>
                <w:lang w:eastAsia="en-US"/>
              </w:rPr>
            </w:pPr>
          </w:p>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是否考虑岸线熏烟</w:t>
            </w:r>
          </w:p>
        </w:tc>
        <w:tc>
          <w:tcPr>
            <w:tcW w:w="2204" w:type="pct"/>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考虑岸线熏烟</w:t>
            </w:r>
          </w:p>
        </w:tc>
        <w:tc>
          <w:tcPr>
            <w:tcW w:w="1670" w:type="pct"/>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□是√否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1125" w:type="pct"/>
            <w:vMerge w:val="continue"/>
            <w:tcBorders>
              <w:top w:val="nil"/>
              <w:bottom w:val="nil"/>
            </w:tcBorders>
            <w:noWrap w:val="0"/>
            <w:vAlign w:val="center"/>
          </w:tcPr>
          <w:p>
            <w:pPr>
              <w:snapToGrid w:val="0"/>
              <w:jc w:val="center"/>
              <w:rPr>
                <w:rFonts w:ascii="Times New Roman" w:hAnsi="Times New Roman" w:eastAsia="SimSun-ExtB" w:cs="Times New Roman"/>
                <w:kern w:val="2"/>
                <w:sz w:val="21"/>
                <w:szCs w:val="21"/>
                <w:lang w:eastAsia="en-US"/>
              </w:rPr>
            </w:pPr>
          </w:p>
        </w:tc>
        <w:tc>
          <w:tcPr>
            <w:tcW w:w="2204" w:type="pct"/>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岸线距离/m</w:t>
            </w:r>
          </w:p>
        </w:tc>
        <w:tc>
          <w:tcPr>
            <w:tcW w:w="1670" w:type="pct"/>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9" w:hRule="atLeast"/>
        </w:trPr>
        <w:tc>
          <w:tcPr>
            <w:tcW w:w="1125" w:type="pct"/>
            <w:vMerge w:val="continue"/>
            <w:tcBorders>
              <w:top w:val="nil"/>
            </w:tcBorders>
            <w:noWrap w:val="0"/>
            <w:vAlign w:val="center"/>
          </w:tcPr>
          <w:p>
            <w:pPr>
              <w:snapToGrid w:val="0"/>
              <w:jc w:val="center"/>
              <w:rPr>
                <w:rFonts w:ascii="Times New Roman" w:hAnsi="Times New Roman" w:eastAsia="SimSun-ExtB" w:cs="Times New Roman"/>
                <w:kern w:val="2"/>
                <w:sz w:val="21"/>
                <w:szCs w:val="21"/>
                <w:lang w:eastAsia="en-US"/>
              </w:rPr>
            </w:pPr>
          </w:p>
        </w:tc>
        <w:tc>
          <w:tcPr>
            <w:tcW w:w="2204" w:type="pct"/>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岸线方向/°</w:t>
            </w:r>
          </w:p>
        </w:tc>
        <w:tc>
          <w:tcPr>
            <w:tcW w:w="1670" w:type="pct"/>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w:t>
            </w:r>
          </w:p>
        </w:tc>
      </w:tr>
    </w:tbl>
    <w:p>
      <w:pPr>
        <w:widowControl/>
        <w:kinsoku w:val="0"/>
        <w:autoSpaceDE w:val="0"/>
        <w:autoSpaceDN w:val="0"/>
        <w:adjustRightInd w:val="0"/>
        <w:snapToGrid w:val="0"/>
        <w:spacing w:before="182" w:line="460" w:lineRule="exact"/>
        <w:ind w:left="119" w:firstLine="448" w:firstLineChars="200"/>
        <w:textAlignment w:val="baseline"/>
        <w:rPr>
          <w:rFonts w:ascii="Times New Roman" w:hAnsi="Times New Roman" w:eastAsia="Times New Roman" w:cs="Times New Roman"/>
          <w:b/>
          <w:bCs/>
          <w:snapToGrid w:val="0"/>
          <w:color w:val="000000"/>
          <w:spacing w:val="-6"/>
          <w:kern w:val="0"/>
          <w:sz w:val="24"/>
          <w:szCs w:val="24"/>
          <w:lang w:eastAsia="en-US"/>
        </w:rPr>
      </w:pPr>
      <w:r>
        <w:rPr>
          <w:rFonts w:ascii="Times New Roman" w:hAnsi="Times New Roman" w:eastAsia="Times New Roman" w:cs="Times New Roman"/>
          <w:b/>
          <w:bCs/>
          <w:snapToGrid w:val="0"/>
          <w:color w:val="000000"/>
          <w:spacing w:val="-8"/>
          <w:kern w:val="0"/>
          <w:sz w:val="24"/>
          <w:szCs w:val="24"/>
          <w:lang w:eastAsia="en-US"/>
        </w:rPr>
        <w:t>5</w:t>
      </w:r>
      <w:r>
        <w:rPr>
          <w:rFonts w:ascii="Times New Roman" w:hAnsi="Times New Roman" w:eastAsia="Times New Roman" w:cs="Times New Roman"/>
          <w:b/>
          <w:bCs/>
          <w:snapToGrid w:val="0"/>
          <w:color w:val="000000"/>
          <w:spacing w:val="-32"/>
          <w:kern w:val="0"/>
          <w:sz w:val="24"/>
          <w:szCs w:val="24"/>
          <w:lang w:eastAsia="en-US"/>
        </w:rPr>
        <w:t xml:space="preserve"> </w:t>
      </w:r>
      <w:r>
        <w:rPr>
          <w:rFonts w:ascii="Times New Roman" w:hAnsi="Times New Roman" w:cs="Times New Roman"/>
          <w:b/>
          <w:bCs/>
          <w:snapToGrid w:val="0"/>
          <w:color w:val="000000"/>
          <w:spacing w:val="-8"/>
          <w:kern w:val="0"/>
          <w:sz w:val="24"/>
          <w:szCs w:val="24"/>
          <w:lang w:eastAsia="en-US"/>
        </w:rPr>
        <w:t>、模型预测</w:t>
      </w:r>
    </w:p>
    <w:p>
      <w:pPr>
        <w:spacing w:line="460" w:lineRule="atLeast"/>
        <w:ind w:firstLine="480" w:firstLineChars="200"/>
        <w:rPr>
          <w:rFonts w:ascii="Times New Roman" w:hAnsi="Times New Roman" w:cs="Times New Roman"/>
          <w:bCs/>
          <w:kern w:val="0"/>
          <w:sz w:val="24"/>
          <w:szCs w:val="24"/>
        </w:rPr>
      </w:pPr>
      <w:r>
        <w:rPr>
          <w:rFonts w:ascii="Times New Roman" w:hAnsi="Times New Roman" w:cs="Times New Roman"/>
          <w:bCs/>
          <w:kern w:val="0"/>
          <w:sz w:val="24"/>
          <w:szCs w:val="24"/>
        </w:rPr>
        <w:t>采用HJ2.2-2018推荐模式清单中的估算模式分别计算本项目各污染源的排放污染物的最大地面浓度，并计算相应的浓度的占标率。其中，估算模式为AERSCREEN，是一种单源预测模式，用于计算点源、面源等污染源的最大地面浓度。其中模式中嵌入了多种预设的气象组合条件，包括一些最不利的气象条件。</w:t>
      </w:r>
    </w:p>
    <w:p>
      <w:pPr>
        <w:spacing w:line="460" w:lineRule="atLeast"/>
        <w:ind w:firstLine="480" w:firstLineChars="200"/>
        <w:rPr>
          <w:rFonts w:ascii="Times New Roman" w:hAnsi="Times New Roman" w:cs="Times New Roman"/>
          <w:kern w:val="2"/>
          <w:sz w:val="24"/>
          <w:szCs w:val="22"/>
        </w:rPr>
      </w:pPr>
      <w:r>
        <w:rPr>
          <w:rFonts w:ascii="Times New Roman" w:hAnsi="Times New Roman" w:cs="Times New Roman"/>
          <w:bCs/>
          <w:kern w:val="0"/>
          <w:sz w:val="24"/>
          <w:szCs w:val="24"/>
        </w:rPr>
        <w:t>根据《环境影响评价技术导则—大气环境》HJ2.2-2018之相关规定，结合本项目工程分析结果，按照《环境影响评价技术导则 大气环境》（HJ2.2-2018）规定，计算各污染源产生的各污染物的最大地面浓度占标率P</w:t>
      </w:r>
      <w:r>
        <w:rPr>
          <w:rFonts w:ascii="Times New Roman" w:hAnsi="Times New Roman" w:cs="Times New Roman"/>
          <w:bCs/>
          <w:kern w:val="0"/>
          <w:sz w:val="24"/>
          <w:szCs w:val="24"/>
          <w:vertAlign w:val="subscript"/>
        </w:rPr>
        <w:t>i</w:t>
      </w:r>
      <w:r>
        <w:rPr>
          <w:rFonts w:ascii="Times New Roman" w:hAnsi="Times New Roman" w:cs="Times New Roman"/>
          <w:bCs/>
          <w:kern w:val="0"/>
          <w:sz w:val="24"/>
          <w:szCs w:val="24"/>
        </w:rPr>
        <w:t>（第i个污染物），及第i个</w:t>
      </w:r>
      <w:r>
        <w:rPr>
          <w:rFonts w:ascii="Times New Roman" w:hAnsi="Times New Roman" w:cs="Times New Roman"/>
          <w:kern w:val="2"/>
          <w:sz w:val="24"/>
          <w:szCs w:val="22"/>
        </w:rPr>
        <w:t>污染物的地面浓度达标准限值10%时所对应的最远距离D</w:t>
      </w:r>
      <w:r>
        <w:rPr>
          <w:rFonts w:ascii="Times New Roman" w:hAnsi="Times New Roman" w:cs="Times New Roman"/>
          <w:kern w:val="2"/>
          <w:sz w:val="24"/>
          <w:szCs w:val="22"/>
          <w:vertAlign w:val="subscript"/>
        </w:rPr>
        <w:t>10%</w:t>
      </w:r>
      <w:r>
        <w:rPr>
          <w:rFonts w:ascii="Times New Roman" w:hAnsi="Times New Roman" w:cs="Times New Roman"/>
          <w:kern w:val="2"/>
          <w:sz w:val="24"/>
          <w:szCs w:val="22"/>
        </w:rPr>
        <w:t>，其中P</w:t>
      </w:r>
      <w:r>
        <w:rPr>
          <w:rFonts w:ascii="Times New Roman" w:hAnsi="Times New Roman" w:cs="Times New Roman"/>
          <w:kern w:val="2"/>
          <w:sz w:val="24"/>
          <w:szCs w:val="22"/>
          <w:vertAlign w:val="subscript"/>
        </w:rPr>
        <w:t>i</w:t>
      </w:r>
      <w:r>
        <w:rPr>
          <w:rFonts w:ascii="Times New Roman" w:hAnsi="Times New Roman" w:cs="Times New Roman"/>
          <w:kern w:val="2"/>
          <w:sz w:val="24"/>
          <w:szCs w:val="22"/>
        </w:rPr>
        <w:t>定义为：</w:t>
      </w:r>
    </w:p>
    <w:p>
      <w:pPr>
        <w:adjustRightInd w:val="0"/>
        <w:spacing w:line="460" w:lineRule="atLeast"/>
        <w:ind w:firstLine="480" w:firstLineChars="200"/>
        <w:contextualSpacing/>
        <w:rPr>
          <w:rFonts w:ascii="Times New Roman" w:hAnsi="Times New Roman" w:cs="Times New Roman"/>
          <w:kern w:val="2"/>
          <w:sz w:val="24"/>
          <w:szCs w:val="22"/>
        </w:rPr>
      </w:pPr>
      <w:r>
        <w:rPr>
          <w:rFonts w:ascii="Times New Roman" w:hAnsi="Times New Roman" w:cs="Times New Roman"/>
          <w:kern w:val="2"/>
          <w:sz w:val="24"/>
          <w:szCs w:val="22"/>
        </w:rPr>
        <w:t>P</w:t>
      </w:r>
      <w:r>
        <w:rPr>
          <w:rFonts w:ascii="Times New Roman" w:hAnsi="Times New Roman" w:cs="Times New Roman"/>
          <w:kern w:val="2"/>
          <w:sz w:val="24"/>
          <w:szCs w:val="22"/>
          <w:vertAlign w:val="subscript"/>
        </w:rPr>
        <w:t>i</w:t>
      </w:r>
      <w:r>
        <w:rPr>
          <w:rFonts w:ascii="Times New Roman" w:hAnsi="Times New Roman" w:cs="Times New Roman"/>
          <w:kern w:val="2"/>
          <w:sz w:val="24"/>
          <w:szCs w:val="22"/>
        </w:rPr>
        <w:t>＝(C</w:t>
      </w:r>
      <w:r>
        <w:rPr>
          <w:rFonts w:ascii="Times New Roman" w:hAnsi="Times New Roman" w:cs="Times New Roman"/>
          <w:kern w:val="2"/>
          <w:sz w:val="24"/>
          <w:szCs w:val="22"/>
          <w:vertAlign w:val="subscript"/>
        </w:rPr>
        <w:t>i</w:t>
      </w:r>
      <w:r>
        <w:rPr>
          <w:rFonts w:ascii="Times New Roman" w:hAnsi="Times New Roman" w:cs="Times New Roman"/>
          <w:kern w:val="2"/>
          <w:sz w:val="24"/>
          <w:szCs w:val="22"/>
        </w:rPr>
        <w:t>/C</w:t>
      </w:r>
      <w:r>
        <w:rPr>
          <w:rFonts w:ascii="Times New Roman" w:hAnsi="Times New Roman" w:cs="Times New Roman"/>
          <w:kern w:val="2"/>
          <w:sz w:val="24"/>
          <w:szCs w:val="22"/>
          <w:vertAlign w:val="subscript"/>
        </w:rPr>
        <w:t>0i</w:t>
      </w:r>
      <w:r>
        <w:rPr>
          <w:rFonts w:ascii="Times New Roman" w:hAnsi="Times New Roman" w:cs="Times New Roman"/>
          <w:kern w:val="2"/>
          <w:sz w:val="24"/>
          <w:szCs w:val="22"/>
        </w:rPr>
        <w:t>)×100%</w:t>
      </w:r>
    </w:p>
    <w:p>
      <w:pPr>
        <w:adjustRightInd w:val="0"/>
        <w:spacing w:line="460" w:lineRule="atLeast"/>
        <w:ind w:firstLine="480" w:firstLineChars="200"/>
        <w:contextualSpacing/>
        <w:rPr>
          <w:rFonts w:ascii="Times New Roman" w:hAnsi="Times New Roman" w:cs="Times New Roman"/>
          <w:kern w:val="2"/>
          <w:sz w:val="24"/>
          <w:szCs w:val="22"/>
        </w:rPr>
      </w:pPr>
      <w:r>
        <w:rPr>
          <w:rFonts w:ascii="Times New Roman" w:hAnsi="Times New Roman" w:cs="Times New Roman"/>
          <w:kern w:val="2"/>
          <w:sz w:val="24"/>
          <w:szCs w:val="22"/>
        </w:rPr>
        <w:t>式中：P</w:t>
      </w:r>
      <w:r>
        <w:rPr>
          <w:rFonts w:ascii="Times New Roman" w:hAnsi="Times New Roman" w:cs="Times New Roman"/>
          <w:kern w:val="2"/>
          <w:sz w:val="24"/>
          <w:szCs w:val="22"/>
          <w:vertAlign w:val="subscript"/>
        </w:rPr>
        <w:t>i</w:t>
      </w:r>
      <w:r>
        <w:rPr>
          <w:rFonts w:ascii="Times New Roman" w:hAnsi="Times New Roman" w:cs="Times New Roman"/>
          <w:kern w:val="2"/>
          <w:sz w:val="24"/>
          <w:szCs w:val="22"/>
        </w:rPr>
        <w:t>----第i个污染物的最大地面浓度占标率，%；</w:t>
      </w:r>
    </w:p>
    <w:p>
      <w:pPr>
        <w:adjustRightInd w:val="0"/>
        <w:spacing w:line="460" w:lineRule="atLeast"/>
        <w:ind w:firstLine="480" w:firstLineChars="200"/>
        <w:contextualSpacing/>
        <w:rPr>
          <w:rFonts w:ascii="Times New Roman" w:hAnsi="Times New Roman" w:cs="Times New Roman"/>
          <w:kern w:val="2"/>
          <w:sz w:val="24"/>
          <w:szCs w:val="22"/>
        </w:rPr>
      </w:pPr>
      <w:r>
        <w:rPr>
          <w:rFonts w:ascii="Times New Roman" w:hAnsi="Times New Roman" w:cs="Times New Roman"/>
          <w:kern w:val="2"/>
          <w:sz w:val="24"/>
          <w:szCs w:val="22"/>
        </w:rPr>
        <w:t>C</w:t>
      </w:r>
      <w:r>
        <w:rPr>
          <w:rFonts w:ascii="Times New Roman" w:hAnsi="Times New Roman" w:cs="Times New Roman"/>
          <w:kern w:val="2"/>
          <w:sz w:val="24"/>
          <w:szCs w:val="22"/>
          <w:vertAlign w:val="subscript"/>
        </w:rPr>
        <w:t>i</w:t>
      </w:r>
      <w:r>
        <w:rPr>
          <w:rFonts w:ascii="Times New Roman" w:hAnsi="Times New Roman" w:cs="Times New Roman"/>
          <w:kern w:val="2"/>
          <w:sz w:val="24"/>
          <w:szCs w:val="22"/>
        </w:rPr>
        <w:t>----采用估算模式计算出的第i个污染物的最大地面浓度，mg/m</w:t>
      </w:r>
      <w:r>
        <w:rPr>
          <w:rFonts w:ascii="Times New Roman" w:hAnsi="Times New Roman" w:cs="Times New Roman"/>
          <w:kern w:val="2"/>
          <w:sz w:val="24"/>
          <w:szCs w:val="22"/>
          <w:vertAlign w:val="superscript"/>
        </w:rPr>
        <w:t>3</w:t>
      </w:r>
      <w:r>
        <w:rPr>
          <w:rFonts w:ascii="Times New Roman" w:hAnsi="Times New Roman" w:cs="Times New Roman"/>
          <w:kern w:val="2"/>
          <w:sz w:val="24"/>
          <w:szCs w:val="22"/>
        </w:rPr>
        <w:t>；</w:t>
      </w:r>
    </w:p>
    <w:p>
      <w:pPr>
        <w:adjustRightInd w:val="0"/>
        <w:spacing w:line="460" w:lineRule="atLeast"/>
        <w:ind w:firstLine="480" w:firstLineChars="200"/>
        <w:contextualSpacing/>
        <w:rPr>
          <w:rFonts w:ascii="Times New Roman" w:hAnsi="Times New Roman" w:cs="Times New Roman"/>
          <w:kern w:val="2"/>
          <w:sz w:val="24"/>
          <w:szCs w:val="22"/>
        </w:rPr>
      </w:pPr>
      <w:r>
        <w:rPr>
          <w:rFonts w:ascii="Times New Roman" w:hAnsi="Times New Roman" w:cs="Times New Roman"/>
          <w:kern w:val="2"/>
          <w:sz w:val="24"/>
          <w:szCs w:val="22"/>
        </w:rPr>
        <w:t>C</w:t>
      </w:r>
      <w:r>
        <w:rPr>
          <w:rFonts w:ascii="Times New Roman" w:hAnsi="Times New Roman" w:cs="Times New Roman"/>
          <w:kern w:val="2"/>
          <w:sz w:val="24"/>
          <w:szCs w:val="22"/>
          <w:vertAlign w:val="subscript"/>
        </w:rPr>
        <w:t>0i</w:t>
      </w:r>
      <w:r>
        <w:rPr>
          <w:rFonts w:ascii="Times New Roman" w:hAnsi="Times New Roman" w:cs="Times New Roman"/>
          <w:kern w:val="2"/>
          <w:sz w:val="24"/>
          <w:szCs w:val="22"/>
        </w:rPr>
        <w:t>----第i个污染物的环境空气质量标准，mg/m</w:t>
      </w:r>
      <w:r>
        <w:rPr>
          <w:rFonts w:ascii="Times New Roman" w:hAnsi="Times New Roman" w:cs="Times New Roman"/>
          <w:kern w:val="2"/>
          <w:sz w:val="24"/>
          <w:szCs w:val="22"/>
          <w:vertAlign w:val="superscript"/>
        </w:rPr>
        <w:t>3</w:t>
      </w:r>
      <w:r>
        <w:rPr>
          <w:rFonts w:ascii="Times New Roman" w:hAnsi="Times New Roman" w:cs="Times New Roman"/>
          <w:kern w:val="2"/>
          <w:sz w:val="24"/>
          <w:szCs w:val="22"/>
        </w:rPr>
        <w:t>；</w:t>
      </w:r>
    </w:p>
    <w:p>
      <w:pPr>
        <w:adjustRightInd w:val="0"/>
        <w:spacing w:line="460" w:lineRule="atLeast"/>
        <w:ind w:firstLine="480" w:firstLineChars="200"/>
        <w:contextualSpacing/>
        <w:rPr>
          <w:rFonts w:ascii="Times New Roman" w:hAnsi="Times New Roman" w:cs="Times New Roman"/>
          <w:kern w:val="2"/>
          <w:sz w:val="24"/>
          <w:szCs w:val="22"/>
        </w:rPr>
      </w:pPr>
      <w:r>
        <w:rPr>
          <w:rFonts w:ascii="Times New Roman" w:hAnsi="Times New Roman" w:cs="Times New Roman"/>
          <w:kern w:val="2"/>
          <w:sz w:val="24"/>
          <w:szCs w:val="22"/>
        </w:rPr>
        <w:t>C</w:t>
      </w:r>
      <w:r>
        <w:rPr>
          <w:rFonts w:ascii="Times New Roman" w:hAnsi="Times New Roman" w:cs="Times New Roman"/>
          <w:kern w:val="2"/>
          <w:sz w:val="24"/>
          <w:szCs w:val="22"/>
          <w:vertAlign w:val="subscript"/>
        </w:rPr>
        <w:t>0i</w:t>
      </w:r>
      <w:r>
        <w:rPr>
          <w:rFonts w:ascii="Times New Roman" w:hAnsi="Times New Roman" w:cs="Times New Roman"/>
          <w:kern w:val="2"/>
          <w:sz w:val="24"/>
          <w:szCs w:val="22"/>
        </w:rPr>
        <w:t>----一般选用GB3095中1小时平均取样时间的二级标准的浓度限值。</w:t>
      </w:r>
    </w:p>
    <w:p>
      <w:pPr>
        <w:adjustRightInd w:val="0"/>
        <w:spacing w:line="360" w:lineRule="auto"/>
        <w:jc w:val="center"/>
        <w:rPr>
          <w:rFonts w:ascii="Times New Roman" w:hAnsi="Times New Roman" w:cs="Times New Roman"/>
          <w:b/>
          <w:color w:val="000000"/>
          <w:kern w:val="2"/>
          <w:sz w:val="21"/>
          <w:szCs w:val="21"/>
          <w:lang w:eastAsia="en-US" w:bidi="ar"/>
        </w:rPr>
      </w:pPr>
    </w:p>
    <w:p>
      <w:pPr>
        <w:adjustRightInd w:val="0"/>
        <w:spacing w:line="360" w:lineRule="auto"/>
        <w:jc w:val="center"/>
        <w:rPr>
          <w:rFonts w:ascii="Times New Roman" w:hAnsi="Times New Roman" w:cs="Times New Roman"/>
          <w:b/>
          <w:color w:val="000000"/>
          <w:kern w:val="2"/>
          <w:sz w:val="21"/>
          <w:szCs w:val="21"/>
          <w:lang w:eastAsia="en-US" w:bidi="ar"/>
        </w:rPr>
      </w:pPr>
      <w:r>
        <w:rPr>
          <w:rFonts w:ascii="Times New Roman" w:hAnsi="Times New Roman" w:cs="Times New Roman"/>
          <w:b/>
          <w:color w:val="000000"/>
          <w:kern w:val="2"/>
          <w:sz w:val="21"/>
          <w:szCs w:val="21"/>
          <w:lang w:eastAsia="en-US" w:bidi="ar"/>
        </w:rPr>
        <w:t>表</w:t>
      </w:r>
      <w:r>
        <w:rPr>
          <w:rFonts w:hint="eastAsia" w:ascii="Times New Roman" w:hAnsi="Times New Roman" w:cs="Times New Roman"/>
          <w:b/>
          <w:color w:val="000000"/>
          <w:kern w:val="2"/>
          <w:sz w:val="21"/>
          <w:szCs w:val="21"/>
          <w:lang w:bidi="ar"/>
        </w:rPr>
        <w:t xml:space="preserve">4  </w:t>
      </w:r>
      <w:r>
        <w:rPr>
          <w:rFonts w:ascii="Times New Roman" w:hAnsi="Times New Roman" w:cs="Times New Roman"/>
          <w:b/>
          <w:color w:val="000000"/>
          <w:kern w:val="2"/>
          <w:sz w:val="21"/>
          <w:szCs w:val="21"/>
          <w:lang w:eastAsia="en-US" w:bidi="ar"/>
        </w:rPr>
        <w:t>大气评价级别判据</w:t>
      </w:r>
    </w:p>
    <w:tbl>
      <w:tblPr>
        <w:tblStyle w:val="38"/>
        <w:tblW w:w="4906"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3033"/>
        <w:gridCol w:w="5322"/>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815" w:type="pct"/>
            <w:noWrap w:val="0"/>
            <w:vAlign w:val="center"/>
          </w:tcPr>
          <w:p>
            <w:pPr>
              <w:snapToGrid w:val="0"/>
              <w:jc w:val="center"/>
              <w:rPr>
                <w:rFonts w:ascii="Times New Roman" w:hAnsi="Times New Roman" w:eastAsia="SimSun-ExtB" w:cs="Times New Roman"/>
                <w:kern w:val="2"/>
                <w:sz w:val="21"/>
                <w:szCs w:val="21"/>
                <w:lang w:val="de-DE" w:eastAsia="en-US"/>
              </w:rPr>
            </w:pPr>
            <w:r>
              <w:rPr>
                <w:rFonts w:ascii="Times New Roman" w:hAnsi="Times New Roman" w:eastAsia="SimSun-ExtB" w:cs="Times New Roman"/>
                <w:kern w:val="2"/>
                <w:sz w:val="21"/>
                <w:szCs w:val="21"/>
                <w:lang w:val="de-DE" w:eastAsia="en-US"/>
              </w:rPr>
              <w:t>评价工作等级</w:t>
            </w:r>
          </w:p>
        </w:tc>
        <w:tc>
          <w:tcPr>
            <w:tcW w:w="3184" w:type="pct"/>
            <w:noWrap w:val="0"/>
            <w:vAlign w:val="center"/>
          </w:tcPr>
          <w:p>
            <w:pPr>
              <w:snapToGrid w:val="0"/>
              <w:jc w:val="center"/>
              <w:rPr>
                <w:rFonts w:ascii="Times New Roman" w:hAnsi="Times New Roman" w:eastAsia="SimSun-ExtB" w:cs="Times New Roman"/>
                <w:kern w:val="2"/>
                <w:sz w:val="21"/>
                <w:szCs w:val="21"/>
                <w:lang w:val="de-DE" w:eastAsia="en-US"/>
              </w:rPr>
            </w:pPr>
            <w:r>
              <w:rPr>
                <w:rFonts w:ascii="Times New Roman" w:hAnsi="Times New Roman" w:eastAsia="SimSun-ExtB" w:cs="Times New Roman"/>
                <w:kern w:val="2"/>
                <w:sz w:val="21"/>
                <w:szCs w:val="21"/>
                <w:lang w:val="de-DE" w:eastAsia="en-US"/>
              </w:rPr>
              <w:t>评价工作分级判据</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815" w:type="pct"/>
            <w:noWrap w:val="0"/>
            <w:vAlign w:val="center"/>
          </w:tcPr>
          <w:p>
            <w:pPr>
              <w:snapToGrid w:val="0"/>
              <w:jc w:val="center"/>
              <w:rPr>
                <w:rFonts w:ascii="Times New Roman" w:hAnsi="Times New Roman" w:eastAsia="SimSun-ExtB" w:cs="Times New Roman"/>
                <w:kern w:val="2"/>
                <w:sz w:val="21"/>
                <w:szCs w:val="21"/>
                <w:lang w:val="de-DE" w:eastAsia="en-US"/>
              </w:rPr>
            </w:pPr>
            <w:r>
              <w:rPr>
                <w:rFonts w:ascii="Times New Roman" w:hAnsi="Times New Roman" w:eastAsia="SimSun-ExtB" w:cs="Times New Roman"/>
                <w:kern w:val="2"/>
                <w:sz w:val="21"/>
                <w:szCs w:val="21"/>
                <w:lang w:val="de-DE" w:eastAsia="en-US"/>
              </w:rPr>
              <w:t>一级</w:t>
            </w:r>
          </w:p>
        </w:tc>
        <w:tc>
          <w:tcPr>
            <w:tcW w:w="3184" w:type="pct"/>
            <w:noWrap w:val="0"/>
            <w:vAlign w:val="center"/>
          </w:tcPr>
          <w:p>
            <w:pPr>
              <w:snapToGrid w:val="0"/>
              <w:jc w:val="center"/>
              <w:rPr>
                <w:rFonts w:ascii="Times New Roman" w:hAnsi="Times New Roman" w:eastAsia="SimSun-ExtB" w:cs="Times New Roman"/>
                <w:kern w:val="2"/>
                <w:sz w:val="21"/>
                <w:szCs w:val="21"/>
                <w:lang w:val="de-DE" w:eastAsia="en-US"/>
              </w:rPr>
            </w:pPr>
            <w:r>
              <w:rPr>
                <w:rFonts w:ascii="Times New Roman" w:hAnsi="Times New Roman" w:eastAsia="SimSun-ExtB" w:cs="Times New Roman"/>
                <w:kern w:val="2"/>
                <w:sz w:val="21"/>
                <w:szCs w:val="21"/>
                <w:lang w:val="de-DE" w:eastAsia="en-US"/>
              </w:rPr>
              <w:t>P</w:t>
            </w:r>
            <w:r>
              <w:rPr>
                <w:rFonts w:ascii="Times New Roman" w:hAnsi="Times New Roman" w:eastAsia="SimSun-ExtB" w:cs="Times New Roman"/>
                <w:kern w:val="2"/>
                <w:sz w:val="21"/>
                <w:szCs w:val="21"/>
                <w:vertAlign w:val="subscript"/>
                <w:lang w:val="de-DE" w:eastAsia="en-US"/>
              </w:rPr>
              <w:t>max</w:t>
            </w:r>
            <w:r>
              <w:rPr>
                <w:rFonts w:ascii="Times New Roman" w:hAnsi="Times New Roman" w:eastAsia="SimSun-ExtB" w:cs="Times New Roman"/>
                <w:kern w:val="2"/>
                <w:sz w:val="21"/>
                <w:szCs w:val="21"/>
                <w:lang w:val="de-DE" w:eastAsia="en-US"/>
              </w:rPr>
              <w:t>≧10%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815" w:type="pct"/>
            <w:noWrap w:val="0"/>
            <w:vAlign w:val="center"/>
          </w:tcPr>
          <w:p>
            <w:pPr>
              <w:snapToGrid w:val="0"/>
              <w:jc w:val="center"/>
              <w:rPr>
                <w:rFonts w:ascii="Times New Roman" w:hAnsi="Times New Roman" w:eastAsia="SimSun-ExtB" w:cs="Times New Roman"/>
                <w:kern w:val="2"/>
                <w:sz w:val="21"/>
                <w:szCs w:val="21"/>
                <w:lang w:val="de-DE" w:eastAsia="en-US"/>
              </w:rPr>
            </w:pPr>
            <w:r>
              <w:rPr>
                <w:rFonts w:ascii="Times New Roman" w:hAnsi="Times New Roman" w:eastAsia="SimSun-ExtB" w:cs="Times New Roman"/>
                <w:kern w:val="2"/>
                <w:sz w:val="21"/>
                <w:szCs w:val="21"/>
                <w:lang w:val="de-DE" w:eastAsia="en-US"/>
              </w:rPr>
              <w:t>二级</w:t>
            </w:r>
          </w:p>
        </w:tc>
        <w:tc>
          <w:tcPr>
            <w:tcW w:w="3184" w:type="pct"/>
            <w:noWrap w:val="0"/>
            <w:vAlign w:val="center"/>
          </w:tcPr>
          <w:p>
            <w:pPr>
              <w:snapToGrid w:val="0"/>
              <w:jc w:val="center"/>
              <w:rPr>
                <w:rFonts w:ascii="Times New Roman" w:hAnsi="Times New Roman" w:eastAsia="SimSun-ExtB" w:cs="Times New Roman"/>
                <w:kern w:val="2"/>
                <w:sz w:val="21"/>
                <w:szCs w:val="21"/>
                <w:lang w:val="de-DE" w:eastAsia="en-US"/>
              </w:rPr>
            </w:pPr>
            <w:r>
              <w:rPr>
                <w:rFonts w:ascii="Times New Roman" w:hAnsi="Times New Roman" w:eastAsia="SimSun-ExtB" w:cs="Times New Roman"/>
                <w:kern w:val="2"/>
                <w:sz w:val="21"/>
                <w:szCs w:val="21"/>
                <w:lang w:val="de-DE" w:eastAsia="en-US"/>
              </w:rPr>
              <w:t>1%≤P</w:t>
            </w:r>
            <w:r>
              <w:rPr>
                <w:rFonts w:ascii="Times New Roman" w:hAnsi="Times New Roman" w:eastAsia="SimSun-ExtB" w:cs="Times New Roman"/>
                <w:kern w:val="2"/>
                <w:sz w:val="21"/>
                <w:szCs w:val="21"/>
                <w:vertAlign w:val="subscript"/>
                <w:lang w:val="de-DE" w:eastAsia="en-US"/>
              </w:rPr>
              <w:t>max</w:t>
            </w:r>
            <w:r>
              <w:rPr>
                <w:rFonts w:ascii="Times New Roman" w:hAnsi="Times New Roman" w:eastAsia="SimSun-ExtB" w:cs="Times New Roman"/>
                <w:kern w:val="2"/>
                <w:sz w:val="21"/>
                <w:szCs w:val="21"/>
                <w:lang w:val="de-DE" w:eastAsia="en-US"/>
              </w:rPr>
              <w:t>＜10%</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815" w:type="pct"/>
            <w:noWrap w:val="0"/>
            <w:vAlign w:val="center"/>
          </w:tcPr>
          <w:p>
            <w:pPr>
              <w:snapToGrid w:val="0"/>
              <w:jc w:val="center"/>
              <w:rPr>
                <w:rFonts w:ascii="Times New Roman" w:hAnsi="Times New Roman" w:eastAsia="SimSun-ExtB" w:cs="Times New Roman"/>
                <w:kern w:val="2"/>
                <w:sz w:val="21"/>
                <w:szCs w:val="21"/>
                <w:lang w:val="de-DE" w:eastAsia="en-US"/>
              </w:rPr>
            </w:pPr>
            <w:r>
              <w:rPr>
                <w:rFonts w:ascii="Times New Roman" w:hAnsi="Times New Roman" w:eastAsia="SimSun-ExtB" w:cs="Times New Roman"/>
                <w:kern w:val="2"/>
                <w:sz w:val="21"/>
                <w:szCs w:val="21"/>
                <w:lang w:val="de-DE" w:eastAsia="en-US"/>
              </w:rPr>
              <w:t>三级</w:t>
            </w:r>
          </w:p>
        </w:tc>
        <w:tc>
          <w:tcPr>
            <w:tcW w:w="3184" w:type="pct"/>
            <w:noWrap w:val="0"/>
            <w:vAlign w:val="center"/>
          </w:tcPr>
          <w:p>
            <w:pPr>
              <w:snapToGrid w:val="0"/>
              <w:jc w:val="center"/>
              <w:rPr>
                <w:rFonts w:ascii="Times New Roman" w:hAnsi="Times New Roman" w:eastAsia="SimSun-ExtB" w:cs="Times New Roman"/>
                <w:kern w:val="2"/>
                <w:sz w:val="21"/>
                <w:szCs w:val="21"/>
                <w:lang w:val="de-DE" w:eastAsia="en-US"/>
              </w:rPr>
            </w:pPr>
            <w:r>
              <w:rPr>
                <w:rFonts w:ascii="Times New Roman" w:hAnsi="Times New Roman" w:eastAsia="SimSun-ExtB" w:cs="Times New Roman"/>
                <w:kern w:val="2"/>
                <w:sz w:val="21"/>
                <w:szCs w:val="21"/>
                <w:lang w:val="de-DE" w:eastAsia="en-US"/>
              </w:rPr>
              <w:t>P</w:t>
            </w:r>
            <w:r>
              <w:rPr>
                <w:rFonts w:ascii="Times New Roman" w:hAnsi="Times New Roman" w:eastAsia="SimSun-ExtB" w:cs="Times New Roman"/>
                <w:kern w:val="2"/>
                <w:sz w:val="21"/>
                <w:szCs w:val="21"/>
                <w:vertAlign w:val="subscript"/>
                <w:lang w:val="de-DE" w:eastAsia="en-US"/>
              </w:rPr>
              <w:t>max</w:t>
            </w:r>
            <w:r>
              <w:rPr>
                <w:rFonts w:ascii="Times New Roman" w:hAnsi="Times New Roman" w:eastAsia="SimSun-ExtB" w:cs="Times New Roman"/>
                <w:kern w:val="2"/>
                <w:sz w:val="21"/>
                <w:szCs w:val="21"/>
                <w:lang w:val="de-DE" w:eastAsia="en-US"/>
              </w:rPr>
              <w:t>＜1%</w:t>
            </w:r>
          </w:p>
        </w:tc>
      </w:tr>
    </w:tbl>
    <w:p>
      <w:pPr>
        <w:widowControl/>
        <w:kinsoku w:val="0"/>
        <w:autoSpaceDE w:val="0"/>
        <w:autoSpaceDN w:val="0"/>
        <w:adjustRightInd w:val="0"/>
        <w:snapToGrid w:val="0"/>
        <w:spacing w:before="182" w:line="460" w:lineRule="exact"/>
        <w:ind w:left="119" w:firstLine="448" w:firstLineChars="200"/>
        <w:textAlignment w:val="baseline"/>
        <w:rPr>
          <w:rFonts w:ascii="Times New Roman" w:hAnsi="Times New Roman" w:eastAsia="Times New Roman" w:cs="Times New Roman"/>
          <w:b/>
          <w:bCs/>
          <w:snapToGrid w:val="0"/>
          <w:color w:val="000000"/>
          <w:spacing w:val="-8"/>
          <w:kern w:val="0"/>
          <w:sz w:val="24"/>
          <w:szCs w:val="24"/>
          <w:lang w:eastAsia="en-US"/>
        </w:rPr>
      </w:pPr>
      <w:r>
        <w:rPr>
          <w:rFonts w:ascii="Times New Roman" w:hAnsi="Times New Roman" w:eastAsia="Times New Roman" w:cs="Times New Roman"/>
          <w:b/>
          <w:bCs/>
          <w:snapToGrid w:val="0"/>
          <w:color w:val="000000"/>
          <w:spacing w:val="-8"/>
          <w:kern w:val="0"/>
          <w:sz w:val="24"/>
          <w:szCs w:val="24"/>
          <w:lang w:eastAsia="en-US"/>
        </w:rPr>
        <w:t>6 、评价因子及评价标准</w:t>
      </w:r>
    </w:p>
    <w:p>
      <w:pPr>
        <w:widowControl/>
        <w:kinsoku w:val="0"/>
        <w:autoSpaceDE w:val="0"/>
        <w:autoSpaceDN w:val="0"/>
        <w:adjustRightInd w:val="0"/>
        <w:snapToGrid w:val="0"/>
        <w:spacing w:before="184" w:line="468" w:lineRule="exact"/>
        <w:ind w:right="3" w:firstLine="480" w:firstLineChars="200"/>
        <w:textAlignment w:val="baseline"/>
        <w:rPr>
          <w:rFonts w:ascii="Times New Roman" w:hAnsi="Times New Roman" w:cs="Times New Roman"/>
          <w:snapToGrid w:val="0"/>
          <w:color w:val="000000"/>
          <w:kern w:val="0"/>
          <w:sz w:val="24"/>
          <w:szCs w:val="24"/>
        </w:rPr>
      </w:pPr>
      <w:r>
        <w:rPr>
          <w:rFonts w:ascii="Times New Roman" w:hAnsi="Times New Roman" w:cs="Times New Roman"/>
          <w:kern w:val="2"/>
          <w:sz w:val="24"/>
          <w:szCs w:val="24"/>
        </w:rPr>
        <w:t>本评价选择参与计算的污染物为常规污染物PM</w:t>
      </w:r>
      <w:r>
        <w:rPr>
          <w:rFonts w:ascii="Times New Roman" w:hAnsi="Times New Roman" w:cs="Times New Roman"/>
          <w:kern w:val="2"/>
          <w:sz w:val="24"/>
          <w:szCs w:val="24"/>
          <w:vertAlign w:val="subscript"/>
        </w:rPr>
        <w:t>10</w:t>
      </w:r>
      <w:r>
        <w:rPr>
          <w:rFonts w:ascii="Times New Roman" w:hAnsi="Times New Roman" w:cs="Times New Roman"/>
          <w:kern w:val="2"/>
          <w:sz w:val="24"/>
          <w:szCs w:val="24"/>
        </w:rPr>
        <w:t>、SO</w:t>
      </w:r>
      <w:r>
        <w:rPr>
          <w:rFonts w:ascii="Times New Roman" w:hAnsi="Times New Roman" w:cs="Times New Roman"/>
          <w:kern w:val="2"/>
          <w:sz w:val="24"/>
          <w:szCs w:val="24"/>
          <w:vertAlign w:val="subscript"/>
        </w:rPr>
        <w:t>2</w:t>
      </w:r>
      <w:r>
        <w:rPr>
          <w:rFonts w:ascii="Times New Roman" w:hAnsi="Times New Roman" w:cs="Times New Roman"/>
          <w:kern w:val="2"/>
          <w:sz w:val="24"/>
          <w:szCs w:val="24"/>
        </w:rPr>
        <w:t>、NO</w:t>
      </w:r>
      <w:r>
        <w:rPr>
          <w:rFonts w:hint="eastAsia" w:ascii="Times New Roman" w:hAnsi="Times New Roman" w:cs="Times New Roman"/>
          <w:kern w:val="2"/>
          <w:sz w:val="24"/>
          <w:szCs w:val="24"/>
          <w:vertAlign w:val="subscript"/>
        </w:rPr>
        <w:t>x</w:t>
      </w:r>
      <w:r>
        <w:rPr>
          <w:rFonts w:ascii="Times New Roman" w:hAnsi="Times New Roman" w:cs="Times New Roman"/>
          <w:kern w:val="2"/>
          <w:sz w:val="24"/>
          <w:szCs w:val="24"/>
        </w:rPr>
        <w:t>、</w:t>
      </w:r>
      <w:r>
        <w:rPr>
          <w:rFonts w:hint="eastAsia" w:ascii="Times New Roman" w:hAnsi="Times New Roman" w:cs="Times New Roman"/>
          <w:kern w:val="2"/>
          <w:sz w:val="24"/>
          <w:szCs w:val="24"/>
          <w:lang w:val="en-US" w:eastAsia="zh-CN"/>
        </w:rPr>
        <w:t>汞及其化合物</w:t>
      </w:r>
      <w:r>
        <w:rPr>
          <w:rFonts w:hint="eastAsia" w:ascii="Times New Roman" w:cs="Times New Roman"/>
          <w:kern w:val="2"/>
          <w:sz w:val="24"/>
          <w:szCs w:val="24"/>
          <w:lang w:val="en-US" w:eastAsia="zh-CN"/>
        </w:rPr>
        <w:t>、CO</w:t>
      </w:r>
      <w:r>
        <w:rPr>
          <w:rFonts w:ascii="Times New Roman" w:hAnsi="Times New Roman" w:cs="Times New Roman"/>
          <w:kern w:val="2"/>
          <w:sz w:val="24"/>
          <w:szCs w:val="24"/>
        </w:rPr>
        <w:t>。</w:t>
      </w:r>
    </w:p>
    <w:p>
      <w:pPr>
        <w:adjustRightInd w:val="0"/>
        <w:spacing w:line="360" w:lineRule="auto"/>
        <w:jc w:val="center"/>
        <w:rPr>
          <w:rFonts w:ascii="Times New Roman" w:hAnsi="Times New Roman" w:eastAsia="宋体" w:cs="Times New Roman"/>
          <w:b/>
          <w:color w:val="000000"/>
          <w:kern w:val="2"/>
          <w:sz w:val="21"/>
          <w:szCs w:val="21"/>
          <w:lang w:eastAsia="en-US" w:bidi="ar"/>
        </w:rPr>
      </w:pPr>
      <w:r>
        <w:rPr>
          <w:rFonts w:ascii="Times New Roman" w:hAnsi="Times New Roman" w:eastAsia="宋体" w:cs="Times New Roman"/>
          <w:b/>
          <w:color w:val="000000"/>
          <w:kern w:val="2"/>
          <w:sz w:val="21"/>
          <w:szCs w:val="21"/>
          <w:lang w:eastAsia="en-US" w:bidi="ar"/>
        </w:rPr>
        <w:t>表</w:t>
      </w:r>
      <w:r>
        <w:rPr>
          <w:rFonts w:hint="eastAsia" w:ascii="Times New Roman" w:hAnsi="Times New Roman" w:eastAsia="宋体" w:cs="Times New Roman"/>
          <w:b/>
          <w:color w:val="000000"/>
          <w:kern w:val="2"/>
          <w:sz w:val="21"/>
          <w:szCs w:val="21"/>
          <w:lang w:eastAsia="en-US" w:bidi="ar"/>
        </w:rPr>
        <w:t>5</w:t>
      </w:r>
      <w:r>
        <w:rPr>
          <w:rFonts w:hint="eastAsia" w:ascii="Times New Roman" w:hAnsi="Times New Roman" w:eastAsia="宋体" w:cs="Times New Roman"/>
          <w:b/>
          <w:color w:val="000000"/>
          <w:kern w:val="2"/>
          <w:sz w:val="21"/>
          <w:szCs w:val="21"/>
          <w:lang w:val="en-US" w:eastAsia="zh-CN" w:bidi="ar"/>
        </w:rPr>
        <w:t xml:space="preserve">   </w:t>
      </w:r>
      <w:r>
        <w:rPr>
          <w:rFonts w:ascii="Times New Roman" w:hAnsi="Times New Roman" w:eastAsia="宋体" w:cs="Times New Roman"/>
          <w:b/>
          <w:color w:val="000000"/>
          <w:kern w:val="2"/>
          <w:sz w:val="21"/>
          <w:szCs w:val="21"/>
          <w:lang w:eastAsia="en-US" w:bidi="ar"/>
        </w:rPr>
        <w:t>评价因子和评价标准表</w:t>
      </w:r>
    </w:p>
    <w:tbl>
      <w:tblPr>
        <w:tblStyle w:val="38"/>
        <w:tblW w:w="501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56"/>
        <w:gridCol w:w="2150"/>
        <w:gridCol w:w="1663"/>
        <w:gridCol w:w="31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3" w:hRule="atLeast"/>
          <w:jc w:val="center"/>
        </w:trPr>
        <w:tc>
          <w:tcPr>
            <w:tcW w:w="813" w:type="pct"/>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评价因子</w:t>
            </w:r>
          </w:p>
        </w:tc>
        <w:tc>
          <w:tcPr>
            <w:tcW w:w="1289" w:type="pct"/>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平均时段</w:t>
            </w:r>
          </w:p>
        </w:tc>
        <w:tc>
          <w:tcPr>
            <w:tcW w:w="997" w:type="pct"/>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标准值</w:t>
            </w:r>
          </w:p>
        </w:tc>
        <w:tc>
          <w:tcPr>
            <w:tcW w:w="1899" w:type="pct"/>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标准来源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jc w:val="center"/>
        </w:trPr>
        <w:tc>
          <w:tcPr>
            <w:tcW w:w="813" w:type="pct"/>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PM</w:t>
            </w:r>
            <w:r>
              <w:rPr>
                <w:rFonts w:ascii="Times New Roman" w:hAnsi="Times New Roman" w:eastAsia="SimSun-ExtB" w:cs="Times New Roman"/>
                <w:kern w:val="2"/>
                <w:sz w:val="21"/>
                <w:szCs w:val="21"/>
                <w:vertAlign w:val="subscript"/>
                <w:lang w:eastAsia="en-US"/>
              </w:rPr>
              <w:t>10</w:t>
            </w:r>
          </w:p>
        </w:tc>
        <w:tc>
          <w:tcPr>
            <w:tcW w:w="1289" w:type="pct"/>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3倍日均</w:t>
            </w:r>
          </w:p>
        </w:tc>
        <w:tc>
          <w:tcPr>
            <w:tcW w:w="997" w:type="pct"/>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450μg/m³</w:t>
            </w:r>
          </w:p>
        </w:tc>
        <w:tc>
          <w:tcPr>
            <w:tcW w:w="1899" w:type="pct"/>
            <w:vMerge w:val="restart"/>
            <w:noWrap w:val="0"/>
            <w:vAlign w:val="center"/>
          </w:tcPr>
          <w:p>
            <w:pPr>
              <w:snapToGrid w:val="0"/>
              <w:jc w:val="center"/>
              <w:rPr>
                <w:rFonts w:ascii="Times New Roman" w:hAnsi="Times New Roman" w:eastAsia="SimSun-ExtB" w:cs="Times New Roman"/>
                <w:kern w:val="2"/>
                <w:sz w:val="21"/>
                <w:szCs w:val="21"/>
              </w:rPr>
            </w:pPr>
          </w:p>
          <w:p>
            <w:pPr>
              <w:snapToGrid w:val="0"/>
              <w:jc w:val="center"/>
              <w:rPr>
                <w:rFonts w:ascii="Times New Roman" w:hAnsi="Times New Roman" w:eastAsia="SimSun-ExtB" w:cs="Times New Roman"/>
                <w:kern w:val="2"/>
                <w:sz w:val="21"/>
                <w:szCs w:val="21"/>
              </w:rPr>
            </w:pPr>
            <w:r>
              <w:rPr>
                <w:rFonts w:ascii="Times New Roman" w:hAnsi="Times New Roman" w:eastAsia="SimSun-ExtB" w:cs="Times New Roman"/>
                <w:kern w:val="2"/>
                <w:sz w:val="21"/>
                <w:szCs w:val="21"/>
              </w:rPr>
              <w:t>《环境空气质量标准》</w:t>
            </w:r>
          </w:p>
          <w:p>
            <w:pPr>
              <w:snapToGrid w:val="0"/>
              <w:jc w:val="center"/>
              <w:rPr>
                <w:rFonts w:ascii="Times New Roman" w:hAnsi="Times New Roman" w:eastAsia="SimSun-ExtB" w:cs="Times New Roman"/>
                <w:kern w:val="2"/>
                <w:sz w:val="21"/>
                <w:szCs w:val="21"/>
              </w:rPr>
            </w:pPr>
            <w:r>
              <w:rPr>
                <w:rFonts w:ascii="Times New Roman" w:hAnsi="Times New Roman" w:eastAsia="SimSun-ExtB" w:cs="Times New Roman"/>
                <w:kern w:val="2"/>
                <w:sz w:val="21"/>
                <w:szCs w:val="21"/>
              </w:rPr>
              <w:t>（GB3095-2012）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jc w:val="center"/>
        </w:trPr>
        <w:tc>
          <w:tcPr>
            <w:tcW w:w="813" w:type="pct"/>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SO</w:t>
            </w:r>
            <w:r>
              <w:rPr>
                <w:rFonts w:ascii="Times New Roman" w:hAnsi="Times New Roman" w:eastAsia="SimSun-ExtB" w:cs="Times New Roman"/>
                <w:kern w:val="2"/>
                <w:sz w:val="21"/>
                <w:szCs w:val="21"/>
                <w:vertAlign w:val="subscript"/>
                <w:lang w:eastAsia="en-US"/>
              </w:rPr>
              <w:t>2</w:t>
            </w:r>
          </w:p>
        </w:tc>
        <w:tc>
          <w:tcPr>
            <w:tcW w:w="1289" w:type="pct"/>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小时值</w:t>
            </w:r>
          </w:p>
        </w:tc>
        <w:tc>
          <w:tcPr>
            <w:tcW w:w="997" w:type="pct"/>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500μg/m³</w:t>
            </w:r>
          </w:p>
        </w:tc>
        <w:tc>
          <w:tcPr>
            <w:tcW w:w="1899" w:type="pct"/>
            <w:vMerge w:val="continue"/>
            <w:noWrap w:val="0"/>
            <w:vAlign w:val="center"/>
          </w:tcPr>
          <w:p>
            <w:pPr>
              <w:snapToGrid w:val="0"/>
              <w:jc w:val="center"/>
              <w:rPr>
                <w:rFonts w:ascii="Times New Roman" w:hAnsi="Times New Roman" w:eastAsia="SimSun-ExtB" w:cs="Times New Roman"/>
                <w:kern w:val="2"/>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jc w:val="center"/>
        </w:trPr>
        <w:tc>
          <w:tcPr>
            <w:tcW w:w="813" w:type="pct"/>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NO</w:t>
            </w:r>
            <w:r>
              <w:rPr>
                <w:rFonts w:ascii="Times New Roman" w:hAnsi="Times New Roman" w:eastAsia="SimSun-ExtB" w:cs="Times New Roman"/>
                <w:kern w:val="2"/>
                <w:sz w:val="21"/>
                <w:szCs w:val="21"/>
                <w:vertAlign w:val="subscript"/>
                <w:lang w:eastAsia="en-US"/>
              </w:rPr>
              <w:t>X</w:t>
            </w:r>
          </w:p>
        </w:tc>
        <w:tc>
          <w:tcPr>
            <w:tcW w:w="1289" w:type="pct"/>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小时值</w:t>
            </w:r>
          </w:p>
        </w:tc>
        <w:tc>
          <w:tcPr>
            <w:tcW w:w="997" w:type="pct"/>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2</w:t>
            </w:r>
            <w:r>
              <w:rPr>
                <w:rFonts w:hint="eastAsia" w:ascii="Times New Roman" w:hAnsi="Times New Roman" w:eastAsia="SimSun-ExtB" w:cs="Times New Roman"/>
                <w:kern w:val="2"/>
                <w:sz w:val="21"/>
                <w:szCs w:val="21"/>
              </w:rPr>
              <w:t>5</w:t>
            </w:r>
            <w:r>
              <w:rPr>
                <w:rFonts w:ascii="Times New Roman" w:hAnsi="Times New Roman" w:eastAsia="SimSun-ExtB" w:cs="Times New Roman"/>
                <w:kern w:val="2"/>
                <w:sz w:val="21"/>
                <w:szCs w:val="21"/>
                <w:lang w:eastAsia="en-US"/>
              </w:rPr>
              <w:t>0μg/m³</w:t>
            </w:r>
          </w:p>
        </w:tc>
        <w:tc>
          <w:tcPr>
            <w:tcW w:w="1899" w:type="pct"/>
            <w:vMerge w:val="continue"/>
            <w:noWrap w:val="0"/>
            <w:vAlign w:val="center"/>
          </w:tcPr>
          <w:p>
            <w:pPr>
              <w:snapToGrid w:val="0"/>
              <w:jc w:val="center"/>
              <w:rPr>
                <w:rFonts w:ascii="Times New Roman" w:hAnsi="Times New Roman" w:eastAsia="SimSun-ExtB" w:cs="Times New Roman"/>
                <w:kern w:val="2"/>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813" w:type="pct"/>
            <w:noWrap w:val="0"/>
            <w:vAlign w:val="center"/>
          </w:tcPr>
          <w:p>
            <w:pPr>
              <w:snapToGrid w:val="0"/>
              <w:jc w:val="center"/>
              <w:rPr>
                <w:rFonts w:ascii="Times New Roman" w:hAnsi="Times New Roman" w:eastAsia="SimSun-ExtB" w:cs="Times New Roman"/>
                <w:kern w:val="2"/>
                <w:sz w:val="21"/>
                <w:szCs w:val="21"/>
                <w:lang w:eastAsia="en-US"/>
              </w:rPr>
            </w:pPr>
            <w:r>
              <w:rPr>
                <w:rFonts w:hint="eastAsia" w:ascii="Times New Roman" w:hAnsi="Times New Roman" w:eastAsia="SimSun-ExtB" w:cs="Times New Roman"/>
                <w:kern w:val="2"/>
                <w:sz w:val="21"/>
                <w:szCs w:val="21"/>
                <w:lang w:val="en-US" w:eastAsia="en-US"/>
              </w:rPr>
              <w:t>汞及其化合物</w:t>
            </w:r>
          </w:p>
        </w:tc>
        <w:tc>
          <w:tcPr>
            <w:tcW w:w="1289" w:type="pct"/>
            <w:noWrap w:val="0"/>
            <w:vAlign w:val="center"/>
          </w:tcPr>
          <w:p>
            <w:pPr>
              <w:snapToGrid w:val="0"/>
              <w:jc w:val="center"/>
              <w:rPr>
                <w:rFonts w:ascii="Times New Roman" w:hAnsi="Times New Roman" w:eastAsia="SimSun-ExtB" w:cs="Times New Roman"/>
                <w:kern w:val="2"/>
                <w:sz w:val="21"/>
                <w:szCs w:val="21"/>
                <w:lang w:eastAsia="en-US"/>
              </w:rPr>
            </w:pPr>
            <w:r>
              <w:rPr>
                <w:rFonts w:hint="eastAsia" w:ascii="Times New Roman" w:hAnsi="Times New Roman" w:eastAsia="SimSun-ExtB" w:cs="Times New Roman"/>
                <w:kern w:val="2"/>
                <w:sz w:val="21"/>
                <w:szCs w:val="21"/>
                <w:lang w:val="en-US" w:eastAsia="zh-CN"/>
              </w:rPr>
              <w:t>6倍年</w:t>
            </w:r>
            <w:r>
              <w:rPr>
                <w:rFonts w:ascii="Times New Roman" w:hAnsi="Times New Roman" w:eastAsia="SimSun-ExtB" w:cs="Times New Roman"/>
                <w:kern w:val="2"/>
                <w:sz w:val="21"/>
                <w:szCs w:val="21"/>
                <w:lang w:eastAsia="en-US"/>
              </w:rPr>
              <w:t>均</w:t>
            </w:r>
          </w:p>
        </w:tc>
        <w:tc>
          <w:tcPr>
            <w:tcW w:w="997" w:type="pct"/>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0.</w:t>
            </w:r>
            <w:r>
              <w:rPr>
                <w:rFonts w:hint="eastAsia" w:ascii="Times New Roman" w:hAnsi="Times New Roman" w:eastAsia="SimSun-ExtB" w:cs="Times New Roman"/>
                <w:kern w:val="2"/>
                <w:sz w:val="21"/>
                <w:szCs w:val="21"/>
                <w:lang w:val="en-US" w:eastAsia="zh-CN"/>
              </w:rPr>
              <w:t>3</w:t>
            </w:r>
            <w:r>
              <w:rPr>
                <w:rFonts w:ascii="Times New Roman" w:hAnsi="Times New Roman" w:eastAsia="SimSun-ExtB" w:cs="Times New Roman"/>
                <w:kern w:val="2"/>
                <w:sz w:val="21"/>
                <w:szCs w:val="21"/>
                <w:lang w:eastAsia="en-US"/>
              </w:rPr>
              <w:t>μg/m³</w:t>
            </w:r>
          </w:p>
        </w:tc>
        <w:tc>
          <w:tcPr>
            <w:tcW w:w="1899" w:type="pct"/>
            <w:vMerge w:val="continue"/>
            <w:noWrap w:val="0"/>
            <w:vAlign w:val="center"/>
          </w:tcPr>
          <w:p>
            <w:pPr>
              <w:snapToGrid w:val="0"/>
              <w:jc w:val="center"/>
              <w:rPr>
                <w:rFonts w:ascii="Times New Roman" w:hAnsi="Times New Roman" w:eastAsia="SimSun-ExtB" w:cs="Times New Roman"/>
                <w:kern w:val="2"/>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813" w:type="pct"/>
            <w:noWrap w:val="0"/>
            <w:vAlign w:val="center"/>
          </w:tcPr>
          <w:p>
            <w:pPr>
              <w:snapToGrid w:val="0"/>
              <w:jc w:val="center"/>
              <w:rPr>
                <w:rFonts w:hint="default" w:ascii="Times New Roman" w:hAnsi="Times New Roman" w:eastAsia="SimSun-ExtB" w:cs="Times New Roman"/>
                <w:kern w:val="2"/>
                <w:sz w:val="21"/>
                <w:szCs w:val="21"/>
                <w:lang w:val="en-US" w:eastAsia="zh-CN"/>
              </w:rPr>
            </w:pPr>
            <w:r>
              <w:rPr>
                <w:rFonts w:hint="eastAsia" w:ascii="Times New Roman" w:eastAsia="SimSun-ExtB" w:cs="Times New Roman"/>
                <w:kern w:val="2"/>
                <w:sz w:val="21"/>
                <w:szCs w:val="21"/>
                <w:lang w:val="en-US" w:eastAsia="zh-CN"/>
              </w:rPr>
              <w:t>CO</w:t>
            </w:r>
          </w:p>
        </w:tc>
        <w:tc>
          <w:tcPr>
            <w:tcW w:w="1289" w:type="pct"/>
            <w:noWrap w:val="0"/>
            <w:vAlign w:val="center"/>
          </w:tcPr>
          <w:p>
            <w:pPr>
              <w:snapToGrid w:val="0"/>
              <w:jc w:val="center"/>
              <w:rPr>
                <w:rFonts w:hint="eastAsia" w:ascii="Times New Roman" w:hAnsi="Times New Roman" w:eastAsia="SimSun-ExtB" w:cs="Times New Roman"/>
                <w:kern w:val="2"/>
                <w:sz w:val="21"/>
                <w:szCs w:val="21"/>
                <w:lang w:val="en-US" w:eastAsia="zh-CN"/>
              </w:rPr>
            </w:pPr>
            <w:r>
              <w:rPr>
                <w:rFonts w:ascii="Times New Roman" w:hAnsi="Times New Roman" w:eastAsia="SimSun-ExtB" w:cs="Times New Roman"/>
                <w:kern w:val="2"/>
                <w:sz w:val="21"/>
                <w:szCs w:val="21"/>
                <w:lang w:eastAsia="en-US"/>
              </w:rPr>
              <w:t>小时值</w:t>
            </w:r>
          </w:p>
        </w:tc>
        <w:tc>
          <w:tcPr>
            <w:tcW w:w="997" w:type="pct"/>
            <w:noWrap w:val="0"/>
            <w:vAlign w:val="center"/>
          </w:tcPr>
          <w:p>
            <w:pPr>
              <w:snapToGrid w:val="0"/>
              <w:jc w:val="center"/>
              <w:rPr>
                <w:rFonts w:hint="default" w:ascii="Times New Roman" w:hAnsi="Times New Roman" w:eastAsia="SimSun-ExtB" w:cs="Times New Roman"/>
                <w:kern w:val="2"/>
                <w:sz w:val="21"/>
                <w:szCs w:val="21"/>
                <w:lang w:val="en-US" w:eastAsia="zh-CN"/>
              </w:rPr>
            </w:pPr>
            <w:r>
              <w:rPr>
                <w:rFonts w:hint="eastAsia" w:ascii="Times New Roman" w:eastAsia="SimSun-ExtB" w:cs="Times New Roman"/>
                <w:kern w:val="2"/>
                <w:sz w:val="21"/>
                <w:szCs w:val="21"/>
                <w:lang w:val="en-US" w:eastAsia="zh-CN"/>
              </w:rPr>
              <w:t>10m</w:t>
            </w:r>
            <w:r>
              <w:rPr>
                <w:rFonts w:ascii="Times New Roman" w:hAnsi="Times New Roman" w:eastAsia="SimSun-ExtB" w:cs="Times New Roman"/>
                <w:kern w:val="2"/>
                <w:sz w:val="21"/>
                <w:szCs w:val="21"/>
                <w:lang w:eastAsia="en-US"/>
              </w:rPr>
              <w:t>g/m³</w:t>
            </w:r>
          </w:p>
        </w:tc>
        <w:tc>
          <w:tcPr>
            <w:tcW w:w="1899" w:type="pct"/>
            <w:vMerge w:val="continue"/>
            <w:noWrap w:val="0"/>
            <w:vAlign w:val="center"/>
          </w:tcPr>
          <w:p>
            <w:pPr>
              <w:snapToGrid w:val="0"/>
              <w:jc w:val="center"/>
              <w:rPr>
                <w:rFonts w:ascii="Times New Roman" w:hAnsi="Times New Roman" w:eastAsia="SimSun-ExtB" w:cs="Times New Roman"/>
                <w:kern w:val="2"/>
                <w:sz w:val="21"/>
                <w:szCs w:val="21"/>
                <w:lang w:eastAsia="en-US"/>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813" w:type="pct"/>
            <w:noWrap w:val="0"/>
            <w:vAlign w:val="center"/>
          </w:tcPr>
          <w:p>
            <w:pPr>
              <w:snapToGrid w:val="0"/>
              <w:jc w:val="center"/>
              <w:rPr>
                <w:rFonts w:hint="default" w:ascii="Times New Roman" w:eastAsia="SimSun-ExtB" w:cs="Times New Roman"/>
                <w:kern w:val="2"/>
                <w:sz w:val="21"/>
                <w:szCs w:val="21"/>
                <w:lang w:val="en-US" w:eastAsia="zh-CN"/>
              </w:rPr>
            </w:pPr>
            <w:r>
              <w:rPr>
                <w:rFonts w:hint="eastAsia" w:ascii="Times New Roman" w:eastAsia="SimSun-ExtB" w:cs="Times New Roman"/>
                <w:kern w:val="2"/>
                <w:sz w:val="21"/>
                <w:szCs w:val="21"/>
                <w:lang w:val="en-US" w:eastAsia="zh-CN"/>
              </w:rPr>
              <w:t>氨</w:t>
            </w:r>
          </w:p>
        </w:tc>
        <w:tc>
          <w:tcPr>
            <w:tcW w:w="1289" w:type="pct"/>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小时值</w:t>
            </w:r>
          </w:p>
        </w:tc>
        <w:tc>
          <w:tcPr>
            <w:tcW w:w="997" w:type="pct"/>
            <w:noWrap w:val="0"/>
            <w:vAlign w:val="center"/>
          </w:tcPr>
          <w:p>
            <w:pPr>
              <w:snapToGrid w:val="0"/>
              <w:jc w:val="center"/>
              <w:rPr>
                <w:rFonts w:hint="default" w:ascii="Times New Roman" w:eastAsia="SimSun-ExtB" w:cs="Times New Roman"/>
                <w:kern w:val="2"/>
                <w:sz w:val="21"/>
                <w:szCs w:val="21"/>
                <w:lang w:val="en-US" w:eastAsia="zh-CN"/>
              </w:rPr>
            </w:pPr>
            <w:r>
              <w:rPr>
                <w:rFonts w:hint="eastAsia" w:ascii="Times New Roman" w:eastAsia="SimSun-ExtB" w:cs="Times New Roman"/>
                <w:kern w:val="2"/>
                <w:sz w:val="21"/>
                <w:szCs w:val="21"/>
                <w:lang w:val="en-US" w:eastAsia="zh-CN"/>
              </w:rPr>
              <w:t>200</w:t>
            </w:r>
            <w:r>
              <w:rPr>
                <w:rFonts w:ascii="Times New Roman" w:hAnsi="Times New Roman" w:eastAsia="SimSun-ExtB" w:cs="Times New Roman"/>
                <w:kern w:val="2"/>
                <w:sz w:val="21"/>
                <w:szCs w:val="21"/>
                <w:lang w:eastAsia="en-US"/>
              </w:rPr>
              <w:t>μg/m³</w:t>
            </w:r>
          </w:p>
        </w:tc>
        <w:tc>
          <w:tcPr>
            <w:tcW w:w="1899" w:type="pct"/>
            <w:vMerge w:val="restart"/>
            <w:noWrap w:val="0"/>
            <w:vAlign w:val="center"/>
          </w:tcPr>
          <w:p>
            <w:pPr>
              <w:snapToGrid w:val="0"/>
              <w:jc w:val="center"/>
              <w:rPr>
                <w:rFonts w:ascii="Times New Roman" w:hAnsi="Times New Roman" w:eastAsia="SimSun-ExtB" w:cs="Times New Roman"/>
                <w:kern w:val="2"/>
                <w:sz w:val="21"/>
                <w:szCs w:val="21"/>
                <w:lang w:eastAsia="en-US"/>
              </w:rPr>
            </w:pPr>
            <w:r>
              <w:rPr>
                <w:rFonts w:hint="default" w:ascii="Times New Roman" w:hAnsi="Times New Roman" w:eastAsia="SimSun-ExtB" w:cs="Times New Roman"/>
                <w:kern w:val="2"/>
                <w:sz w:val="21"/>
                <w:szCs w:val="21"/>
                <w:lang w:eastAsia="en-US"/>
              </w:rPr>
              <w:t>《 环境影响评价技术导则 大气环境》（HJ2.2-2018）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813" w:type="pct"/>
            <w:noWrap w:val="0"/>
            <w:vAlign w:val="center"/>
          </w:tcPr>
          <w:p>
            <w:pPr>
              <w:snapToGrid w:val="0"/>
              <w:jc w:val="center"/>
              <w:rPr>
                <w:rFonts w:hint="default" w:ascii="Times New Roman" w:eastAsia="SimSun-ExtB" w:cs="Times New Roman"/>
                <w:kern w:val="2"/>
                <w:sz w:val="21"/>
                <w:szCs w:val="21"/>
                <w:lang w:val="en-US" w:eastAsia="zh-CN"/>
              </w:rPr>
            </w:pPr>
            <w:r>
              <w:rPr>
                <w:rFonts w:hint="eastAsia" w:ascii="Times New Roman" w:eastAsia="SimSun-ExtB" w:cs="Times New Roman"/>
                <w:kern w:val="2"/>
                <w:sz w:val="21"/>
                <w:szCs w:val="21"/>
                <w:lang w:val="en-US" w:eastAsia="zh-CN"/>
              </w:rPr>
              <w:t>硫化氢</w:t>
            </w:r>
          </w:p>
        </w:tc>
        <w:tc>
          <w:tcPr>
            <w:tcW w:w="1289" w:type="pct"/>
            <w:noWrap w:val="0"/>
            <w:vAlign w:val="center"/>
          </w:tcPr>
          <w:p>
            <w:pPr>
              <w:snapToGrid w:val="0"/>
              <w:jc w:val="center"/>
              <w:rPr>
                <w:rFonts w:ascii="Times New Roman" w:hAnsi="Times New Roman" w:eastAsia="SimSun-ExtB" w:cs="Times New Roman"/>
                <w:kern w:val="2"/>
                <w:sz w:val="21"/>
                <w:szCs w:val="21"/>
                <w:lang w:eastAsia="en-US"/>
              </w:rPr>
            </w:pPr>
            <w:r>
              <w:rPr>
                <w:rFonts w:ascii="Times New Roman" w:hAnsi="Times New Roman" w:eastAsia="SimSun-ExtB" w:cs="Times New Roman"/>
                <w:kern w:val="2"/>
                <w:sz w:val="21"/>
                <w:szCs w:val="21"/>
                <w:lang w:eastAsia="en-US"/>
              </w:rPr>
              <w:t>小时值</w:t>
            </w:r>
          </w:p>
        </w:tc>
        <w:tc>
          <w:tcPr>
            <w:tcW w:w="997" w:type="pct"/>
            <w:noWrap w:val="0"/>
            <w:vAlign w:val="center"/>
          </w:tcPr>
          <w:p>
            <w:pPr>
              <w:snapToGrid w:val="0"/>
              <w:jc w:val="center"/>
              <w:rPr>
                <w:rFonts w:hint="default" w:ascii="Times New Roman" w:eastAsia="SimSun-ExtB" w:cs="Times New Roman"/>
                <w:kern w:val="2"/>
                <w:sz w:val="21"/>
                <w:szCs w:val="21"/>
                <w:lang w:val="en-US" w:eastAsia="zh-CN"/>
              </w:rPr>
            </w:pPr>
            <w:r>
              <w:rPr>
                <w:rFonts w:hint="eastAsia" w:ascii="Times New Roman" w:eastAsia="SimSun-ExtB" w:cs="Times New Roman"/>
                <w:kern w:val="2"/>
                <w:sz w:val="21"/>
                <w:szCs w:val="21"/>
                <w:lang w:val="en-US" w:eastAsia="zh-CN"/>
              </w:rPr>
              <w:t>10</w:t>
            </w:r>
            <w:r>
              <w:rPr>
                <w:rFonts w:ascii="Times New Roman" w:hAnsi="Times New Roman" w:eastAsia="SimSun-ExtB" w:cs="Times New Roman"/>
                <w:kern w:val="2"/>
                <w:sz w:val="21"/>
                <w:szCs w:val="21"/>
                <w:lang w:eastAsia="en-US"/>
              </w:rPr>
              <w:t>μg/m³</w:t>
            </w:r>
          </w:p>
        </w:tc>
        <w:tc>
          <w:tcPr>
            <w:tcW w:w="1899" w:type="pct"/>
            <w:vMerge w:val="continue"/>
            <w:noWrap w:val="0"/>
            <w:vAlign w:val="center"/>
          </w:tcPr>
          <w:p>
            <w:pPr>
              <w:snapToGrid w:val="0"/>
              <w:jc w:val="center"/>
              <w:rPr>
                <w:rFonts w:ascii="Times New Roman" w:hAnsi="Times New Roman" w:eastAsia="SimSun-ExtB" w:cs="Times New Roman"/>
                <w:kern w:val="2"/>
                <w:sz w:val="21"/>
                <w:szCs w:val="21"/>
                <w:lang w:eastAsia="en-US"/>
              </w:rPr>
            </w:pPr>
          </w:p>
        </w:tc>
      </w:tr>
    </w:tbl>
    <w:p>
      <w:pPr>
        <w:widowControl/>
        <w:kinsoku w:val="0"/>
        <w:autoSpaceDE w:val="0"/>
        <w:autoSpaceDN w:val="0"/>
        <w:adjustRightInd w:val="0"/>
        <w:snapToGrid w:val="0"/>
        <w:spacing w:before="182" w:line="460" w:lineRule="exact"/>
        <w:ind w:left="119" w:firstLine="448" w:firstLineChars="200"/>
        <w:textAlignment w:val="baseline"/>
        <w:rPr>
          <w:rFonts w:ascii="Times New Roman" w:hAnsi="Times New Roman" w:eastAsia="Times New Roman" w:cs="Times New Roman"/>
          <w:b/>
          <w:bCs/>
          <w:snapToGrid w:val="0"/>
          <w:color w:val="000000"/>
          <w:spacing w:val="-8"/>
          <w:kern w:val="0"/>
          <w:sz w:val="24"/>
          <w:szCs w:val="24"/>
          <w:highlight w:val="none"/>
          <w:lang w:eastAsia="en-US"/>
        </w:rPr>
      </w:pPr>
      <w:r>
        <w:rPr>
          <w:rFonts w:ascii="Times New Roman" w:hAnsi="Times New Roman" w:eastAsia="Times New Roman" w:cs="Times New Roman"/>
          <w:b/>
          <w:bCs/>
          <w:snapToGrid w:val="0"/>
          <w:color w:val="000000"/>
          <w:spacing w:val="-8"/>
          <w:kern w:val="0"/>
          <w:sz w:val="24"/>
          <w:szCs w:val="24"/>
          <w:highlight w:val="none"/>
          <w:lang w:eastAsia="en-US"/>
        </w:rPr>
        <w:t>7 、预测结果</w:t>
      </w:r>
    </w:p>
    <w:p>
      <w:pPr>
        <w:widowControl/>
        <w:kinsoku w:val="0"/>
        <w:autoSpaceDE w:val="0"/>
        <w:autoSpaceDN w:val="0"/>
        <w:adjustRightInd w:val="0"/>
        <w:snapToGrid w:val="0"/>
        <w:spacing w:before="182" w:line="218" w:lineRule="auto"/>
        <w:ind w:left="605"/>
        <w:jc w:val="left"/>
        <w:textAlignment w:val="baseline"/>
        <w:rPr>
          <w:rFonts w:ascii="Times New Roman" w:hAnsi="Times New Roman" w:cs="Times New Roman"/>
          <w:snapToGrid w:val="0"/>
          <w:color w:val="000000"/>
          <w:spacing w:val="-1"/>
          <w:kern w:val="0"/>
          <w:sz w:val="24"/>
          <w:szCs w:val="24"/>
          <w:highlight w:val="none"/>
        </w:rPr>
      </w:pPr>
      <w:r>
        <w:rPr>
          <w:rFonts w:ascii="Times New Roman" w:hAnsi="Times New Roman" w:cs="Times New Roman"/>
          <w:snapToGrid w:val="0"/>
          <w:color w:val="000000"/>
          <w:spacing w:val="-1"/>
          <w:kern w:val="0"/>
          <w:sz w:val="24"/>
          <w:szCs w:val="24"/>
          <w:highlight w:val="none"/>
        </w:rPr>
        <w:t>项目污染物估算结果如下表所示：</w:t>
      </w:r>
    </w:p>
    <w:p>
      <w:pPr>
        <w:adjustRightInd w:val="0"/>
        <w:spacing w:line="360" w:lineRule="auto"/>
        <w:jc w:val="center"/>
        <w:rPr>
          <w:rFonts w:hint="eastAsia" w:ascii="Times New Roman" w:hAnsi="Times New Roman" w:eastAsia="宋体" w:cs="Times New Roman"/>
          <w:b/>
          <w:color w:val="000000"/>
          <w:kern w:val="2"/>
          <w:sz w:val="21"/>
          <w:szCs w:val="21"/>
          <w:lang w:eastAsia="zh-CN" w:bidi="ar"/>
        </w:rPr>
      </w:pPr>
      <w:r>
        <w:rPr>
          <w:rFonts w:hint="eastAsia" w:ascii="Times New Roman" w:hAnsi="Times New Roman" w:eastAsia="宋体" w:cs="Times New Roman"/>
          <w:b/>
          <w:color w:val="000000"/>
          <w:kern w:val="2"/>
          <w:sz w:val="21"/>
          <w:szCs w:val="21"/>
          <w:lang w:val="en-US" w:eastAsia="zh-CN" w:bidi="ar"/>
        </w:rPr>
        <w:t xml:space="preserve">表6-1  </w:t>
      </w:r>
      <w:r>
        <w:rPr>
          <w:rFonts w:hint="default" w:ascii="Times New Roman" w:hAnsi="Times New Roman" w:eastAsia="宋体" w:cs="Times New Roman"/>
          <w:b/>
          <w:color w:val="000000"/>
          <w:kern w:val="2"/>
          <w:sz w:val="21"/>
          <w:szCs w:val="21"/>
          <w:lang w:eastAsia="en-US" w:bidi="ar"/>
        </w:rPr>
        <w:t>本项目采用估算模式计算的评价等级表</w:t>
      </w:r>
    </w:p>
    <w:tbl>
      <w:tblPr>
        <w:tblStyle w:val="39"/>
        <w:tblW w:w="4867" w:type="pct"/>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1511"/>
        <w:gridCol w:w="1325"/>
        <w:gridCol w:w="1418"/>
        <w:gridCol w:w="1418"/>
        <w:gridCol w:w="1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790"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spacing w:val="6"/>
                <w:kern w:val="0"/>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u w:val="none"/>
                <w:lang w:val="en-US" w:eastAsia="zh-CN" w:bidi="ar"/>
              </w:rPr>
              <w:t>污染源</w:t>
            </w:r>
          </w:p>
        </w:tc>
        <w:tc>
          <w:tcPr>
            <w:tcW w:w="911"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spacing w:val="6"/>
                <w:kern w:val="0"/>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u w:val="none"/>
                <w:lang w:val="en-US" w:eastAsia="zh-CN" w:bidi="ar"/>
              </w:rPr>
              <w:t>评价因子</w:t>
            </w:r>
          </w:p>
        </w:tc>
        <w:tc>
          <w:tcPr>
            <w:tcW w:w="79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spacing w:val="6"/>
                <w:kern w:val="0"/>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u w:val="none"/>
                <w:lang w:val="en-US" w:eastAsia="zh-CN" w:bidi="ar"/>
              </w:rPr>
              <w:t>评价标准(μg/m³)</w:t>
            </w:r>
          </w:p>
        </w:tc>
        <w:tc>
          <w:tcPr>
            <w:tcW w:w="85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spacing w:val="6"/>
                <w:kern w:val="0"/>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u w:val="none"/>
                <w:lang w:val="en-US" w:eastAsia="zh-CN" w:bidi="ar"/>
              </w:rPr>
              <w:t>C</w:t>
            </w:r>
            <w:r>
              <w:rPr>
                <w:rStyle w:val="139"/>
                <w:rFonts w:hint="default" w:ascii="Times New Roman" w:hAnsi="Times New Roman" w:eastAsia="宋体" w:cs="Times New Roman"/>
                <w:b w:val="0"/>
                <w:bCs w:val="0"/>
                <w:color w:val="auto"/>
                <w:kern w:val="2"/>
                <w:sz w:val="21"/>
                <w:szCs w:val="21"/>
                <w:highlight w:val="none"/>
                <w:lang w:val="en-US" w:eastAsia="zh-CN" w:bidi="ar"/>
              </w:rPr>
              <w:t>max</w:t>
            </w:r>
            <w:r>
              <w:rPr>
                <w:rFonts w:hint="default" w:ascii="Times New Roman" w:hAnsi="Times New Roman" w:eastAsia="宋体" w:cs="Times New Roman"/>
                <w:b w:val="0"/>
                <w:bCs w:val="0"/>
                <w:color w:val="auto"/>
                <w:kern w:val="2"/>
                <w:sz w:val="21"/>
                <w:szCs w:val="21"/>
                <w:highlight w:val="none"/>
                <w:u w:val="none"/>
                <w:lang w:val="en-US" w:eastAsia="zh-CN" w:bidi="ar"/>
              </w:rPr>
              <w:t xml:space="preserve"> (μg/m³)</w:t>
            </w:r>
          </w:p>
        </w:tc>
        <w:tc>
          <w:tcPr>
            <w:tcW w:w="85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spacing w:val="6"/>
                <w:kern w:val="0"/>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u w:val="none"/>
                <w:lang w:val="en-US" w:eastAsia="zh-CN" w:bidi="ar"/>
              </w:rPr>
              <w:t>P</w:t>
            </w:r>
            <w:r>
              <w:rPr>
                <w:rStyle w:val="139"/>
                <w:rFonts w:hint="default" w:ascii="Times New Roman" w:hAnsi="Times New Roman" w:eastAsia="宋体" w:cs="Times New Roman"/>
                <w:b w:val="0"/>
                <w:bCs w:val="0"/>
                <w:color w:val="auto"/>
                <w:kern w:val="2"/>
                <w:sz w:val="21"/>
                <w:szCs w:val="21"/>
                <w:highlight w:val="none"/>
                <w:lang w:val="en-US" w:eastAsia="zh-CN" w:bidi="ar"/>
              </w:rPr>
              <w:t>max</w:t>
            </w:r>
            <w:r>
              <w:rPr>
                <w:rFonts w:hint="default" w:ascii="Times New Roman" w:hAnsi="Times New Roman" w:eastAsia="宋体" w:cs="Times New Roman"/>
                <w:b w:val="0"/>
                <w:bCs w:val="0"/>
                <w:color w:val="auto"/>
                <w:kern w:val="2"/>
                <w:sz w:val="21"/>
                <w:szCs w:val="21"/>
                <w:highlight w:val="none"/>
                <w:u w:val="none"/>
                <w:lang w:val="en-US" w:eastAsia="zh-CN" w:bidi="ar"/>
              </w:rPr>
              <w:t>(%)</w:t>
            </w:r>
          </w:p>
        </w:tc>
        <w:tc>
          <w:tcPr>
            <w:tcW w:w="78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spacing w:val="6"/>
                <w:kern w:val="0"/>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u w:val="none"/>
                <w:lang w:val="en-US" w:eastAsia="zh-CN" w:bidi="ar"/>
              </w:rPr>
              <w:t>D</w:t>
            </w:r>
            <w:r>
              <w:rPr>
                <w:rStyle w:val="139"/>
                <w:rFonts w:hint="default" w:ascii="Times New Roman" w:hAnsi="Times New Roman" w:eastAsia="宋体" w:cs="Times New Roman"/>
                <w:b w:val="0"/>
                <w:bCs w:val="0"/>
                <w:color w:val="auto"/>
                <w:kern w:val="2"/>
                <w:sz w:val="21"/>
                <w:szCs w:val="21"/>
                <w:highlight w:val="none"/>
                <w:lang w:val="en-US" w:eastAsia="zh-CN" w:bidi="ar"/>
              </w:rPr>
              <w:t>10%</w:t>
            </w:r>
            <w:r>
              <w:rPr>
                <w:rFonts w:hint="default" w:ascii="Times New Roman" w:hAnsi="Times New Roman" w:eastAsia="宋体" w:cs="Times New Roman"/>
                <w:b w:val="0"/>
                <w:bCs w:val="0"/>
                <w:color w:val="auto"/>
                <w:kern w:val="2"/>
                <w:sz w:val="21"/>
                <w:szCs w:val="21"/>
                <w:highlight w:val="none"/>
                <w:u w:val="none"/>
                <w:lang w:val="en-US" w:eastAsia="zh-CN" w:bidi="ar"/>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790" w:type="pct"/>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
              </w:rPr>
            </w:pPr>
            <w:r>
              <w:rPr>
                <w:rFonts w:hint="eastAsia" w:ascii="Times New Roman" w:hAnsi="Times New Roman" w:cs="Times New Roman"/>
                <w:b w:val="0"/>
                <w:bCs w:val="0"/>
                <w:color w:val="auto"/>
                <w:kern w:val="2"/>
                <w:sz w:val="21"/>
                <w:szCs w:val="21"/>
                <w:highlight w:val="none"/>
                <w:u w:val="none"/>
                <w:lang w:val="en-US" w:eastAsia="zh-CN" w:bidi="ar"/>
              </w:rPr>
              <w:t>DA001</w:t>
            </w:r>
            <w:r>
              <w:rPr>
                <w:rFonts w:hint="eastAsia" w:ascii="Times New Roman" w:cs="Times New Roman"/>
                <w:b w:val="0"/>
                <w:bCs w:val="0"/>
                <w:color w:val="auto"/>
                <w:kern w:val="2"/>
                <w:sz w:val="21"/>
                <w:szCs w:val="21"/>
                <w:highlight w:val="none"/>
                <w:u w:val="none"/>
                <w:lang w:val="en-US" w:eastAsia="zh-CN" w:bidi="ar"/>
              </w:rPr>
              <w:t>（点源）</w:t>
            </w:r>
          </w:p>
        </w:tc>
        <w:tc>
          <w:tcPr>
            <w:tcW w:w="911"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spacing w:val="6"/>
                <w:kern w:val="0"/>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u w:val="none"/>
                <w:lang w:val="en-US" w:eastAsia="zh-CN" w:bidi="ar"/>
              </w:rPr>
              <w:t>PM</w:t>
            </w:r>
            <w:r>
              <w:rPr>
                <w:rFonts w:hint="default" w:ascii="Times New Roman" w:hAnsi="Times New Roman" w:eastAsia="宋体" w:cs="Times New Roman"/>
                <w:b w:val="0"/>
                <w:bCs w:val="0"/>
                <w:color w:val="auto"/>
                <w:kern w:val="2"/>
                <w:sz w:val="21"/>
                <w:szCs w:val="21"/>
                <w:highlight w:val="none"/>
                <w:u w:val="none"/>
                <w:vertAlign w:val="subscript"/>
                <w:lang w:val="en-US" w:eastAsia="zh-CN" w:bidi="ar"/>
              </w:rPr>
              <w:t>10</w:t>
            </w:r>
          </w:p>
        </w:tc>
        <w:tc>
          <w:tcPr>
            <w:tcW w:w="79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450</w:t>
            </w:r>
          </w:p>
        </w:tc>
        <w:tc>
          <w:tcPr>
            <w:tcW w:w="85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u w:val="none"/>
                <w:lang w:val="en-US" w:eastAsia="zh-CN" w:bidi="ar"/>
              </w:rPr>
            </w:pPr>
            <w:r>
              <w:rPr>
                <w:rFonts w:hint="eastAsia" w:ascii="Times New Roman" w:hAnsi="Times New Roman" w:eastAsia="宋体" w:cs="Times New Roman"/>
                <w:b w:val="0"/>
                <w:bCs w:val="0"/>
                <w:color w:val="auto"/>
                <w:kern w:val="2"/>
                <w:sz w:val="21"/>
                <w:szCs w:val="21"/>
                <w:highlight w:val="none"/>
                <w:u w:val="none"/>
                <w:lang w:val="en-US" w:eastAsia="zh-CN" w:bidi="ar"/>
              </w:rPr>
              <w:t>0.722</w:t>
            </w:r>
          </w:p>
        </w:tc>
        <w:tc>
          <w:tcPr>
            <w:tcW w:w="85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u w:val="none"/>
                <w:lang w:val="en-US" w:eastAsia="zh-CN" w:bidi="ar"/>
              </w:rPr>
            </w:pPr>
            <w:r>
              <w:rPr>
                <w:rFonts w:hint="eastAsia" w:ascii="Times New Roman" w:hAnsi="Times New Roman" w:eastAsia="宋体" w:cs="Times New Roman"/>
                <w:b w:val="0"/>
                <w:bCs w:val="0"/>
                <w:color w:val="auto"/>
                <w:kern w:val="2"/>
                <w:sz w:val="21"/>
                <w:szCs w:val="21"/>
                <w:highlight w:val="none"/>
                <w:u w:val="none"/>
                <w:lang w:val="en-US" w:eastAsia="zh-CN" w:bidi="ar"/>
              </w:rPr>
              <w:t>0.1605</w:t>
            </w:r>
          </w:p>
        </w:tc>
        <w:tc>
          <w:tcPr>
            <w:tcW w:w="78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spacing w:val="6"/>
                <w:kern w:val="0"/>
                <w:sz w:val="21"/>
                <w:szCs w:val="21"/>
                <w:highlight w:val="none"/>
                <w:vertAlign w:val="baseline"/>
              </w:rPr>
            </w:pPr>
            <w:r>
              <w:rPr>
                <w:rFonts w:hint="default" w:ascii="Times New Roman" w:hAnsi="Times New Roman" w:eastAsia="宋体" w:cs="Times New Roman"/>
                <w:b w:val="0"/>
                <w:bCs w:val="0"/>
                <w:color w:val="auto"/>
                <w:kern w:val="2"/>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790"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
              </w:rPr>
            </w:pPr>
          </w:p>
        </w:tc>
        <w:tc>
          <w:tcPr>
            <w:tcW w:w="911"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spacing w:val="6"/>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
              </w:rPr>
              <w:t>SO</w:t>
            </w:r>
            <w:r>
              <w:rPr>
                <w:rFonts w:hint="default" w:ascii="Times New Roman" w:hAnsi="Times New Roman" w:eastAsia="宋体" w:cs="Times New Roman"/>
                <w:b w:val="0"/>
                <w:bCs w:val="0"/>
                <w:color w:val="auto"/>
                <w:kern w:val="2"/>
                <w:sz w:val="21"/>
                <w:szCs w:val="21"/>
                <w:highlight w:val="none"/>
                <w:u w:val="none"/>
                <w:vertAlign w:val="subscript"/>
                <w:lang w:val="en-US" w:eastAsia="zh-CN" w:bidi="ar"/>
              </w:rPr>
              <w:t>2</w:t>
            </w:r>
          </w:p>
        </w:tc>
        <w:tc>
          <w:tcPr>
            <w:tcW w:w="79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500</w:t>
            </w:r>
          </w:p>
        </w:tc>
        <w:tc>
          <w:tcPr>
            <w:tcW w:w="85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u w:val="none"/>
                <w:lang w:val="en-US" w:eastAsia="zh-CN" w:bidi="ar"/>
              </w:rPr>
            </w:pPr>
            <w:r>
              <w:rPr>
                <w:rFonts w:hint="eastAsia" w:ascii="Times New Roman" w:hAnsi="Times New Roman" w:eastAsia="宋体" w:cs="Times New Roman"/>
                <w:b w:val="0"/>
                <w:bCs w:val="0"/>
                <w:color w:val="auto"/>
                <w:kern w:val="2"/>
                <w:sz w:val="21"/>
                <w:szCs w:val="21"/>
                <w:highlight w:val="none"/>
                <w:u w:val="none"/>
                <w:lang w:val="en-US" w:eastAsia="zh-CN" w:bidi="ar"/>
              </w:rPr>
              <w:t>1.155</w:t>
            </w:r>
          </w:p>
        </w:tc>
        <w:tc>
          <w:tcPr>
            <w:tcW w:w="85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u w:val="none"/>
                <w:lang w:val="en-US" w:eastAsia="zh-CN" w:bidi="ar"/>
              </w:rPr>
            </w:pPr>
            <w:r>
              <w:rPr>
                <w:rFonts w:hint="eastAsia" w:ascii="Times New Roman" w:hAnsi="Times New Roman" w:eastAsia="宋体" w:cs="Times New Roman"/>
                <w:b w:val="0"/>
                <w:bCs w:val="0"/>
                <w:color w:val="auto"/>
                <w:kern w:val="2"/>
                <w:sz w:val="21"/>
                <w:szCs w:val="21"/>
                <w:highlight w:val="none"/>
                <w:u w:val="none"/>
                <w:lang w:val="en-US" w:eastAsia="zh-CN" w:bidi="ar"/>
              </w:rPr>
              <w:t>0.2311</w:t>
            </w:r>
          </w:p>
        </w:tc>
        <w:tc>
          <w:tcPr>
            <w:tcW w:w="78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
              </w:rPr>
            </w:pPr>
            <w:r>
              <w:rPr>
                <w:rFonts w:hint="default" w:ascii="Times New Roman" w:hAnsi="Times New Roman" w:eastAsia="宋体" w:cs="Times New Roman"/>
                <w:b w:val="0"/>
                <w:bCs w:val="0"/>
                <w:color w:val="auto"/>
                <w:kern w:val="2"/>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790"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
              </w:rPr>
            </w:pPr>
          </w:p>
        </w:tc>
        <w:tc>
          <w:tcPr>
            <w:tcW w:w="911"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snapToGrid w:val="0"/>
                <w:color w:val="auto"/>
                <w:spacing w:val="6"/>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
              </w:rPr>
              <w:t>NOx</w:t>
            </w:r>
          </w:p>
        </w:tc>
        <w:tc>
          <w:tcPr>
            <w:tcW w:w="79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250</w:t>
            </w:r>
          </w:p>
        </w:tc>
        <w:tc>
          <w:tcPr>
            <w:tcW w:w="85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u w:val="none"/>
                <w:lang w:val="en-US" w:eastAsia="zh-CN" w:bidi="ar"/>
              </w:rPr>
            </w:pPr>
            <w:r>
              <w:rPr>
                <w:rFonts w:hint="eastAsia" w:ascii="Times New Roman" w:hAnsi="Times New Roman" w:eastAsia="宋体" w:cs="Times New Roman"/>
                <w:b w:val="0"/>
                <w:bCs w:val="0"/>
                <w:color w:val="auto"/>
                <w:kern w:val="2"/>
                <w:sz w:val="21"/>
                <w:szCs w:val="21"/>
                <w:highlight w:val="none"/>
                <w:u w:val="none"/>
                <w:lang w:val="en-US" w:eastAsia="zh-CN" w:bidi="ar"/>
              </w:rPr>
              <w:t>2.455</w:t>
            </w:r>
          </w:p>
        </w:tc>
        <w:tc>
          <w:tcPr>
            <w:tcW w:w="85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u w:val="none"/>
                <w:lang w:val="en-US" w:eastAsia="zh-CN" w:bidi="ar"/>
              </w:rPr>
            </w:pPr>
            <w:r>
              <w:rPr>
                <w:rFonts w:hint="eastAsia" w:ascii="Times New Roman" w:hAnsi="Times New Roman" w:eastAsia="宋体" w:cs="Times New Roman"/>
                <w:b w:val="0"/>
                <w:bCs w:val="0"/>
                <w:color w:val="auto"/>
                <w:kern w:val="2"/>
                <w:sz w:val="21"/>
                <w:szCs w:val="21"/>
                <w:highlight w:val="none"/>
                <w:u w:val="none"/>
                <w:lang w:val="en-US" w:eastAsia="zh-CN" w:bidi="ar"/>
              </w:rPr>
              <w:t>0.982</w:t>
            </w:r>
          </w:p>
        </w:tc>
        <w:tc>
          <w:tcPr>
            <w:tcW w:w="78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lang w:val="en-US" w:eastAsia="zh-CN" w:bidi="ar"/>
              </w:rPr>
            </w:pPr>
            <w:r>
              <w:rPr>
                <w:rFonts w:hint="default" w:ascii="Times New Roman" w:hAnsi="Times New Roman" w:eastAsia="宋体" w:cs="Times New Roman"/>
                <w:b w:val="0"/>
                <w:bCs w:val="0"/>
                <w:color w:val="auto"/>
                <w:kern w:val="2"/>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790"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u w:val="none"/>
                <w:lang w:val="en-US" w:eastAsia="zh-CN" w:bidi="ar"/>
              </w:rPr>
            </w:pPr>
          </w:p>
        </w:tc>
        <w:tc>
          <w:tcPr>
            <w:tcW w:w="911"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u w:val="none"/>
                <w:lang w:val="en-US" w:eastAsia="zh-CN" w:bidi="ar"/>
              </w:rPr>
            </w:pPr>
            <w:r>
              <w:rPr>
                <w:rFonts w:hint="default" w:ascii="Times New Roman" w:hAnsi="Times New Roman" w:eastAsia="宋体" w:cs="Times New Roman"/>
                <w:b w:val="0"/>
                <w:bCs w:val="0"/>
                <w:color w:val="auto"/>
                <w:kern w:val="2"/>
                <w:sz w:val="21"/>
                <w:szCs w:val="21"/>
                <w:highlight w:val="none"/>
                <w:u w:val="none"/>
                <w:lang w:val="en-US" w:eastAsia="zh-CN" w:bidi="ar"/>
              </w:rPr>
              <w:t>汞及其化合物</w:t>
            </w:r>
          </w:p>
        </w:tc>
        <w:tc>
          <w:tcPr>
            <w:tcW w:w="799"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eastAsia" w:ascii="Times New Roman" w:hAnsi="Times New Roman" w:cs="Times New Roman"/>
                <w:b w:val="0"/>
                <w:bCs w:val="0"/>
                <w:i w:val="0"/>
                <w:iCs w:val="0"/>
                <w:color w:val="auto"/>
                <w:kern w:val="0"/>
                <w:sz w:val="21"/>
                <w:szCs w:val="21"/>
                <w:highlight w:val="none"/>
                <w:u w:val="none"/>
                <w:lang w:val="en-US" w:eastAsia="zh-CN" w:bidi="ar"/>
              </w:rPr>
              <w:t>0.3</w:t>
            </w:r>
          </w:p>
        </w:tc>
        <w:tc>
          <w:tcPr>
            <w:tcW w:w="855"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highlight w:val="none"/>
                <w:u w:val="none"/>
                <w:lang w:val="en-US" w:eastAsia="zh-CN" w:bidi="ar"/>
              </w:rPr>
            </w:pPr>
            <w:r>
              <w:rPr>
                <w:rFonts w:hint="eastAsia" w:ascii="Times New Roman" w:hAnsi="Times New Roman" w:eastAsia="宋体" w:cs="Times New Roman"/>
                <w:b w:val="0"/>
                <w:bCs w:val="0"/>
                <w:color w:val="auto"/>
                <w:kern w:val="2"/>
                <w:sz w:val="21"/>
                <w:szCs w:val="21"/>
                <w:highlight w:val="none"/>
                <w:u w:val="none"/>
                <w:lang w:val="en-US" w:eastAsia="zh-CN" w:bidi="ar"/>
              </w:rPr>
              <w:t>0.0000289</w:t>
            </w:r>
          </w:p>
        </w:tc>
        <w:tc>
          <w:tcPr>
            <w:tcW w:w="85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u w:val="none"/>
                <w:lang w:val="en-US" w:eastAsia="zh-CN" w:bidi="ar"/>
              </w:rPr>
            </w:pPr>
            <w:r>
              <w:rPr>
                <w:rFonts w:hint="eastAsia" w:ascii="Times New Roman" w:hAnsi="Times New Roman" w:eastAsia="宋体" w:cs="Times New Roman"/>
                <w:b w:val="0"/>
                <w:bCs w:val="0"/>
                <w:color w:val="auto"/>
                <w:kern w:val="2"/>
                <w:sz w:val="21"/>
                <w:szCs w:val="21"/>
                <w:highlight w:val="none"/>
                <w:u w:val="none"/>
                <w:lang w:val="en-US" w:eastAsia="zh-CN" w:bidi="ar"/>
              </w:rPr>
              <w:t>0.00963</w:t>
            </w:r>
          </w:p>
        </w:tc>
        <w:tc>
          <w:tcPr>
            <w:tcW w:w="788"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u w:val="none"/>
                <w:lang w:val="en-US" w:eastAsia="zh-CN" w:bidi="ar"/>
              </w:rPr>
            </w:pPr>
            <w:r>
              <w:rPr>
                <w:rFonts w:hint="default" w:ascii="Times New Roman" w:hAnsi="Times New Roman" w:eastAsia="宋体" w:cs="Times New Roman"/>
                <w:b w:val="0"/>
                <w:bCs w:val="0"/>
                <w:color w:val="auto"/>
                <w:kern w:val="2"/>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790"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u w:val="none"/>
                <w:lang w:val="en-US" w:eastAsia="zh-CN" w:bidi="ar"/>
              </w:rPr>
            </w:pPr>
          </w:p>
        </w:tc>
        <w:tc>
          <w:tcPr>
            <w:tcW w:w="911"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u w:val="none"/>
                <w:lang w:val="en-US" w:eastAsia="zh-CN" w:bidi="ar"/>
              </w:rPr>
            </w:pPr>
            <w:r>
              <w:rPr>
                <w:rFonts w:hint="eastAsia" w:ascii="Times New Roman" w:cs="Times New Roman"/>
                <w:b w:val="0"/>
                <w:bCs w:val="0"/>
                <w:color w:val="auto"/>
                <w:kern w:val="2"/>
                <w:sz w:val="21"/>
                <w:szCs w:val="21"/>
                <w:highlight w:val="none"/>
                <w:u w:val="none"/>
                <w:lang w:val="en-US" w:eastAsia="zh-CN" w:bidi="ar"/>
              </w:rPr>
              <w:t>CO</w:t>
            </w:r>
          </w:p>
        </w:tc>
        <w:tc>
          <w:tcPr>
            <w:tcW w:w="799" w:type="pct"/>
            <w:noWrap w:val="0"/>
            <w:vAlign w:val="center"/>
          </w:tcPr>
          <w:p>
            <w:pPr>
              <w:keepNext w:val="0"/>
              <w:keepLines w:val="0"/>
              <w:widowControl/>
              <w:suppressLineNumbers w:val="0"/>
              <w:jc w:val="center"/>
              <w:textAlignment w:val="center"/>
              <w:rPr>
                <w:rFonts w:hint="default" w:ascii="Times New Roman" w:hAnsi="Times New Roman" w:cs="Times New Roman"/>
                <w:b w:val="0"/>
                <w:bCs w:val="0"/>
                <w:i w:val="0"/>
                <w:iCs w:val="0"/>
                <w:color w:val="auto"/>
                <w:kern w:val="0"/>
                <w:sz w:val="21"/>
                <w:szCs w:val="21"/>
                <w:highlight w:val="none"/>
                <w:u w:val="none"/>
                <w:lang w:val="en-US" w:eastAsia="zh-CN" w:bidi="ar"/>
              </w:rPr>
            </w:pPr>
            <w:r>
              <w:rPr>
                <w:rFonts w:hint="eastAsia" w:ascii="Times New Roman" w:cs="Times New Roman"/>
                <w:b w:val="0"/>
                <w:bCs w:val="0"/>
                <w:i w:val="0"/>
                <w:iCs w:val="0"/>
                <w:color w:val="auto"/>
                <w:kern w:val="0"/>
                <w:sz w:val="21"/>
                <w:szCs w:val="21"/>
                <w:highlight w:val="none"/>
                <w:u w:val="none"/>
                <w:lang w:val="en-US" w:eastAsia="zh-CN" w:bidi="ar"/>
              </w:rPr>
              <w:t>10000</w:t>
            </w:r>
          </w:p>
        </w:tc>
        <w:tc>
          <w:tcPr>
            <w:tcW w:w="855"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highlight w:val="none"/>
                <w:u w:val="none"/>
                <w:lang w:val="en-US" w:eastAsia="zh-CN" w:bidi="ar"/>
              </w:rPr>
            </w:pPr>
            <w:r>
              <w:rPr>
                <w:rFonts w:hint="eastAsia" w:ascii="Times New Roman" w:hAnsi="Times New Roman" w:eastAsia="宋体" w:cs="Times New Roman"/>
                <w:b w:val="0"/>
                <w:bCs w:val="0"/>
                <w:color w:val="auto"/>
                <w:kern w:val="2"/>
                <w:sz w:val="21"/>
                <w:szCs w:val="21"/>
                <w:highlight w:val="none"/>
                <w:u w:val="none"/>
                <w:lang w:val="en-US" w:eastAsia="zh-CN" w:bidi="ar"/>
              </w:rPr>
              <w:t>10.110</w:t>
            </w:r>
          </w:p>
        </w:tc>
        <w:tc>
          <w:tcPr>
            <w:tcW w:w="855" w:type="pct"/>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u w:val="none"/>
                <w:lang w:val="en-US" w:eastAsia="zh-CN" w:bidi="ar"/>
              </w:rPr>
            </w:pPr>
            <w:r>
              <w:rPr>
                <w:rFonts w:hint="eastAsia" w:ascii="Times New Roman" w:hAnsi="Times New Roman" w:eastAsia="宋体" w:cs="Times New Roman"/>
                <w:b w:val="0"/>
                <w:bCs w:val="0"/>
                <w:color w:val="auto"/>
                <w:kern w:val="2"/>
                <w:sz w:val="21"/>
                <w:szCs w:val="21"/>
                <w:highlight w:val="none"/>
                <w:u w:val="none"/>
                <w:lang w:val="en-US" w:eastAsia="zh-CN" w:bidi="ar"/>
              </w:rPr>
              <w:t>0.1011</w:t>
            </w:r>
          </w:p>
        </w:tc>
        <w:tc>
          <w:tcPr>
            <w:tcW w:w="130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u w:val="none"/>
                <w:lang w:val="en-US" w:eastAsia="zh-CN" w:bidi="ar"/>
              </w:rPr>
            </w:pPr>
            <w:r>
              <w:rPr>
                <w:rFonts w:hint="default" w:ascii="Times New Roman" w:hAnsi="Times New Roman" w:eastAsia="宋体" w:cs="Times New Roman"/>
                <w:b w:val="0"/>
                <w:bCs w:val="0"/>
                <w:color w:val="auto"/>
                <w:kern w:val="2"/>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790" w:type="pct"/>
            <w:vMerge w:val="restart"/>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highlight w:val="none"/>
                <w:u w:val="none"/>
                <w:lang w:val="en-US" w:eastAsia="zh-CN" w:bidi="ar"/>
              </w:rPr>
            </w:pPr>
            <w:r>
              <w:rPr>
                <w:rFonts w:hint="eastAsia" w:ascii="Times New Roman" w:hAnsi="Times New Roman" w:eastAsia="宋体" w:cs="Times New Roman"/>
                <w:color w:val="auto"/>
                <w:kern w:val="2"/>
                <w:sz w:val="21"/>
                <w:szCs w:val="21"/>
                <w:lang w:val="en-US" w:eastAsia="zh-CN"/>
              </w:rPr>
              <w:t>污水处理站</w:t>
            </w:r>
            <w:r>
              <w:rPr>
                <w:rFonts w:hint="default" w:ascii="Times New Roman" w:hAnsi="Times New Roman" w:eastAsia="宋体" w:cs="Times New Roman"/>
                <w:color w:val="auto"/>
                <w:kern w:val="2"/>
                <w:sz w:val="21"/>
                <w:szCs w:val="21"/>
              </w:rPr>
              <w:t>恶臭</w:t>
            </w:r>
            <w:r>
              <w:rPr>
                <w:rFonts w:hint="eastAsia" w:ascii="Times New Roman" w:hAnsi="Times New Roman" w:eastAsia="宋体" w:cs="Times New Roman"/>
                <w:color w:val="auto"/>
                <w:kern w:val="2"/>
                <w:sz w:val="21"/>
                <w:szCs w:val="21"/>
                <w:lang w:eastAsia="zh-CN"/>
              </w:rPr>
              <w:t>（</w:t>
            </w:r>
            <w:r>
              <w:rPr>
                <w:rFonts w:hint="eastAsia" w:ascii="Times New Roman" w:hAnsi="Times New Roman" w:eastAsia="宋体" w:cs="Times New Roman"/>
                <w:color w:val="auto"/>
                <w:kern w:val="2"/>
                <w:sz w:val="21"/>
                <w:szCs w:val="21"/>
                <w:lang w:val="en-US" w:eastAsia="zh-CN"/>
              </w:rPr>
              <w:t>面源</w:t>
            </w:r>
            <w:r>
              <w:rPr>
                <w:rFonts w:hint="eastAsia" w:ascii="Times New Roman" w:hAnsi="Times New Roman" w:eastAsia="宋体" w:cs="Times New Roman"/>
                <w:color w:val="auto"/>
                <w:kern w:val="2"/>
                <w:sz w:val="21"/>
                <w:szCs w:val="21"/>
                <w:lang w:eastAsia="zh-CN"/>
              </w:rPr>
              <w:t>）</w:t>
            </w:r>
          </w:p>
        </w:tc>
        <w:tc>
          <w:tcPr>
            <w:tcW w:w="911" w:type="pct"/>
            <w:noWrap w:val="0"/>
            <w:vAlign w:val="center"/>
          </w:tcPr>
          <w:p>
            <w:pPr>
              <w:keepNext w:val="0"/>
              <w:keepLines w:val="0"/>
              <w:widowControl/>
              <w:suppressLineNumbers w:val="0"/>
              <w:jc w:val="center"/>
              <w:textAlignment w:val="center"/>
              <w:rPr>
                <w:rFonts w:hint="default" w:ascii="Times New Roman" w:cs="Times New Roman"/>
                <w:b w:val="0"/>
                <w:bCs w:val="0"/>
                <w:color w:val="auto"/>
                <w:kern w:val="2"/>
                <w:sz w:val="21"/>
                <w:szCs w:val="21"/>
                <w:highlight w:val="none"/>
                <w:u w:val="none"/>
                <w:lang w:val="en-US" w:eastAsia="zh-CN" w:bidi="ar"/>
              </w:rPr>
            </w:pPr>
            <w:r>
              <w:rPr>
                <w:rFonts w:hint="eastAsia" w:ascii="Times New Roman" w:cs="Times New Roman"/>
                <w:b w:val="0"/>
                <w:bCs w:val="0"/>
                <w:color w:val="auto"/>
                <w:kern w:val="2"/>
                <w:sz w:val="21"/>
                <w:szCs w:val="21"/>
                <w:highlight w:val="none"/>
                <w:u w:val="none"/>
                <w:lang w:val="en-US" w:eastAsia="zh-CN" w:bidi="ar"/>
              </w:rPr>
              <w:t>氨</w:t>
            </w:r>
          </w:p>
        </w:tc>
        <w:tc>
          <w:tcPr>
            <w:tcW w:w="799" w:type="pct"/>
            <w:noWrap w:val="0"/>
            <w:vAlign w:val="center"/>
          </w:tcPr>
          <w:p>
            <w:pPr>
              <w:keepNext w:val="0"/>
              <w:keepLines w:val="0"/>
              <w:widowControl/>
              <w:suppressLineNumbers w:val="0"/>
              <w:jc w:val="center"/>
              <w:textAlignment w:val="center"/>
              <w:rPr>
                <w:rFonts w:hint="default" w:ascii="Times New Roman" w:cs="Times New Roman"/>
                <w:b w:val="0"/>
                <w:bCs w:val="0"/>
                <w:i w:val="0"/>
                <w:iCs w:val="0"/>
                <w:color w:val="auto"/>
                <w:kern w:val="0"/>
                <w:sz w:val="21"/>
                <w:szCs w:val="21"/>
                <w:highlight w:val="none"/>
                <w:u w:val="none"/>
                <w:lang w:val="en-US" w:eastAsia="zh-CN" w:bidi="ar"/>
              </w:rPr>
            </w:pPr>
            <w:r>
              <w:rPr>
                <w:rFonts w:hint="eastAsia" w:ascii="Times New Roman" w:cs="Times New Roman"/>
                <w:b w:val="0"/>
                <w:bCs w:val="0"/>
                <w:i w:val="0"/>
                <w:iCs w:val="0"/>
                <w:color w:val="auto"/>
                <w:kern w:val="0"/>
                <w:sz w:val="21"/>
                <w:szCs w:val="21"/>
                <w:highlight w:val="none"/>
                <w:u w:val="none"/>
                <w:lang w:val="en-US" w:eastAsia="zh-CN" w:bidi="ar"/>
              </w:rPr>
              <w:t>200</w:t>
            </w:r>
          </w:p>
        </w:tc>
        <w:tc>
          <w:tcPr>
            <w:tcW w:w="855"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highlight w:val="none"/>
                <w:u w:val="none"/>
                <w:lang w:val="en-US" w:eastAsia="zh-CN" w:bidi="ar"/>
              </w:rPr>
            </w:pPr>
            <w:r>
              <w:rPr>
                <w:rFonts w:hint="eastAsia" w:ascii="Times New Roman" w:hAnsi="Times New Roman" w:eastAsia="宋体" w:cs="Times New Roman"/>
                <w:b w:val="0"/>
                <w:bCs w:val="0"/>
                <w:color w:val="auto"/>
                <w:kern w:val="2"/>
                <w:sz w:val="21"/>
                <w:szCs w:val="21"/>
                <w:highlight w:val="none"/>
                <w:u w:val="none"/>
                <w:lang w:val="en-US" w:eastAsia="zh-CN" w:bidi="ar"/>
              </w:rPr>
              <w:t xml:space="preserve">2.33980 </w:t>
            </w:r>
          </w:p>
        </w:tc>
        <w:tc>
          <w:tcPr>
            <w:tcW w:w="855"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highlight w:val="none"/>
                <w:u w:val="none"/>
                <w:lang w:val="en-US" w:eastAsia="zh-CN" w:bidi="ar"/>
              </w:rPr>
            </w:pPr>
            <w:r>
              <w:rPr>
                <w:rFonts w:hint="eastAsia" w:ascii="Times New Roman" w:hAnsi="Times New Roman" w:eastAsia="宋体" w:cs="Times New Roman"/>
                <w:b w:val="0"/>
                <w:bCs w:val="0"/>
                <w:color w:val="auto"/>
                <w:kern w:val="2"/>
                <w:sz w:val="21"/>
                <w:szCs w:val="21"/>
                <w:highlight w:val="none"/>
                <w:u w:val="none"/>
                <w:lang w:val="en-US" w:eastAsia="zh-CN" w:bidi="ar"/>
              </w:rPr>
              <w:t xml:space="preserve">1.16990 </w:t>
            </w:r>
          </w:p>
        </w:tc>
        <w:tc>
          <w:tcPr>
            <w:tcW w:w="130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u w:val="none"/>
                <w:lang w:val="en-US" w:eastAsia="zh-CN" w:bidi="ar"/>
              </w:rPr>
            </w:pPr>
            <w:r>
              <w:rPr>
                <w:rFonts w:hint="default" w:ascii="Times New Roman" w:hAnsi="Times New Roman" w:eastAsia="宋体" w:cs="Times New Roman"/>
                <w:b w:val="0"/>
                <w:bCs w:val="0"/>
                <w:color w:val="auto"/>
                <w:kern w:val="2"/>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790" w:type="pct"/>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u w:val="none"/>
                <w:lang w:val="en-US" w:eastAsia="zh-CN" w:bidi="ar"/>
              </w:rPr>
            </w:pPr>
          </w:p>
        </w:tc>
        <w:tc>
          <w:tcPr>
            <w:tcW w:w="911" w:type="pct"/>
            <w:noWrap w:val="0"/>
            <w:vAlign w:val="center"/>
          </w:tcPr>
          <w:p>
            <w:pPr>
              <w:keepNext w:val="0"/>
              <w:keepLines w:val="0"/>
              <w:widowControl/>
              <w:suppressLineNumbers w:val="0"/>
              <w:jc w:val="center"/>
              <w:textAlignment w:val="center"/>
              <w:rPr>
                <w:rFonts w:hint="default" w:ascii="Times New Roman" w:cs="Times New Roman"/>
                <w:b w:val="0"/>
                <w:bCs w:val="0"/>
                <w:color w:val="auto"/>
                <w:kern w:val="2"/>
                <w:sz w:val="21"/>
                <w:szCs w:val="21"/>
                <w:highlight w:val="none"/>
                <w:u w:val="none"/>
                <w:lang w:val="en-US" w:eastAsia="zh-CN" w:bidi="ar"/>
              </w:rPr>
            </w:pPr>
            <w:r>
              <w:rPr>
                <w:rFonts w:hint="eastAsia" w:ascii="Times New Roman" w:cs="Times New Roman"/>
                <w:b w:val="0"/>
                <w:bCs w:val="0"/>
                <w:color w:val="auto"/>
                <w:kern w:val="2"/>
                <w:sz w:val="21"/>
                <w:szCs w:val="21"/>
                <w:highlight w:val="none"/>
                <w:u w:val="none"/>
                <w:lang w:val="en-US" w:eastAsia="zh-CN" w:bidi="ar"/>
              </w:rPr>
              <w:t>硫化氢</w:t>
            </w:r>
          </w:p>
        </w:tc>
        <w:tc>
          <w:tcPr>
            <w:tcW w:w="799" w:type="pct"/>
            <w:noWrap w:val="0"/>
            <w:vAlign w:val="center"/>
          </w:tcPr>
          <w:p>
            <w:pPr>
              <w:keepNext w:val="0"/>
              <w:keepLines w:val="0"/>
              <w:widowControl/>
              <w:suppressLineNumbers w:val="0"/>
              <w:jc w:val="center"/>
              <w:textAlignment w:val="center"/>
              <w:rPr>
                <w:rFonts w:hint="default" w:ascii="Times New Roman" w:cs="Times New Roman"/>
                <w:b w:val="0"/>
                <w:bCs w:val="0"/>
                <w:i w:val="0"/>
                <w:iCs w:val="0"/>
                <w:color w:val="auto"/>
                <w:kern w:val="0"/>
                <w:sz w:val="21"/>
                <w:szCs w:val="21"/>
                <w:highlight w:val="none"/>
                <w:u w:val="none"/>
                <w:lang w:val="en-US" w:eastAsia="zh-CN" w:bidi="ar"/>
              </w:rPr>
            </w:pPr>
            <w:r>
              <w:rPr>
                <w:rFonts w:hint="eastAsia" w:ascii="Times New Roman" w:cs="Times New Roman"/>
                <w:b w:val="0"/>
                <w:bCs w:val="0"/>
                <w:i w:val="0"/>
                <w:iCs w:val="0"/>
                <w:color w:val="auto"/>
                <w:kern w:val="0"/>
                <w:sz w:val="21"/>
                <w:szCs w:val="21"/>
                <w:highlight w:val="none"/>
                <w:u w:val="none"/>
                <w:lang w:val="en-US" w:eastAsia="zh-CN" w:bidi="ar"/>
              </w:rPr>
              <w:t>10</w:t>
            </w:r>
          </w:p>
        </w:tc>
        <w:tc>
          <w:tcPr>
            <w:tcW w:w="855"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highlight w:val="none"/>
                <w:u w:val="none"/>
                <w:lang w:val="en-US" w:eastAsia="zh-CN" w:bidi="ar"/>
              </w:rPr>
            </w:pPr>
            <w:r>
              <w:rPr>
                <w:rFonts w:hint="eastAsia" w:ascii="Times New Roman" w:hAnsi="Times New Roman" w:eastAsia="宋体" w:cs="Times New Roman"/>
                <w:b w:val="0"/>
                <w:bCs w:val="0"/>
                <w:color w:val="auto"/>
                <w:kern w:val="2"/>
                <w:sz w:val="21"/>
                <w:szCs w:val="21"/>
                <w:highlight w:val="none"/>
                <w:u w:val="none"/>
                <w:lang w:val="en-US" w:eastAsia="zh-CN" w:bidi="ar"/>
              </w:rPr>
              <w:t xml:space="preserve">0.089992 </w:t>
            </w:r>
          </w:p>
        </w:tc>
        <w:tc>
          <w:tcPr>
            <w:tcW w:w="855" w:type="pct"/>
            <w:noWrap w:val="0"/>
            <w:vAlign w:val="center"/>
          </w:tcPr>
          <w:p>
            <w:pPr>
              <w:keepNext w:val="0"/>
              <w:keepLines w:val="0"/>
              <w:widowControl/>
              <w:suppressLineNumbers w:val="0"/>
              <w:jc w:val="center"/>
              <w:textAlignment w:val="center"/>
              <w:rPr>
                <w:rFonts w:hint="eastAsia" w:ascii="Times New Roman" w:hAnsi="Times New Roman" w:eastAsia="宋体" w:cs="Times New Roman"/>
                <w:b w:val="0"/>
                <w:bCs w:val="0"/>
                <w:color w:val="auto"/>
                <w:kern w:val="2"/>
                <w:sz w:val="21"/>
                <w:szCs w:val="21"/>
                <w:highlight w:val="none"/>
                <w:u w:val="none"/>
                <w:lang w:val="en-US" w:eastAsia="zh-CN" w:bidi="ar"/>
              </w:rPr>
            </w:pPr>
            <w:r>
              <w:rPr>
                <w:rFonts w:hint="eastAsia" w:ascii="Times New Roman" w:hAnsi="Times New Roman" w:eastAsia="宋体" w:cs="Times New Roman"/>
                <w:b w:val="0"/>
                <w:bCs w:val="0"/>
                <w:color w:val="auto"/>
                <w:kern w:val="2"/>
                <w:sz w:val="21"/>
                <w:szCs w:val="21"/>
                <w:highlight w:val="none"/>
                <w:u w:val="none"/>
                <w:lang w:val="en-US" w:eastAsia="zh-CN" w:bidi="ar"/>
              </w:rPr>
              <w:t xml:space="preserve">0.899923 </w:t>
            </w:r>
          </w:p>
        </w:tc>
        <w:tc>
          <w:tcPr>
            <w:tcW w:w="130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highlight w:val="none"/>
                <w:u w:val="none"/>
                <w:lang w:val="en-US" w:eastAsia="zh-CN" w:bidi="ar"/>
              </w:rPr>
            </w:pPr>
            <w:r>
              <w:rPr>
                <w:rFonts w:hint="default" w:ascii="Times New Roman" w:hAnsi="Times New Roman" w:eastAsia="宋体" w:cs="Times New Roman"/>
                <w:b w:val="0"/>
                <w:bCs w:val="0"/>
                <w:color w:val="auto"/>
                <w:kern w:val="2"/>
                <w:sz w:val="21"/>
                <w:szCs w:val="21"/>
                <w:highlight w:val="none"/>
                <w:u w:val="none"/>
                <w:lang w:val="en-US" w:eastAsia="zh-CN" w:bidi="ar"/>
              </w:rPr>
              <w:t>/</w:t>
            </w:r>
          </w:p>
        </w:tc>
      </w:tr>
    </w:tbl>
    <w:p>
      <w:pPr>
        <w:adjustRightInd w:val="0"/>
        <w:spacing w:line="360" w:lineRule="auto"/>
        <w:jc w:val="center"/>
        <w:rPr>
          <w:rFonts w:hint="default" w:ascii="Times New Roman" w:hAnsi="Times New Roman" w:eastAsia="宋体" w:cs="Times New Roman"/>
          <w:b/>
          <w:color w:val="000000"/>
          <w:kern w:val="2"/>
          <w:sz w:val="21"/>
          <w:szCs w:val="21"/>
          <w:lang w:eastAsia="en-US" w:bidi="ar"/>
        </w:rPr>
      </w:pPr>
      <w:r>
        <w:rPr>
          <w:rFonts w:hint="default" w:ascii="Times New Roman" w:hAnsi="Times New Roman" w:eastAsia="宋体" w:cs="Times New Roman"/>
          <w:b/>
          <w:color w:val="000000"/>
          <w:kern w:val="2"/>
          <w:sz w:val="21"/>
          <w:szCs w:val="21"/>
          <w:lang w:eastAsia="en-US" w:bidi="ar"/>
        </w:rPr>
        <w:t>表</w:t>
      </w:r>
      <w:r>
        <w:rPr>
          <w:rFonts w:hint="eastAsia" w:ascii="Times New Roman" w:hAnsi="Times New Roman" w:eastAsia="宋体" w:cs="Times New Roman"/>
          <w:b/>
          <w:color w:val="000000"/>
          <w:kern w:val="2"/>
          <w:sz w:val="21"/>
          <w:szCs w:val="21"/>
          <w:lang w:val="en-US" w:eastAsia="zh-CN" w:bidi="ar"/>
        </w:rPr>
        <w:t xml:space="preserve">6-2 </w:t>
      </w:r>
      <w:r>
        <w:rPr>
          <w:rFonts w:hint="eastAsia" w:ascii="Times New Roman" w:hAnsi="Times New Roman" w:eastAsia="宋体" w:cs="Times New Roman"/>
          <w:b/>
          <w:color w:val="000000"/>
          <w:kern w:val="2"/>
          <w:sz w:val="21"/>
          <w:szCs w:val="21"/>
          <w:lang w:eastAsia="en-US" w:bidi="ar"/>
        </w:rPr>
        <w:t xml:space="preserve"> </w:t>
      </w:r>
      <w:r>
        <w:rPr>
          <w:rFonts w:hint="default" w:ascii="Times New Roman" w:hAnsi="Times New Roman" w:eastAsia="宋体" w:cs="Times New Roman"/>
          <w:b/>
          <w:color w:val="000000"/>
          <w:kern w:val="2"/>
          <w:sz w:val="21"/>
          <w:szCs w:val="21"/>
          <w:lang w:eastAsia="en-US" w:bidi="ar"/>
        </w:rPr>
        <w:t>污染物估算模式计算结果一览表（DA00</w:t>
      </w:r>
      <w:r>
        <w:rPr>
          <w:rFonts w:hint="eastAsia" w:ascii="Times New Roman" w:hAnsi="Times New Roman" w:eastAsia="宋体" w:cs="Times New Roman"/>
          <w:b/>
          <w:color w:val="000000"/>
          <w:kern w:val="2"/>
          <w:sz w:val="21"/>
          <w:szCs w:val="21"/>
          <w:lang w:val="en-US" w:eastAsia="zh-CN" w:bidi="ar"/>
        </w:rPr>
        <w:t>1</w:t>
      </w:r>
      <w:r>
        <w:rPr>
          <w:rFonts w:hint="default" w:ascii="Times New Roman" w:hAnsi="Times New Roman" w:eastAsia="宋体" w:cs="Times New Roman"/>
          <w:b/>
          <w:color w:val="000000"/>
          <w:kern w:val="2"/>
          <w:sz w:val="21"/>
          <w:szCs w:val="21"/>
          <w:lang w:eastAsia="en-US" w:bidi="ar"/>
        </w:rPr>
        <w:t>（</w:t>
      </w:r>
      <w:r>
        <w:rPr>
          <w:rFonts w:hint="eastAsia" w:ascii="Times New Roman" w:hAnsi="Times New Roman" w:eastAsia="宋体" w:cs="Times New Roman"/>
          <w:b/>
          <w:color w:val="000000"/>
          <w:kern w:val="2"/>
          <w:sz w:val="21"/>
          <w:szCs w:val="21"/>
          <w:lang w:val="en-US" w:eastAsia="zh-CN" w:bidi="ar"/>
        </w:rPr>
        <w:t>生物质锅</w:t>
      </w:r>
      <w:r>
        <w:rPr>
          <w:rFonts w:hint="eastAsia" w:ascii="Times New Roman" w:hAnsi="Times New Roman" w:eastAsia="宋体" w:cs="Times New Roman"/>
          <w:b/>
          <w:color w:val="000000"/>
          <w:kern w:val="2"/>
          <w:sz w:val="21"/>
          <w:szCs w:val="21"/>
          <w:lang w:eastAsia="zh-CN" w:bidi="ar"/>
        </w:rPr>
        <w:t>炉燃烧废气</w:t>
      </w:r>
      <w:r>
        <w:rPr>
          <w:rFonts w:hint="default" w:ascii="Times New Roman" w:hAnsi="Times New Roman" w:eastAsia="宋体" w:cs="Times New Roman"/>
          <w:b/>
          <w:color w:val="000000"/>
          <w:kern w:val="2"/>
          <w:sz w:val="21"/>
          <w:szCs w:val="21"/>
          <w:lang w:eastAsia="en-US" w:bidi="ar"/>
        </w:rPr>
        <w:t>））</w:t>
      </w:r>
    </w:p>
    <w:tbl>
      <w:tblPr>
        <w:tblStyle w:val="38"/>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11"/>
        <w:gridCol w:w="1221"/>
        <w:gridCol w:w="1440"/>
        <w:gridCol w:w="1159"/>
        <w:gridCol w:w="1443"/>
        <w:gridCol w:w="859"/>
        <w:gridCol w:w="14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2" w:hRule="atLeast"/>
        </w:trPr>
        <w:tc>
          <w:tcPr>
            <w:tcW w:w="429" w:type="pct"/>
            <w:vMerge w:val="restart"/>
            <w:tcBorders>
              <w:bottom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en-US" w:bidi="ar"/>
              </w:rPr>
              <w:t>下风向距离m</w:t>
            </w:r>
          </w:p>
        </w:tc>
        <w:tc>
          <w:tcPr>
            <w:tcW w:w="4570" w:type="pct"/>
            <w:gridSpan w:val="6"/>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DA001</w:t>
            </w:r>
            <w:r>
              <w:rPr>
                <w:rFonts w:hint="eastAsia" w:ascii="Times New Roman" w:hAnsi="Times New Roman" w:eastAsia="宋体" w:cs="Times New Roman"/>
                <w:i w:val="0"/>
                <w:iCs w:val="0"/>
                <w:color w:val="auto"/>
                <w:kern w:val="0"/>
                <w:sz w:val="18"/>
                <w:szCs w:val="18"/>
                <w:u w:val="none"/>
                <w:lang w:val="en-US" w:eastAsia="zh-CN" w:bidi="ar"/>
              </w:rPr>
              <w:t>（</w:t>
            </w:r>
            <w:r>
              <w:rPr>
                <w:rFonts w:hint="eastAsia" w:ascii="Times New Roman" w:hAnsi="Times New Roman" w:cs="Times New Roman"/>
                <w:i w:val="0"/>
                <w:iCs w:val="0"/>
                <w:color w:val="auto"/>
                <w:kern w:val="0"/>
                <w:sz w:val="18"/>
                <w:szCs w:val="18"/>
                <w:u w:val="none"/>
                <w:lang w:val="en-US" w:eastAsia="zh-CN" w:bidi="ar"/>
              </w:rPr>
              <w:t>生物质锅炉废气</w:t>
            </w:r>
            <w:r>
              <w:rPr>
                <w:rFonts w:hint="eastAsia" w:ascii="Times New Roman" w:hAnsi="Times New Roman" w:eastAsia="宋体" w:cs="Times New Roman"/>
                <w:i w:val="0"/>
                <w:iCs w:val="0"/>
                <w:color w:val="auto"/>
                <w:kern w:val="0"/>
                <w:sz w:val="18"/>
                <w:szCs w:val="18"/>
                <w:u w:val="none"/>
                <w:lang w:val="en-US" w:eastAsia="zh-CN"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 w:hRule="atLeast"/>
        </w:trPr>
        <w:tc>
          <w:tcPr>
            <w:tcW w:w="429" w:type="pct"/>
            <w:vMerge w:val="continue"/>
            <w:tcBorders>
              <w:top w:val="nil"/>
              <w:bottom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p>
        </w:tc>
        <w:tc>
          <w:tcPr>
            <w:tcW w:w="1602" w:type="pct"/>
            <w:gridSpan w:val="2"/>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en-US" w:bidi="ar"/>
              </w:rPr>
              <w:t>PM</w:t>
            </w:r>
            <w:r>
              <w:rPr>
                <w:rFonts w:hint="eastAsia" w:ascii="Times New Roman" w:hAnsi="Times New Roman" w:eastAsia="宋体" w:cs="Times New Roman"/>
                <w:i w:val="0"/>
                <w:iCs w:val="0"/>
                <w:color w:val="auto"/>
                <w:kern w:val="0"/>
                <w:sz w:val="18"/>
                <w:szCs w:val="18"/>
                <w:u w:val="none"/>
                <w:vertAlign w:val="subscript"/>
                <w:lang w:val="en-US" w:eastAsia="en-US" w:bidi="ar"/>
              </w:rPr>
              <w:t>10</w:t>
            </w:r>
          </w:p>
        </w:tc>
        <w:tc>
          <w:tcPr>
            <w:tcW w:w="1567" w:type="pct"/>
            <w:gridSpan w:val="2"/>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en-US" w:bidi="ar"/>
              </w:rPr>
              <w:t>SO</w:t>
            </w:r>
            <w:r>
              <w:rPr>
                <w:rFonts w:hint="eastAsia" w:ascii="Times New Roman" w:hAnsi="Times New Roman" w:eastAsia="宋体" w:cs="Times New Roman"/>
                <w:i w:val="0"/>
                <w:iCs w:val="0"/>
                <w:color w:val="auto"/>
                <w:kern w:val="0"/>
                <w:sz w:val="18"/>
                <w:szCs w:val="18"/>
                <w:u w:val="none"/>
                <w:vertAlign w:val="subscript"/>
                <w:lang w:val="en-US" w:eastAsia="en-US" w:bidi="ar"/>
              </w:rPr>
              <w:t>2</w:t>
            </w:r>
          </w:p>
        </w:tc>
        <w:tc>
          <w:tcPr>
            <w:tcW w:w="1399" w:type="pct"/>
            <w:gridSpan w:val="2"/>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en-US" w:bidi="ar"/>
              </w:rPr>
              <w:t>NO</w:t>
            </w:r>
            <w:r>
              <w:rPr>
                <w:rFonts w:hint="eastAsia" w:ascii="Times New Roman" w:hAnsi="Times New Roman" w:eastAsia="宋体" w:cs="Times New Roman"/>
                <w:i w:val="0"/>
                <w:iCs w:val="0"/>
                <w:color w:val="auto"/>
                <w:kern w:val="0"/>
                <w:sz w:val="18"/>
                <w:szCs w:val="18"/>
                <w:u w:val="none"/>
                <w:vertAlign w:val="subscript"/>
                <w:lang w:val="en-US" w:eastAsia="en-US" w:bidi="ar"/>
              </w:rPr>
              <w:t>x</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429" w:type="pct"/>
            <w:vMerge w:val="continue"/>
            <w:tcBorders>
              <w:top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p>
        </w:tc>
        <w:tc>
          <w:tcPr>
            <w:tcW w:w="735"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预测质量浓度（ug/m</w:t>
            </w:r>
            <w:r>
              <w:rPr>
                <w:rFonts w:hint="eastAsia" w:ascii="Times New Roman" w:hAnsi="Times New Roman" w:eastAsia="宋体" w:cs="Times New Roman"/>
                <w:i w:val="0"/>
                <w:iCs w:val="0"/>
                <w:color w:val="auto"/>
                <w:kern w:val="0"/>
                <w:sz w:val="18"/>
                <w:szCs w:val="18"/>
                <w:u w:val="none"/>
                <w:vertAlign w:val="superscript"/>
                <w:lang w:val="en-US" w:eastAsia="zh-CN" w:bidi="ar"/>
              </w:rPr>
              <w:t>3</w:t>
            </w:r>
            <w:r>
              <w:rPr>
                <w:rFonts w:hint="eastAsia" w:ascii="Times New Roman" w:hAnsi="Times New Roman" w:eastAsia="宋体" w:cs="Times New Roman"/>
                <w:i w:val="0"/>
                <w:iCs w:val="0"/>
                <w:color w:val="auto"/>
                <w:kern w:val="0"/>
                <w:sz w:val="18"/>
                <w:szCs w:val="18"/>
                <w:u w:val="none"/>
                <w:lang w:val="en-US" w:eastAsia="zh-CN" w:bidi="ar"/>
              </w:rPr>
              <w:t>）</w:t>
            </w:r>
          </w:p>
        </w:tc>
        <w:tc>
          <w:tcPr>
            <w:tcW w:w="867"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en-US" w:bidi="ar"/>
              </w:rPr>
              <w:t>占标率/%</w:t>
            </w:r>
          </w:p>
        </w:tc>
        <w:tc>
          <w:tcPr>
            <w:tcW w:w="698"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预测质量浓度（ug/m</w:t>
            </w:r>
            <w:r>
              <w:rPr>
                <w:rFonts w:hint="eastAsia" w:ascii="Times New Roman" w:hAnsi="Times New Roman" w:eastAsia="宋体" w:cs="Times New Roman"/>
                <w:i w:val="0"/>
                <w:iCs w:val="0"/>
                <w:color w:val="auto"/>
                <w:kern w:val="0"/>
                <w:sz w:val="18"/>
                <w:szCs w:val="18"/>
                <w:u w:val="none"/>
                <w:vertAlign w:val="superscript"/>
                <w:lang w:val="en-US" w:eastAsia="zh-CN" w:bidi="ar"/>
              </w:rPr>
              <w:t>3</w:t>
            </w:r>
            <w:r>
              <w:rPr>
                <w:rFonts w:hint="eastAsia" w:ascii="Times New Roman" w:hAnsi="Times New Roman" w:eastAsia="宋体" w:cs="Times New Roman"/>
                <w:i w:val="0"/>
                <w:iCs w:val="0"/>
                <w:color w:val="auto"/>
                <w:kern w:val="0"/>
                <w:sz w:val="18"/>
                <w:szCs w:val="18"/>
                <w:u w:val="none"/>
                <w:lang w:val="en-US" w:eastAsia="zh-CN" w:bidi="ar"/>
              </w:rPr>
              <w:t>）</w:t>
            </w:r>
          </w:p>
        </w:tc>
        <w:tc>
          <w:tcPr>
            <w:tcW w:w="868"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en-US" w:bidi="ar"/>
              </w:rPr>
              <w:t>占标率/%</w:t>
            </w:r>
          </w:p>
        </w:tc>
        <w:tc>
          <w:tcPr>
            <w:tcW w:w="517"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预测质量浓度（ug/m</w:t>
            </w:r>
            <w:r>
              <w:rPr>
                <w:rFonts w:hint="eastAsia" w:ascii="Times New Roman" w:hAnsi="Times New Roman" w:eastAsia="宋体" w:cs="Times New Roman"/>
                <w:i w:val="0"/>
                <w:iCs w:val="0"/>
                <w:color w:val="auto"/>
                <w:kern w:val="0"/>
                <w:sz w:val="18"/>
                <w:szCs w:val="18"/>
                <w:u w:val="none"/>
                <w:vertAlign w:val="superscript"/>
                <w:lang w:val="en-US" w:eastAsia="zh-CN" w:bidi="ar"/>
              </w:rPr>
              <w:t>3</w:t>
            </w:r>
            <w:r>
              <w:rPr>
                <w:rFonts w:hint="eastAsia" w:ascii="Times New Roman" w:hAnsi="Times New Roman" w:eastAsia="宋体" w:cs="Times New Roman"/>
                <w:i w:val="0"/>
                <w:iCs w:val="0"/>
                <w:color w:val="auto"/>
                <w:kern w:val="0"/>
                <w:sz w:val="18"/>
                <w:szCs w:val="18"/>
                <w:u w:val="none"/>
                <w:lang w:val="en-US" w:eastAsia="zh-CN" w:bidi="ar"/>
              </w:rPr>
              <w:t>）</w:t>
            </w:r>
          </w:p>
        </w:tc>
        <w:tc>
          <w:tcPr>
            <w:tcW w:w="882"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en-US" w:bidi="ar"/>
              </w:rPr>
              <w:t>占标率/%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6"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0.269</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0.0597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0.430</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0.0860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0.914</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50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0.546</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0.1214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0.874</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0.1749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1.858</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0.743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75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0.378</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0.0840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0.605</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0.1210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1.285</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0.423</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0.0940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0.677</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0.1354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1.439</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125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0.446</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0.0991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0.713</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0.1427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1.516</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0.606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150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0.452</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0.1005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0.724</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0.1447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1.538</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0.615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175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0.559</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0.1241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0.894</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0.1788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1.899</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0.760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200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0.638</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0.1418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1.021</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0.2042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2.170</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0.868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225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0.687</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0.1526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1.099</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0.2197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2.335</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0.934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250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0.712</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0.1583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1.140</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0.2280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2.422</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0.969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275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0.722</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0.1604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1.155</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0.2310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2.454</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0.982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281</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0.722</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0.1605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1.155</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0.2311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2.455</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0.982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300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0.719</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0.1597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1.150</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0.2300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2.444</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0.978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325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0.704</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0.1565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1.127</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0.2253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2.394</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0.958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350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0.688</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0.1528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1.100</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0.2200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2.338</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0.935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375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0.669</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0.1487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1.071</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0.2142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2.275</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0.910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400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0.650</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0.1444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1.040</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0.2080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2.210</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0.884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425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0.630</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0.1401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1.009</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0.2017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2.143</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0.857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450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0.611</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0.1358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0.978</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0.1955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2.077</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0.831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475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0.592</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0.1315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0.947</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0.1894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2.012</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0.805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500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0.573</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0.1274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0.917</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0.1835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1.950</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0.780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525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0.556</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0.1235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0.889</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0.1778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1.889</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0.756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550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0.538</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0.1197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0.862</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0.1723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1.831</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0.732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575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0.522</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0.1160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0.835</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0.1671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1.775</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0.710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600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0.507</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0.1126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0.810</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0.1621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1.722</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0.689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625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0.492</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0.1093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0.787</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0.1573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1.672</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0.669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650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0.478</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0.1061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0.764</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0.1528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1.624</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0.649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675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0.464</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0.1031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0.743</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0.1485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1.578</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0.631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700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0.451</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0.1003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0.722</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0.1444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1.535</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0.614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725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0.439</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0.0976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0.703</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0.1406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1.494</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750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0.428</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0.0951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0.684</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0.1369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1.454</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775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0.417</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0.0926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0.667</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0.1334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1.417</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800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0.406</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0.0903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0.650</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0.1300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1.382</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825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0.396</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0.0881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0.634</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0.1269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1.348</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850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0.387</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0.0860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0.619</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0.1238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1.316</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875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0.379</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0.0841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0.606</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0.1211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1.287</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900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0.373</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0.0828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0.596</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0.1192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1.267</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925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0.367</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0.0815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0.587</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0.1174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1.247</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950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0.363</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0.0807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0.581</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0.1163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1.235</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975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0.363</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0.0806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0.581</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0.1161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1.234</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1000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0.362</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0.0804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0.579</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0.1158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1.231</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1025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0.361</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0.0801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0.577</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0.1154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1.226</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1050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0.359</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0.0797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0.574</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0.1148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1.219</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1075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0.356</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0.0792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0.570</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0.1140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1.211</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1100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0.354</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0.0786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0.566</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0.1132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1.203</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1125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0.351</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0.0780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0.562</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0.1123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1.194</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1150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0.348</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0.0774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0.557</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0.1115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1.184</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1175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0.346</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0.0768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0.553</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0.1106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1.175</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1200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0.343</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0.0761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0.548</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0.1096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1.165</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1225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0.340</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0.0755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0.544</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0.1087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1.155</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1250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0.337</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0.0748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0.539</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0.1078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1.145</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1275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0.334</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0.0742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0.534</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0.1068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1.135</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1300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0.331</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0.0735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0.529</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0.1058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1.125</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1325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0.328</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0.0728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0.524</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0.1049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1.114</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1350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0.325</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0.0722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0.520</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0.1039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1.104</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1375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0.322</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0.0715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0.515</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0.1029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1.094</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1400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0.319</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0.0708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0.510</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0.1020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1.084</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1425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0.316</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0.0702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0.505</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0.1010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1.073</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1450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0.313</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0.0695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0.500</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0.1001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1.063</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1475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0.310</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0.0688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0.496</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0.0991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1.053</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1500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0.307</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0.0682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0.491</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0.0982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1.043</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1525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0.304</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0.0675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0.486</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0.0972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1.033</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1550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0.301</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0.0669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0.481</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0.0963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1.023</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1575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0.298</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0.0662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0.477</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0.0954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1.013</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1600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0.295</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0.0656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0.472</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0.0945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1.004</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1625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0.292</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0.0650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0.468</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0.0936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0.994</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0.398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1650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0.290</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0.0644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0.463</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0.0927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0.985</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1675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0.287</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0.0637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0.459</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0.0918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0.975</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1700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0.284</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0.0631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0.455</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0.0909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0.966</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1725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0.281</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0.0625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0.450</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0.0901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0.957</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1750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0.279</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0.0620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0.446</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0.0892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0.948</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1775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0.276</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0.0614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0.442</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0.0884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0.939</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1800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0.274</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0.0608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0.438</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0.0876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0.930</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1825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0.271</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0.0602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0.434</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0.0867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0.922</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1850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0.269</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0.0597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0.430</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0.0859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0.913</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1875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0.266</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0.0591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0.426</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0.0852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0.905</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1900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0.264</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0.0586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0.422</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0.0844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0.896</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1925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0.261</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0.0581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0.418</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0.0836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0.888</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1950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0.259</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0.0575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0.414</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0.0829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0.880</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1975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0.257</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0.0570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0.411</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0.0821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0.872</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2000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0.254</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0.0565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0.407</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0.0814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0.865</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2025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0.252</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0.0560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0.403</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0.0807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0.857</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2050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0.250</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0.0555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0.400</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0.0800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0.849</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2075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0.248</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0.0550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0.396</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0.0793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0.842</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2100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0.246</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0.0546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0.393</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0.0786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0.835</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2125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0.243</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0.0541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0.389</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0.0779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0.828</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2150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0.241</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0.0536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0.386</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0.0772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0.820</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2175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0.239</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0.0532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0.383</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0.0766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0.814</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2200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0.237</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0.0527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0.380</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0.0759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0.807</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2225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0.235</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0.0523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0.376</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0.0753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0.800</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2250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0.233</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0.0518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0.373</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0.0747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0.793</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2275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0.231</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0.0514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0.370</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0.0740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0.787</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2300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0.229</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0.0510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0.367</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0.0734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0.780</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2325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0.228</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0.0506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0.364</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0.0728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0.774</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2350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0.226</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0.0502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0.361</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0.0723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0.768</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2375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0.224</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0.0498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0.358</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0.0717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0.762</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2400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0.222</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0.0494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0.356</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0.0711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0.755</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2425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0.220</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0.0490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0.353</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0.0705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0.750</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2450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0.219</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0.0486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0.350</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0.0700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0.744</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2475</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0.217</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0.0482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0.347</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0.0694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0.738</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2500</w:t>
            </w:r>
          </w:p>
        </w:tc>
        <w:tc>
          <w:tcPr>
            <w:tcW w:w="122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0.215</w:t>
            </w:r>
          </w:p>
        </w:tc>
        <w:tc>
          <w:tcPr>
            <w:tcW w:w="144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0.0479 </w:t>
            </w:r>
          </w:p>
        </w:tc>
        <w:tc>
          <w:tcPr>
            <w:tcW w:w="11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0.345</w:t>
            </w:r>
          </w:p>
        </w:tc>
        <w:tc>
          <w:tcPr>
            <w:tcW w:w="1443"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0.0689 </w:t>
            </w:r>
          </w:p>
        </w:tc>
        <w:tc>
          <w:tcPr>
            <w:tcW w:w="85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0.732</w:t>
            </w:r>
          </w:p>
        </w:tc>
        <w:tc>
          <w:tcPr>
            <w:tcW w:w="1470"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0.293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429"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en-US" w:bidi="ar"/>
              </w:rPr>
              <w:t>下风向最大浓度</w:t>
            </w:r>
          </w:p>
        </w:tc>
        <w:tc>
          <w:tcPr>
            <w:tcW w:w="122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0.722</w:t>
            </w:r>
          </w:p>
        </w:tc>
        <w:tc>
          <w:tcPr>
            <w:tcW w:w="144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0.1605</w:t>
            </w:r>
          </w:p>
        </w:tc>
        <w:tc>
          <w:tcPr>
            <w:tcW w:w="115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1.155</w:t>
            </w:r>
          </w:p>
        </w:tc>
        <w:tc>
          <w:tcPr>
            <w:tcW w:w="144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0.2311</w:t>
            </w:r>
          </w:p>
        </w:tc>
        <w:tc>
          <w:tcPr>
            <w:tcW w:w="85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2.455</w:t>
            </w:r>
          </w:p>
        </w:tc>
        <w:tc>
          <w:tcPr>
            <w:tcW w:w="1470"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0.982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429"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en-US" w:bidi="ar"/>
              </w:rPr>
              <w:t>出现距离（m）</w:t>
            </w:r>
          </w:p>
        </w:tc>
        <w:tc>
          <w:tcPr>
            <w:tcW w:w="1602"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281</w:t>
            </w:r>
          </w:p>
        </w:tc>
        <w:tc>
          <w:tcPr>
            <w:tcW w:w="1567"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281</w:t>
            </w:r>
          </w:p>
        </w:tc>
        <w:tc>
          <w:tcPr>
            <w:tcW w:w="1399"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281</w:t>
            </w:r>
          </w:p>
        </w:tc>
      </w:tr>
    </w:tbl>
    <w:p>
      <w:pPr>
        <w:widowControl/>
        <w:kinsoku w:val="0"/>
        <w:autoSpaceDE w:val="0"/>
        <w:autoSpaceDN w:val="0"/>
        <w:adjustRightInd w:val="0"/>
        <w:snapToGrid w:val="0"/>
        <w:spacing w:line="132" w:lineRule="exact"/>
        <w:jc w:val="left"/>
        <w:textAlignment w:val="baseline"/>
        <w:rPr>
          <w:rFonts w:ascii="Times New Roman" w:hAnsi="Times New Roman" w:eastAsia="Arial" w:cs="Times New Roman"/>
          <w:snapToGrid w:val="0"/>
          <w:color w:val="000000"/>
          <w:kern w:val="0"/>
          <w:sz w:val="21"/>
          <w:szCs w:val="21"/>
          <w:highlight w:val="green"/>
        </w:rPr>
      </w:pPr>
    </w:p>
    <w:p>
      <w:pPr>
        <w:adjustRightInd w:val="0"/>
        <w:spacing w:line="360" w:lineRule="auto"/>
        <w:jc w:val="center"/>
        <w:rPr>
          <w:rFonts w:hint="default" w:ascii="Times New Roman" w:hAnsi="Times New Roman" w:eastAsia="宋体" w:cs="Times New Roman"/>
          <w:b/>
          <w:color w:val="000000"/>
          <w:kern w:val="2"/>
          <w:sz w:val="21"/>
          <w:szCs w:val="21"/>
          <w:lang w:eastAsia="en-US" w:bidi="ar"/>
        </w:rPr>
      </w:pPr>
      <w:r>
        <w:rPr>
          <w:rFonts w:hint="default" w:ascii="Times New Roman" w:hAnsi="Times New Roman" w:eastAsia="宋体" w:cs="Times New Roman"/>
          <w:b/>
          <w:color w:val="000000"/>
          <w:kern w:val="2"/>
          <w:sz w:val="21"/>
          <w:szCs w:val="21"/>
          <w:lang w:eastAsia="en-US" w:bidi="ar"/>
        </w:rPr>
        <w:t>表</w:t>
      </w:r>
      <w:r>
        <w:rPr>
          <w:rFonts w:hint="eastAsia" w:ascii="Times New Roman" w:hAnsi="Times New Roman" w:eastAsia="宋体" w:cs="Times New Roman"/>
          <w:b/>
          <w:color w:val="000000"/>
          <w:kern w:val="2"/>
          <w:sz w:val="21"/>
          <w:szCs w:val="21"/>
          <w:lang w:val="en-US" w:eastAsia="zh-CN" w:bidi="ar"/>
        </w:rPr>
        <w:t xml:space="preserve">6--3 </w:t>
      </w:r>
      <w:r>
        <w:rPr>
          <w:rFonts w:hint="eastAsia" w:ascii="Times New Roman" w:hAnsi="Times New Roman" w:eastAsia="宋体" w:cs="Times New Roman"/>
          <w:b/>
          <w:color w:val="000000"/>
          <w:kern w:val="2"/>
          <w:sz w:val="21"/>
          <w:szCs w:val="21"/>
          <w:lang w:eastAsia="en-US" w:bidi="ar"/>
        </w:rPr>
        <w:t xml:space="preserve"> </w:t>
      </w:r>
      <w:r>
        <w:rPr>
          <w:rFonts w:hint="default" w:ascii="Times New Roman" w:hAnsi="Times New Roman" w:eastAsia="宋体" w:cs="Times New Roman"/>
          <w:b/>
          <w:color w:val="000000"/>
          <w:kern w:val="2"/>
          <w:sz w:val="21"/>
          <w:szCs w:val="21"/>
          <w:lang w:eastAsia="en-US" w:bidi="ar"/>
        </w:rPr>
        <w:t>污染物估算模式计算结果一览表（DA00</w:t>
      </w:r>
      <w:r>
        <w:rPr>
          <w:rFonts w:hint="eastAsia" w:ascii="Times New Roman" w:hAnsi="Times New Roman" w:eastAsia="宋体" w:cs="Times New Roman"/>
          <w:b/>
          <w:color w:val="000000"/>
          <w:kern w:val="2"/>
          <w:sz w:val="21"/>
          <w:szCs w:val="21"/>
          <w:lang w:val="en-US" w:eastAsia="zh-CN" w:bidi="ar"/>
        </w:rPr>
        <w:t>1</w:t>
      </w:r>
      <w:r>
        <w:rPr>
          <w:rFonts w:hint="default" w:ascii="Times New Roman" w:hAnsi="Times New Roman" w:eastAsia="宋体" w:cs="Times New Roman"/>
          <w:b/>
          <w:color w:val="000000"/>
          <w:kern w:val="2"/>
          <w:sz w:val="21"/>
          <w:szCs w:val="21"/>
          <w:lang w:eastAsia="en-US" w:bidi="ar"/>
        </w:rPr>
        <w:t>（</w:t>
      </w:r>
      <w:r>
        <w:rPr>
          <w:rFonts w:hint="eastAsia" w:ascii="Times New Roman" w:hAnsi="Times New Roman" w:eastAsia="宋体" w:cs="Times New Roman"/>
          <w:b/>
          <w:color w:val="000000"/>
          <w:kern w:val="2"/>
          <w:sz w:val="21"/>
          <w:szCs w:val="21"/>
          <w:lang w:val="en-US" w:eastAsia="zh-CN" w:bidi="ar"/>
        </w:rPr>
        <w:t>生物质锅</w:t>
      </w:r>
      <w:r>
        <w:rPr>
          <w:rFonts w:hint="eastAsia" w:ascii="Times New Roman" w:hAnsi="Times New Roman" w:eastAsia="宋体" w:cs="Times New Roman"/>
          <w:b/>
          <w:color w:val="000000"/>
          <w:kern w:val="2"/>
          <w:sz w:val="21"/>
          <w:szCs w:val="21"/>
          <w:lang w:eastAsia="zh-CN" w:bidi="ar"/>
        </w:rPr>
        <w:t>炉燃烧废气</w:t>
      </w:r>
      <w:r>
        <w:rPr>
          <w:rFonts w:hint="default" w:ascii="Times New Roman" w:hAnsi="Times New Roman" w:eastAsia="宋体" w:cs="Times New Roman"/>
          <w:b/>
          <w:color w:val="000000"/>
          <w:kern w:val="2"/>
          <w:sz w:val="21"/>
          <w:szCs w:val="21"/>
          <w:lang w:eastAsia="en-US" w:bidi="ar"/>
        </w:rPr>
        <w:t>））</w:t>
      </w:r>
    </w:p>
    <w:tbl>
      <w:tblPr>
        <w:tblStyle w:val="38"/>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87"/>
        <w:gridCol w:w="1695"/>
        <w:gridCol w:w="2002"/>
        <w:gridCol w:w="1608"/>
        <w:gridCol w:w="2005"/>
        <w:gridCol w:w="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2" w:hRule="atLeast"/>
        </w:trPr>
        <w:tc>
          <w:tcPr>
            <w:tcW w:w="594" w:type="pct"/>
            <w:vMerge w:val="restart"/>
            <w:tcBorders>
              <w:bottom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en-US" w:bidi="ar"/>
              </w:rPr>
              <w:t>下风向距离m</w:t>
            </w:r>
          </w:p>
        </w:tc>
        <w:tc>
          <w:tcPr>
            <w:tcW w:w="4405" w:type="pct"/>
            <w:gridSpan w:val="5"/>
            <w:tcBorders>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DA001</w:t>
            </w:r>
            <w:r>
              <w:rPr>
                <w:rFonts w:hint="eastAsia" w:ascii="Times New Roman" w:hAnsi="Times New Roman" w:eastAsia="宋体" w:cs="Times New Roman"/>
                <w:i w:val="0"/>
                <w:iCs w:val="0"/>
                <w:color w:val="auto"/>
                <w:kern w:val="0"/>
                <w:sz w:val="18"/>
                <w:szCs w:val="18"/>
                <w:u w:val="none"/>
                <w:lang w:val="en-US" w:eastAsia="zh-CN" w:bidi="ar"/>
              </w:rPr>
              <w:t>（</w:t>
            </w:r>
            <w:r>
              <w:rPr>
                <w:rFonts w:hint="eastAsia" w:ascii="Times New Roman" w:hAnsi="Times New Roman" w:cs="Times New Roman"/>
                <w:i w:val="0"/>
                <w:iCs w:val="0"/>
                <w:color w:val="auto"/>
                <w:kern w:val="0"/>
                <w:sz w:val="18"/>
                <w:szCs w:val="18"/>
                <w:u w:val="none"/>
                <w:lang w:val="en-US" w:eastAsia="zh-CN" w:bidi="ar"/>
              </w:rPr>
              <w:t>生物质锅炉废气</w:t>
            </w:r>
            <w:r>
              <w:rPr>
                <w:rFonts w:hint="eastAsia" w:ascii="Times New Roman" w:hAnsi="Times New Roman" w:eastAsia="宋体" w:cs="Times New Roman"/>
                <w:i w:val="0"/>
                <w:iCs w:val="0"/>
                <w:color w:val="auto"/>
                <w:kern w:val="0"/>
                <w:sz w:val="18"/>
                <w:szCs w:val="18"/>
                <w:u w:val="none"/>
                <w:lang w:val="en-US" w:eastAsia="zh-CN"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212" w:hRule="atLeast"/>
        </w:trPr>
        <w:tc>
          <w:tcPr>
            <w:tcW w:w="594" w:type="pct"/>
            <w:vMerge w:val="continue"/>
            <w:tcBorders>
              <w:top w:val="nil"/>
              <w:bottom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p>
        </w:tc>
        <w:tc>
          <w:tcPr>
            <w:tcW w:w="2225"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cs="Times New Roman"/>
                <w:i w:val="0"/>
                <w:iCs w:val="0"/>
                <w:color w:val="auto"/>
                <w:kern w:val="0"/>
                <w:sz w:val="18"/>
                <w:szCs w:val="18"/>
                <w:u w:val="none"/>
                <w:lang w:val="en-US" w:eastAsia="zh-CN" w:bidi="ar"/>
              </w:rPr>
              <w:t>汞及其化合物</w:t>
            </w:r>
          </w:p>
        </w:tc>
        <w:tc>
          <w:tcPr>
            <w:tcW w:w="2175" w:type="pct"/>
            <w:gridSpan w:val="2"/>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cs="Times New Roman"/>
                <w:i w:val="0"/>
                <w:iCs w:val="0"/>
                <w:color w:val="auto"/>
                <w:kern w:val="0"/>
                <w:sz w:val="18"/>
                <w:szCs w:val="18"/>
                <w:u w:val="none"/>
                <w:lang w:val="en-US" w:eastAsia="zh-CN" w:bidi="ar"/>
              </w:rPr>
              <w:t>CO</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938" w:hRule="atLeast"/>
        </w:trPr>
        <w:tc>
          <w:tcPr>
            <w:tcW w:w="594" w:type="pct"/>
            <w:vMerge w:val="continue"/>
            <w:tcBorders>
              <w:top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p>
        </w:tc>
        <w:tc>
          <w:tcPr>
            <w:tcW w:w="102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预测质量浓度（ug/m</w:t>
            </w:r>
            <w:r>
              <w:rPr>
                <w:rFonts w:hint="eastAsia" w:ascii="Times New Roman" w:hAnsi="Times New Roman" w:eastAsia="宋体" w:cs="Times New Roman"/>
                <w:i w:val="0"/>
                <w:iCs w:val="0"/>
                <w:color w:val="auto"/>
                <w:kern w:val="0"/>
                <w:sz w:val="18"/>
                <w:szCs w:val="18"/>
                <w:u w:val="none"/>
                <w:vertAlign w:val="superscript"/>
                <w:lang w:val="en-US" w:eastAsia="zh-CN" w:bidi="ar"/>
              </w:rPr>
              <w:t>3</w:t>
            </w:r>
            <w:r>
              <w:rPr>
                <w:rFonts w:hint="eastAsia" w:ascii="Times New Roman" w:hAnsi="Times New Roman" w:eastAsia="宋体" w:cs="Times New Roman"/>
                <w:i w:val="0"/>
                <w:iCs w:val="0"/>
                <w:color w:val="auto"/>
                <w:kern w:val="0"/>
                <w:sz w:val="18"/>
                <w:szCs w:val="18"/>
                <w:u w:val="none"/>
                <w:lang w:val="en-US" w:eastAsia="zh-CN" w:bidi="ar"/>
              </w:rPr>
              <w:t>）</w:t>
            </w:r>
          </w:p>
        </w:tc>
        <w:tc>
          <w:tcPr>
            <w:tcW w:w="1205"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en-US" w:bidi="ar"/>
              </w:rPr>
              <w:t>占标率/%</w:t>
            </w:r>
          </w:p>
        </w:tc>
        <w:tc>
          <w:tcPr>
            <w:tcW w:w="968"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预测质量浓度（ug/m</w:t>
            </w:r>
            <w:r>
              <w:rPr>
                <w:rFonts w:hint="eastAsia" w:ascii="Times New Roman" w:hAnsi="Times New Roman" w:eastAsia="宋体" w:cs="Times New Roman"/>
                <w:i w:val="0"/>
                <w:iCs w:val="0"/>
                <w:color w:val="auto"/>
                <w:kern w:val="0"/>
                <w:sz w:val="18"/>
                <w:szCs w:val="18"/>
                <w:u w:val="none"/>
                <w:vertAlign w:val="superscript"/>
                <w:lang w:val="en-US" w:eastAsia="zh-CN" w:bidi="ar"/>
              </w:rPr>
              <w:t>3</w:t>
            </w:r>
            <w:r>
              <w:rPr>
                <w:rFonts w:hint="eastAsia" w:ascii="Times New Roman" w:hAnsi="Times New Roman" w:eastAsia="宋体" w:cs="Times New Roman"/>
                <w:i w:val="0"/>
                <w:iCs w:val="0"/>
                <w:color w:val="auto"/>
                <w:kern w:val="0"/>
                <w:sz w:val="18"/>
                <w:szCs w:val="18"/>
                <w:u w:val="none"/>
                <w:lang w:val="en-US" w:eastAsia="zh-CN" w:bidi="ar"/>
              </w:rPr>
              <w:t>）</w:t>
            </w:r>
          </w:p>
        </w:tc>
        <w:tc>
          <w:tcPr>
            <w:tcW w:w="1207"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en-US" w:bidi="ar"/>
              </w:rPr>
              <w:t>占标率/%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6"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0.0000108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0.00358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3.764</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0.0376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6"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50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0.0000219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0.00729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7.651</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0.0765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75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0.0000151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0.00504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5.292</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0.0529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6"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0.0000169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0.00564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5.924</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0.0592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125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0.0000178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0.00594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6.242</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0.0624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150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0.0000181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0.00603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6.332</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0.0633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175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0.0000223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0.00745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7.821</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0.0782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200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0.0000255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0.00851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8.935</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0.0893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225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0.0000275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0.00916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9.614</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0.0961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250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0.0000285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0.00950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9.973</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0.0997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9"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275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0.0000289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0.00962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10.105</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0.1011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21"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281</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0.0000289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0.00963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10.110</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0.1011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300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0.0000288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0.00958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10.063</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0.1006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325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0.0000282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0.00939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9.858</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0.0986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6"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350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0.0000275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0.00917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9.627</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0.0963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6"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375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0.0000268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0.00892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9.370</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0.0937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6"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400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0.0000260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0.00867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9.100</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0.0910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425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0.0000252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0.00841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8.826</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0.0883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450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0.0000244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0.00815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8.554</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0.0855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475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0.0000237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0.00789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8.287</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0.0829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500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0.0000229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0.00765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8.028</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0.0803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9"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525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0.0000222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0.00741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7.778</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0.0778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550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0.0000215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0.00718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7.539</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0.0754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575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0.0000209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0.00696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7.310</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0.0731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600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0.0000203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0.00675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7.091</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0.0709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625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0.0000197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0.00656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6.884</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0.0688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650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0.0000191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0.00637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6.686</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0.0669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675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0.0000186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0.00619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6.498</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0.0650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700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0.0000181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0.00602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6.319</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0.0632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725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0.0000176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0.00586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6.150</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0.0615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750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0.0000171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0.00570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5.988</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0.0599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775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0.0000167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0.00556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5.835</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0.0583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800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0.0000163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0.00542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5.689</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0.0569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825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0.0000159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0.00529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5.550</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0.0555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850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0.0000155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0.00516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5.417</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0.0542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875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0.0000151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0.00505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5.299</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0.0530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900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0.0000149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0.00497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5.216</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0.0522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925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0.0000147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0.00489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5.135</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0.0514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950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0.0000145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0.00484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5.086</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0.0509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975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0.0000145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0.00484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5.081</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0.0508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1000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0.0000145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0.00483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5.068</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0.0507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1025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0.0000144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0.00481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5.048</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0.0505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1050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0.0000143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0.00478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5.021</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0.0502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1075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0.0000143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0.00475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4.988</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0.0499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1100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0.0000141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0.00472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4.952</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0.0495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1125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0.0000140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0.00468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4.915</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0.0491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1150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0.0000139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0.00464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4.876</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0.0488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1175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0.0000138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0.00461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4.837</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0.0484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1200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0.0000137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0.00457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4.797</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0.0480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1225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0.0000136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0.00453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4.756</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0.0476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1250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0.0000135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0.00449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4.715</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0.0471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1275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0.0000134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0.00445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4.673</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0.0467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1300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0.0000132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0.00441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4.631</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0.0463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9"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1325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0.0000131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0.00437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4.589</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0.0459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21"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1350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0.0000130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0.00433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4.546</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0.0455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1375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0.0000129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0.00429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4.504</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0.0450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1400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0.0000127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0.00425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4.462</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0.0446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6"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1425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0.0000126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0.00421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4.420</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0.0442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6"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1450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0.0000125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0.00417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4.378</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0.0438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6"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1475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0.0000124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0.00413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4.336</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0.0434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6"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1500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0.0000123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0.00409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4.295</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0.0429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1525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0.0000122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0.00405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4.254</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0.0425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1550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0.0000120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0.00401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4.213</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0.0421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1575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0.0000119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0.00397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4.173</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0.0417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1600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0.0000118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0.00394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4.133</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0.0413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1625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0.0000117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0.00390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4.093</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0.0409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1650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0.0000116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0.00386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4.054</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0.0405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1675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0.0000115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0.00382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4.016</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0.0402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1700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0.0000114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0.00379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3.978</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0.0398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1725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0.0000113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0.00375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3.940</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0.0394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1750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0.0000112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0.00372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3.903</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0.0390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1775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0.0000110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0.00368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3.867</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0.0387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1800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0.0000109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0.00365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3.831</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0.0383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1825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0.0000108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0.00361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3.795</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0.0379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1850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0.0000107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0.00358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3.760</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0.0376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1875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0.0000106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0.00355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3.725</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0.0373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1900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0.0000105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0.00352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3.691</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0.0369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1925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0.0000105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0.00348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3.658</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0.0366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1950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0.0000104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0.00345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3.625</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0.0362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1975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0.0000103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0.00342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3.592</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0.0359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2000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0.0000102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0.00339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3.560</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0.0356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2025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0.0000101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0.00336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3.529</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0.0353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2050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0.0000100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0.00333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3.498</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0.0350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2075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0.0000099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0.00330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3.467</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0.0347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2100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0.0000098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0.00327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3.437</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0.0344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2125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0.0000097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0.00325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3.408</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0.0341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2150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0.0000097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0.00322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3.378</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0.0338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2175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0.0000096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0.00319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3.350</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0.0335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2200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0.0000095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0.00316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3.322</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0.0332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2225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0.0000094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0.00314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3.294</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0.0329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2250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0.0000093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0.00311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3.266</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0.0327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2275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0.0000093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0.00309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3.239</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0.0324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2300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0.0000092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0.00306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3.213</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0.0321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2325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0.0000091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0.00304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3.187</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0.0319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2350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0.0000090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0.00301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3.161</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0.0316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2375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0.0000090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0.00299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3.136</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0.0314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9"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2400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0.0000089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0.00296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3.111</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0.0311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21"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2425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0.0000088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0.00294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3.086</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0.0309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6"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2450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0.0000087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0.00292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3.062</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0.0306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2475</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0.0000087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0.00289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3.038</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0.0304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6"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2500</w:t>
            </w:r>
          </w:p>
        </w:tc>
        <w:tc>
          <w:tcPr>
            <w:tcW w:w="169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0.0000086 </w:t>
            </w:r>
          </w:p>
        </w:tc>
        <w:tc>
          <w:tcPr>
            <w:tcW w:w="2002"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0.00287 </w:t>
            </w:r>
          </w:p>
        </w:tc>
        <w:tc>
          <w:tcPr>
            <w:tcW w:w="1608"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3.015</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0.0301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937" w:hRule="atLeast"/>
        </w:trPr>
        <w:tc>
          <w:tcPr>
            <w:tcW w:w="594"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en-US" w:bidi="ar"/>
              </w:rPr>
              <w:t>下风向最大浓度</w:t>
            </w:r>
          </w:p>
        </w:tc>
        <w:tc>
          <w:tcPr>
            <w:tcW w:w="169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0.0000289</w:t>
            </w:r>
          </w:p>
        </w:tc>
        <w:tc>
          <w:tcPr>
            <w:tcW w:w="2002"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0.00963</w:t>
            </w:r>
          </w:p>
        </w:tc>
        <w:tc>
          <w:tcPr>
            <w:tcW w:w="160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10.110</w:t>
            </w:r>
          </w:p>
        </w:tc>
        <w:tc>
          <w:tcPr>
            <w:tcW w:w="200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0.1011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709" w:hRule="atLeast"/>
        </w:trPr>
        <w:tc>
          <w:tcPr>
            <w:tcW w:w="594"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en-US" w:bidi="ar"/>
              </w:rPr>
              <w:t>出现距离（m）</w:t>
            </w:r>
          </w:p>
        </w:tc>
        <w:tc>
          <w:tcPr>
            <w:tcW w:w="2225"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cs="Times New Roman"/>
                <w:i w:val="0"/>
                <w:iCs w:val="0"/>
                <w:color w:val="auto"/>
                <w:kern w:val="0"/>
                <w:sz w:val="18"/>
                <w:szCs w:val="18"/>
                <w:u w:val="none"/>
                <w:lang w:val="en-US" w:eastAsia="zh-CN" w:bidi="ar"/>
              </w:rPr>
              <w:t>281</w:t>
            </w:r>
          </w:p>
        </w:tc>
        <w:tc>
          <w:tcPr>
            <w:tcW w:w="2175"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cs="Times New Roman"/>
                <w:i w:val="0"/>
                <w:iCs w:val="0"/>
                <w:color w:val="auto"/>
                <w:kern w:val="0"/>
                <w:sz w:val="18"/>
                <w:szCs w:val="18"/>
                <w:u w:val="none"/>
                <w:lang w:val="en-US" w:eastAsia="zh-CN" w:bidi="ar"/>
              </w:rPr>
              <w:t>281</w:t>
            </w:r>
          </w:p>
        </w:tc>
      </w:tr>
    </w:tbl>
    <w:p>
      <w:pPr>
        <w:adjustRightInd w:val="0"/>
        <w:spacing w:line="360" w:lineRule="auto"/>
        <w:jc w:val="center"/>
        <w:rPr>
          <w:rFonts w:hint="default" w:ascii="Times New Roman" w:hAnsi="Times New Roman" w:eastAsia="宋体" w:cs="Times New Roman"/>
          <w:b/>
          <w:color w:val="000000"/>
          <w:kern w:val="2"/>
          <w:sz w:val="21"/>
          <w:szCs w:val="21"/>
          <w:lang w:eastAsia="en-US" w:bidi="ar"/>
        </w:rPr>
      </w:pPr>
      <w:r>
        <w:rPr>
          <w:rFonts w:hint="default" w:ascii="Times New Roman" w:hAnsi="Times New Roman" w:eastAsia="宋体" w:cs="Times New Roman"/>
          <w:b/>
          <w:color w:val="000000"/>
          <w:kern w:val="2"/>
          <w:sz w:val="21"/>
          <w:szCs w:val="21"/>
          <w:lang w:eastAsia="en-US" w:bidi="ar"/>
        </w:rPr>
        <w:t>表</w:t>
      </w:r>
      <w:r>
        <w:rPr>
          <w:rFonts w:hint="eastAsia" w:ascii="Times New Roman" w:hAnsi="Times New Roman" w:eastAsia="宋体" w:cs="Times New Roman"/>
          <w:b/>
          <w:color w:val="000000"/>
          <w:kern w:val="2"/>
          <w:sz w:val="21"/>
          <w:szCs w:val="21"/>
          <w:lang w:val="en-US" w:eastAsia="zh-CN" w:bidi="ar"/>
        </w:rPr>
        <w:t xml:space="preserve">6--3 </w:t>
      </w:r>
      <w:r>
        <w:rPr>
          <w:rFonts w:hint="eastAsia" w:ascii="Times New Roman" w:hAnsi="Times New Roman" w:eastAsia="宋体" w:cs="Times New Roman"/>
          <w:b/>
          <w:color w:val="000000"/>
          <w:kern w:val="2"/>
          <w:sz w:val="21"/>
          <w:szCs w:val="21"/>
          <w:lang w:eastAsia="en-US" w:bidi="ar"/>
        </w:rPr>
        <w:t xml:space="preserve"> </w:t>
      </w:r>
      <w:r>
        <w:rPr>
          <w:rFonts w:hint="default" w:ascii="Times New Roman" w:hAnsi="Times New Roman" w:eastAsia="宋体" w:cs="Times New Roman"/>
          <w:b/>
          <w:color w:val="000000"/>
          <w:kern w:val="2"/>
          <w:sz w:val="21"/>
          <w:szCs w:val="21"/>
          <w:lang w:eastAsia="en-US" w:bidi="ar"/>
        </w:rPr>
        <w:t>污染物估算模式计算结果一览表（</w:t>
      </w:r>
      <w:r>
        <w:rPr>
          <w:rFonts w:hint="eastAsia" w:ascii="Times New Roman" w:hAnsi="Times New Roman" w:eastAsia="宋体" w:cs="Times New Roman"/>
          <w:b/>
          <w:color w:val="000000"/>
          <w:kern w:val="2"/>
          <w:sz w:val="21"/>
          <w:szCs w:val="21"/>
          <w:lang w:val="en-US" w:eastAsia="zh-CN" w:bidi="ar"/>
        </w:rPr>
        <w:t>污水处理站恶臭--面源</w:t>
      </w:r>
      <w:r>
        <w:rPr>
          <w:rFonts w:hint="default" w:ascii="Times New Roman" w:hAnsi="Times New Roman" w:eastAsia="宋体" w:cs="Times New Roman"/>
          <w:b/>
          <w:color w:val="000000"/>
          <w:kern w:val="2"/>
          <w:sz w:val="21"/>
          <w:szCs w:val="21"/>
          <w:lang w:eastAsia="en-US" w:bidi="ar"/>
        </w:rPr>
        <w:t>）</w:t>
      </w:r>
    </w:p>
    <w:tbl>
      <w:tblPr>
        <w:tblStyle w:val="38"/>
        <w:tblW w:w="500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87"/>
        <w:gridCol w:w="1697"/>
        <w:gridCol w:w="2005"/>
        <w:gridCol w:w="1611"/>
        <w:gridCol w:w="2009"/>
        <w:gridCol w:w="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2" w:hRule="atLeast"/>
        </w:trPr>
        <w:tc>
          <w:tcPr>
            <w:tcW w:w="593" w:type="pct"/>
            <w:vMerge w:val="restart"/>
            <w:tcBorders>
              <w:bottom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en-US" w:bidi="ar"/>
              </w:rPr>
              <w:t>下风向距离m</w:t>
            </w:r>
          </w:p>
        </w:tc>
        <w:tc>
          <w:tcPr>
            <w:tcW w:w="4406" w:type="pct"/>
            <w:gridSpan w:val="5"/>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污水处理站恶臭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212" w:hRule="atLeast"/>
        </w:trPr>
        <w:tc>
          <w:tcPr>
            <w:tcW w:w="593" w:type="pct"/>
            <w:vMerge w:val="continue"/>
            <w:tcBorders>
              <w:top w:val="nil"/>
              <w:bottom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p>
        </w:tc>
        <w:tc>
          <w:tcPr>
            <w:tcW w:w="2225"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cs="Times New Roman"/>
                <w:i w:val="0"/>
                <w:iCs w:val="0"/>
                <w:color w:val="auto"/>
                <w:kern w:val="0"/>
                <w:sz w:val="18"/>
                <w:szCs w:val="18"/>
                <w:u w:val="none"/>
                <w:lang w:val="en-US" w:eastAsia="zh-CN" w:bidi="ar"/>
              </w:rPr>
              <w:t>氨</w:t>
            </w:r>
          </w:p>
        </w:tc>
        <w:tc>
          <w:tcPr>
            <w:tcW w:w="2175" w:type="pct"/>
            <w:gridSpan w:val="2"/>
            <w:tcBorders>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cs="Times New Roman"/>
                <w:i w:val="0"/>
                <w:iCs w:val="0"/>
                <w:color w:val="auto"/>
                <w:kern w:val="0"/>
                <w:sz w:val="18"/>
                <w:szCs w:val="18"/>
                <w:u w:val="none"/>
                <w:lang w:val="en-US" w:eastAsia="zh-CN" w:bidi="ar"/>
              </w:rPr>
              <w:t>硫化氢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938" w:hRule="atLeast"/>
        </w:trPr>
        <w:tc>
          <w:tcPr>
            <w:tcW w:w="593" w:type="pct"/>
            <w:vMerge w:val="continue"/>
            <w:tcBorders>
              <w:top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p>
        </w:tc>
        <w:tc>
          <w:tcPr>
            <w:tcW w:w="1020"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预测质量浓度（ug/m</w:t>
            </w:r>
            <w:r>
              <w:rPr>
                <w:rFonts w:hint="eastAsia" w:ascii="Times New Roman" w:hAnsi="Times New Roman" w:eastAsia="宋体" w:cs="Times New Roman"/>
                <w:i w:val="0"/>
                <w:iCs w:val="0"/>
                <w:color w:val="auto"/>
                <w:kern w:val="0"/>
                <w:sz w:val="18"/>
                <w:szCs w:val="18"/>
                <w:u w:val="none"/>
                <w:vertAlign w:val="superscript"/>
                <w:lang w:val="en-US" w:eastAsia="zh-CN" w:bidi="ar"/>
              </w:rPr>
              <w:t>3</w:t>
            </w:r>
            <w:r>
              <w:rPr>
                <w:rFonts w:hint="eastAsia" w:ascii="Times New Roman" w:hAnsi="Times New Roman" w:eastAsia="宋体" w:cs="Times New Roman"/>
                <w:i w:val="0"/>
                <w:iCs w:val="0"/>
                <w:color w:val="auto"/>
                <w:kern w:val="0"/>
                <w:sz w:val="18"/>
                <w:szCs w:val="18"/>
                <w:u w:val="none"/>
                <w:lang w:val="en-US" w:eastAsia="zh-CN" w:bidi="ar"/>
              </w:rPr>
              <w:t>）</w:t>
            </w:r>
          </w:p>
        </w:tc>
        <w:tc>
          <w:tcPr>
            <w:tcW w:w="1205"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en-US" w:bidi="ar"/>
              </w:rPr>
              <w:t>占标率/%</w:t>
            </w:r>
          </w:p>
        </w:tc>
        <w:tc>
          <w:tcPr>
            <w:tcW w:w="968"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预测质量浓度（ug/m</w:t>
            </w:r>
            <w:r>
              <w:rPr>
                <w:rFonts w:hint="eastAsia" w:ascii="Times New Roman" w:hAnsi="Times New Roman" w:eastAsia="宋体" w:cs="Times New Roman"/>
                <w:i w:val="0"/>
                <w:iCs w:val="0"/>
                <w:color w:val="auto"/>
                <w:kern w:val="0"/>
                <w:sz w:val="18"/>
                <w:szCs w:val="18"/>
                <w:u w:val="none"/>
                <w:vertAlign w:val="superscript"/>
                <w:lang w:val="en-US" w:eastAsia="zh-CN" w:bidi="ar"/>
              </w:rPr>
              <w:t>3</w:t>
            </w:r>
            <w:r>
              <w:rPr>
                <w:rFonts w:hint="eastAsia" w:ascii="Times New Roman" w:hAnsi="Times New Roman" w:eastAsia="宋体" w:cs="Times New Roman"/>
                <w:i w:val="0"/>
                <w:iCs w:val="0"/>
                <w:color w:val="auto"/>
                <w:kern w:val="0"/>
                <w:sz w:val="18"/>
                <w:szCs w:val="18"/>
                <w:u w:val="none"/>
                <w:lang w:val="en-US" w:eastAsia="zh-CN" w:bidi="ar"/>
              </w:rPr>
              <w:t>）</w:t>
            </w:r>
          </w:p>
        </w:tc>
        <w:tc>
          <w:tcPr>
            <w:tcW w:w="1207"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en-US" w:bidi="ar"/>
              </w:rPr>
              <w:t>占标率/%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6"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1.39230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0.69615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0.053550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0.535500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4" w:type="pct"/>
          <w:trHeight w:val="316"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2.33980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1.16990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0.089992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0.899923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1.37640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0.68820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0.052938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0.529385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6"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50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0.74361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0.37181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0.028600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0.286004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75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0.47102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0.23551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0.018116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0.181162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0.33237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0.16619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0.012783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0.127835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125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0.25122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0.12561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0.009662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0.096623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150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0.20242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0.10121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0.007785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0.077854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175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0.16524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0.08262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0.006355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0.063554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200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0.13845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0.06923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0.005325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0.053250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9"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225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0.11838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0.05919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0.004553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0.045531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21"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250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0.10285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0.05143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0.003956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0.039558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275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0.09054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0.04527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0.003482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0.034824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300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0.08058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0.04029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0.003099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0.030991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6"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325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0.07237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0.03618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0.002783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0.027833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6"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350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0.06551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0.03275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0.002519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0.025194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6"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375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0.05970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0.02985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0.002296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0.022960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400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0.05473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0.02736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0.002105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0.021048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425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0.05043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0.02522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0.001940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0.019396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450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0.04669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0.02334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0.001796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0.017957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475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0.04340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0.02170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0.001669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0.016692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9"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500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0.04050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0.02025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0.001558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0.015575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525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0.03791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0.01896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0.001458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0.014581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550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0.03560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0.01780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0.001369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0.013692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575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0.03352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0.01676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0.001289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0.012893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600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0.03165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0.01582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0.001217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0.012171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625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0.02994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0.01497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0.001152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0.011517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649.99</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0.02840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0.01420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0.001092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0.010921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675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0.02698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0.01349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0.001038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0.010377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699.99</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0.02568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0.01284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0.000988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0.009878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725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0.02449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0.01225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0.000942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0.009419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749.99</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0.02339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0.01170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0.000900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0.008996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775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0.02237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0.01119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0.000861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0.008605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800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0.02143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0.01072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0.000824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0.008242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825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0.02055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0.01028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0.000791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0.007905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850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0.01974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0.00987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0.000759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0.007592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875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0.01898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0.00949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0.000730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0.007299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900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0.01827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0.00913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0.000703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0.007025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924.99</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0.01760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0.00880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0.000677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0.006769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950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0.01697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0.00849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0.000653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0.006528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975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0.01639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0.00819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0.000630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0.006302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1000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0.01583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0.00792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0.000609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0.006089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1025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0.01531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0.00766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0.000589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0.005888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1050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0.01482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0.00741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0.000570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0.005699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1075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0.01435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0.00718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0.000552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0.005520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1100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0.01391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0.00696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0.000535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0.005350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1125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0.01349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0.00675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0.000519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0.005189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1150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0.01310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0.00655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0.000504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0.005037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1175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0.01272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0.00636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0.000489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0.004892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1200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0.01236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0.00618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0.000475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0.004753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1225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0.01202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0.00601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0.000462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0.004622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1250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0.01169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0.00585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0.000450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0.004497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1275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0.01138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0.00569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0.000438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0.004378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9"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1300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0.01109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0.00554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0.000426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0.004263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21"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1325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0.01080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0.00540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0.000415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0.004155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1350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0.01053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0.00527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0.000405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0.004050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1375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0.01027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0.00514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0.000395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0.003951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6"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1400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0.01002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0.00501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0.000386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0.003855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6"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1425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0.00978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0.00489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0.000376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0.003763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6"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1450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0.00956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0.00478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0.000368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0.003675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6"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1475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0.00934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0.00467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0.000359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0.003591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1500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0.00913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0.00456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0.000351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0.003510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1525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0.00892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0.00446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0.000343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0.003432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1550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0.00873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0.00436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0.000336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0.003357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1574.99</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0.00854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0.00427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0.000328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0.003285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1600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0.00836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0.00418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0.000322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0.003215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1625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0.00818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0.00409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0.000315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0.003148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1650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0.00802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0.00401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0.000308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0.003083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1675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0.00785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0.00393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0.000302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0.003021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1700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0.00770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0.00385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0.000296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0.002961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1725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0.00755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0.00377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0.000290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0.002902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1750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0.00740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0.00370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0.000285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0.002846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1775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0.00726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0.00363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0.000279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0.002792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1800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0.00712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0.00356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0.000274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0.002739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1824.99</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0.00699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0.00349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0.000269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0.002688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1850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0.00686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0.00343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0.000264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0.002639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1875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0.00674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0.00337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0.000259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0.002591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1899.99</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0.00662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0.00331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0.000254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0.002545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1924.99</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0.00650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0.00325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0.000250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0.002500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1950</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0.00639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0.00319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0.000246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0.002457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1975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0.00628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0.00314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0.000241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0.002414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1999.99</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0.00617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0.00309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0.000237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0.002373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317" w:hRule="atLeast"/>
        </w:trPr>
        <w:tc>
          <w:tcPr>
            <w:tcW w:w="98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2025</w:t>
            </w:r>
          </w:p>
        </w:tc>
        <w:tc>
          <w:tcPr>
            <w:tcW w:w="1697"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0.00607 </w:t>
            </w:r>
          </w:p>
        </w:tc>
        <w:tc>
          <w:tcPr>
            <w:tcW w:w="2005"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0.00303 </w:t>
            </w:r>
          </w:p>
        </w:tc>
        <w:tc>
          <w:tcPr>
            <w:tcW w:w="1611"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0.000233 </w:t>
            </w:r>
          </w:p>
        </w:tc>
        <w:tc>
          <w:tcPr>
            <w:tcW w:w="2009" w:type="dxa"/>
            <w:noWrap w:val="0"/>
            <w:vAlign w:val="bottom"/>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zh-CN" w:bidi="ar"/>
              </w:rPr>
              <w:t xml:space="preserve">0.002334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937" w:hRule="atLeast"/>
        </w:trPr>
        <w:tc>
          <w:tcPr>
            <w:tcW w:w="593"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en-US" w:bidi="ar"/>
              </w:rPr>
              <w:t>下风向最大浓度</w:t>
            </w:r>
          </w:p>
        </w:tc>
        <w:tc>
          <w:tcPr>
            <w:tcW w:w="1697"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2.33980</w:t>
            </w:r>
          </w:p>
        </w:tc>
        <w:tc>
          <w:tcPr>
            <w:tcW w:w="2005"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1.16990</w:t>
            </w:r>
          </w:p>
        </w:tc>
        <w:tc>
          <w:tcPr>
            <w:tcW w:w="161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0.089992</w:t>
            </w:r>
          </w:p>
        </w:tc>
        <w:tc>
          <w:tcPr>
            <w:tcW w:w="200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0.899923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After w:val="1"/>
          <w:wAfter w:w="4" w:type="pct"/>
          <w:trHeight w:val="709" w:hRule="atLeast"/>
        </w:trPr>
        <w:tc>
          <w:tcPr>
            <w:tcW w:w="593" w:type="pct"/>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en-US" w:bidi="ar"/>
              </w:rPr>
            </w:pPr>
            <w:r>
              <w:rPr>
                <w:rFonts w:hint="eastAsia" w:ascii="Times New Roman" w:hAnsi="Times New Roman" w:eastAsia="宋体" w:cs="Times New Roman"/>
                <w:i w:val="0"/>
                <w:iCs w:val="0"/>
                <w:color w:val="auto"/>
                <w:kern w:val="0"/>
                <w:sz w:val="18"/>
                <w:szCs w:val="18"/>
                <w:u w:val="none"/>
                <w:lang w:val="en-US" w:eastAsia="en-US" w:bidi="ar"/>
              </w:rPr>
              <w:t>出现距离（m）</w:t>
            </w:r>
          </w:p>
        </w:tc>
        <w:tc>
          <w:tcPr>
            <w:tcW w:w="2225"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cs="Times New Roman"/>
                <w:i w:val="0"/>
                <w:iCs w:val="0"/>
                <w:color w:val="auto"/>
                <w:kern w:val="0"/>
                <w:sz w:val="18"/>
                <w:szCs w:val="18"/>
                <w:u w:val="none"/>
                <w:lang w:val="en-US" w:eastAsia="zh-CN" w:bidi="ar"/>
              </w:rPr>
              <w:t>5</w:t>
            </w:r>
          </w:p>
        </w:tc>
        <w:tc>
          <w:tcPr>
            <w:tcW w:w="2175" w:type="pct"/>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cs="Times New Roman"/>
                <w:i w:val="0"/>
                <w:iCs w:val="0"/>
                <w:color w:val="auto"/>
                <w:kern w:val="0"/>
                <w:sz w:val="18"/>
                <w:szCs w:val="18"/>
                <w:u w:val="none"/>
                <w:lang w:val="en-US" w:eastAsia="zh-CN" w:bidi="ar"/>
              </w:rPr>
              <w:t>5</w:t>
            </w:r>
          </w:p>
        </w:tc>
      </w:tr>
    </w:tbl>
    <w:p>
      <w:pPr>
        <w:keepNext w:val="0"/>
        <w:keepLines w:val="0"/>
        <w:pageBreakBefore w:val="0"/>
        <w:wordWrap/>
        <w:overflowPunct/>
        <w:topLinePunct w:val="0"/>
        <w:bidi w:val="0"/>
        <w:spacing w:line="460" w:lineRule="atLeast"/>
        <w:ind w:firstLine="470" w:firstLineChars="196"/>
        <w:rPr>
          <w:rFonts w:ascii="Times New Roman" w:hAnsi="Times New Roman" w:cs="Times New Roman"/>
          <w:color w:val="000000"/>
          <w:kern w:val="2"/>
          <w:sz w:val="24"/>
          <w:szCs w:val="24"/>
          <w:highlight w:val="none"/>
        </w:rPr>
      </w:pPr>
      <w:r>
        <w:rPr>
          <w:rFonts w:ascii="Times New Roman" w:hAnsi="Times New Roman" w:cs="Times New Roman"/>
          <w:color w:val="000000"/>
          <w:kern w:val="2"/>
          <w:sz w:val="24"/>
          <w:szCs w:val="24"/>
          <w:highlight w:val="none"/>
        </w:rPr>
        <w:t>根据估算模式计算结果可知：本项目各主要污染源排放污染物的最大地面浓度占标率</w:t>
      </w:r>
      <w:r>
        <w:rPr>
          <w:rFonts w:hint="eastAsia" w:ascii="Times New Roman" w:cs="Times New Roman"/>
          <w:color w:val="000000"/>
          <w:kern w:val="2"/>
          <w:sz w:val="24"/>
          <w:szCs w:val="24"/>
          <w:highlight w:val="none"/>
          <w:lang w:val="en-US" w:eastAsia="zh-CN"/>
        </w:rPr>
        <w:t>为污水处理站恶臭氨的1</w:t>
      </w:r>
      <w:r>
        <w:rPr>
          <w:rFonts w:ascii="Times New Roman" w:hAnsi="Times New Roman" w:cs="Times New Roman"/>
          <w:color w:val="000000"/>
          <w:kern w:val="2"/>
          <w:sz w:val="24"/>
          <w:szCs w:val="24"/>
          <w:highlight w:val="none"/>
        </w:rPr>
        <w:t>%</w:t>
      </w:r>
      <w:r>
        <w:rPr>
          <w:rFonts w:hint="eastAsia" w:ascii="Times New Roman" w:hAnsi="Times New Roman" w:cs="Times New Roman"/>
          <w:color w:val="000000"/>
          <w:kern w:val="2"/>
          <w:sz w:val="24"/>
          <w:szCs w:val="24"/>
          <w:highlight w:val="none"/>
          <w:lang w:val="en-US" w:eastAsia="zh-CN"/>
        </w:rPr>
        <w:t>≤</w:t>
      </w:r>
      <w:r>
        <w:rPr>
          <w:rFonts w:ascii="Times New Roman" w:hAnsi="Times New Roman" w:cs="Times New Roman"/>
          <w:color w:val="000000"/>
          <w:kern w:val="2"/>
          <w:sz w:val="24"/>
          <w:szCs w:val="24"/>
          <w:highlight w:val="none"/>
        </w:rPr>
        <w:t>Pmax</w:t>
      </w:r>
      <w:r>
        <w:rPr>
          <w:rFonts w:hint="eastAsia" w:ascii="Times New Roman" w:cs="Times New Roman"/>
          <w:color w:val="000000"/>
          <w:kern w:val="2"/>
          <w:sz w:val="24"/>
          <w:szCs w:val="24"/>
          <w:highlight w:val="none"/>
          <w:lang w:val="en-US" w:eastAsia="zh-CN"/>
        </w:rPr>
        <w:t>=</w:t>
      </w:r>
      <w:r>
        <w:rPr>
          <w:rFonts w:hint="eastAsia" w:ascii="Times New Roman" w:hAnsi="Times New Roman" w:cs="Times New Roman"/>
          <w:color w:val="000000"/>
          <w:kern w:val="2"/>
          <w:sz w:val="24"/>
          <w:szCs w:val="24"/>
          <w:highlight w:val="none"/>
          <w:lang w:val="en-US" w:eastAsia="zh-CN"/>
        </w:rPr>
        <w:t xml:space="preserve">1.0263 </w:t>
      </w:r>
      <w:r>
        <w:rPr>
          <w:rFonts w:ascii="Times New Roman" w:hAnsi="Times New Roman" w:cs="Times New Roman"/>
          <w:color w:val="000000"/>
          <w:kern w:val="2"/>
          <w:sz w:val="24"/>
          <w:szCs w:val="24"/>
          <w:highlight w:val="none"/>
        </w:rPr>
        <w:t>%＜</w:t>
      </w:r>
      <w:r>
        <w:rPr>
          <w:rFonts w:hint="eastAsia" w:ascii="Times New Roman" w:hAnsi="Times New Roman" w:cs="Times New Roman"/>
          <w:color w:val="000000"/>
          <w:kern w:val="2"/>
          <w:sz w:val="24"/>
          <w:szCs w:val="24"/>
          <w:highlight w:val="none"/>
          <w:lang w:val="en-US" w:eastAsia="zh-CN"/>
        </w:rPr>
        <w:t>10%</w:t>
      </w:r>
      <w:r>
        <w:rPr>
          <w:rFonts w:ascii="Times New Roman" w:hAnsi="Times New Roman" w:cs="Times New Roman"/>
          <w:color w:val="000000"/>
          <w:kern w:val="2"/>
          <w:sz w:val="24"/>
          <w:szCs w:val="24"/>
          <w:highlight w:val="none"/>
        </w:rPr>
        <w:t>，根据导则评价等级判断标准确定大气环境影响评价等级为</w:t>
      </w:r>
      <w:r>
        <w:rPr>
          <w:rFonts w:hint="eastAsia" w:ascii="Times New Roman" w:cs="Times New Roman"/>
          <w:color w:val="000000"/>
          <w:kern w:val="2"/>
          <w:sz w:val="24"/>
          <w:szCs w:val="24"/>
          <w:highlight w:val="none"/>
          <w:lang w:val="en-US" w:eastAsia="zh-CN"/>
        </w:rPr>
        <w:t>二</w:t>
      </w:r>
      <w:r>
        <w:rPr>
          <w:rFonts w:ascii="Times New Roman" w:hAnsi="Times New Roman" w:cs="Times New Roman"/>
          <w:color w:val="000000"/>
          <w:kern w:val="2"/>
          <w:sz w:val="24"/>
          <w:szCs w:val="24"/>
          <w:highlight w:val="none"/>
        </w:rPr>
        <w:t>级。根据《环境影响评价技术导则大气环境》（HJ2.2-2018）要求，</w:t>
      </w:r>
      <w:r>
        <w:rPr>
          <w:rFonts w:hint="eastAsia" w:ascii="Times New Roman" w:cs="Times New Roman"/>
          <w:color w:val="000000"/>
          <w:kern w:val="2"/>
          <w:sz w:val="24"/>
          <w:szCs w:val="24"/>
          <w:highlight w:val="none"/>
          <w:lang w:val="en-US" w:eastAsia="zh-CN"/>
        </w:rPr>
        <w:t>二</w:t>
      </w:r>
      <w:r>
        <w:rPr>
          <w:rFonts w:ascii="Times New Roman" w:hAnsi="Times New Roman" w:cs="Times New Roman"/>
          <w:color w:val="000000"/>
          <w:kern w:val="2"/>
          <w:sz w:val="24"/>
          <w:szCs w:val="24"/>
          <w:highlight w:val="none"/>
        </w:rPr>
        <w:t>级评价项目不需要进行进一步预测</w:t>
      </w:r>
      <w:r>
        <w:rPr>
          <w:rFonts w:hint="eastAsia" w:ascii="Times New Roman" w:cs="Times New Roman"/>
          <w:color w:val="000000"/>
          <w:kern w:val="2"/>
          <w:sz w:val="24"/>
          <w:szCs w:val="24"/>
          <w:highlight w:val="none"/>
          <w:lang w:val="en-US" w:eastAsia="zh-CN"/>
        </w:rPr>
        <w:t>与评价</w:t>
      </w:r>
      <w:r>
        <w:rPr>
          <w:rFonts w:ascii="Times New Roman" w:hAnsi="Times New Roman" w:cs="Times New Roman"/>
          <w:color w:val="000000"/>
          <w:kern w:val="2"/>
          <w:sz w:val="24"/>
          <w:szCs w:val="24"/>
          <w:highlight w:val="none"/>
        </w:rPr>
        <w:t>。根据预测，项目废气厂界处废气可达标排放，可满足相关标准限值；厂界外大气污染物贡献浓度可达到环境质量浓度限值，则项目无需设大气环境防护距离。</w:t>
      </w:r>
    </w:p>
    <w:p>
      <w:pPr>
        <w:keepNext w:val="0"/>
        <w:keepLines w:val="0"/>
        <w:pageBreakBefore w:val="0"/>
        <w:wordWrap/>
        <w:overflowPunct/>
        <w:topLinePunct w:val="0"/>
        <w:bidi w:val="0"/>
        <w:spacing w:line="460" w:lineRule="atLeast"/>
        <w:ind w:firstLine="470" w:firstLineChars="196"/>
        <w:rPr>
          <w:rFonts w:ascii="Times New Roman" w:hAnsi="Times New Roman" w:cs="Times New Roman"/>
          <w:color w:val="000000"/>
          <w:kern w:val="2"/>
          <w:sz w:val="24"/>
          <w:szCs w:val="24"/>
          <w:highlight w:val="none"/>
        </w:rPr>
      </w:pPr>
      <w:r>
        <w:rPr>
          <w:rFonts w:ascii="Times New Roman" w:hAnsi="Times New Roman" w:cs="Times New Roman"/>
          <w:color w:val="auto"/>
          <w:kern w:val="2"/>
          <w:sz w:val="24"/>
          <w:szCs w:val="24"/>
          <w:highlight w:val="none"/>
        </w:rPr>
        <w:t>从上表可以看出，</w:t>
      </w:r>
      <w:r>
        <w:rPr>
          <w:rFonts w:hint="eastAsia" w:ascii="Times New Roman" w:cs="Times New Roman"/>
          <w:color w:val="auto"/>
          <w:kern w:val="2"/>
          <w:sz w:val="24"/>
          <w:szCs w:val="24"/>
          <w:highlight w:val="none"/>
          <w:lang w:val="en-US" w:eastAsia="zh-CN"/>
        </w:rPr>
        <w:t>生物质锅炉污染源</w:t>
      </w:r>
      <w:r>
        <w:rPr>
          <w:rFonts w:ascii="Times New Roman" w:hAnsi="Times New Roman" w:cs="Times New Roman"/>
          <w:color w:val="auto"/>
          <w:kern w:val="2"/>
          <w:sz w:val="24"/>
          <w:szCs w:val="24"/>
          <w:highlight w:val="none"/>
        </w:rPr>
        <w:t>PM</w:t>
      </w:r>
      <w:r>
        <w:rPr>
          <w:rFonts w:ascii="Times New Roman" w:hAnsi="Times New Roman" w:cs="Times New Roman"/>
          <w:color w:val="auto"/>
          <w:kern w:val="2"/>
          <w:sz w:val="24"/>
          <w:szCs w:val="24"/>
          <w:highlight w:val="none"/>
          <w:vertAlign w:val="subscript"/>
        </w:rPr>
        <w:t>10</w:t>
      </w:r>
      <w:r>
        <w:rPr>
          <w:rFonts w:hint="eastAsia" w:ascii="Times New Roman" w:hAnsi="Times New Roman" w:cs="Times New Roman"/>
          <w:color w:val="000000"/>
          <w:kern w:val="2"/>
          <w:sz w:val="24"/>
          <w:szCs w:val="24"/>
          <w:highlight w:val="none"/>
          <w:vertAlign w:val="baseline"/>
          <w:lang w:eastAsia="zh-CN"/>
        </w:rPr>
        <w:t>、</w:t>
      </w:r>
      <w:r>
        <w:rPr>
          <w:rFonts w:ascii="Times New Roman" w:hAnsi="Times New Roman" w:cs="Times New Roman"/>
          <w:color w:val="000000"/>
          <w:kern w:val="2"/>
          <w:sz w:val="24"/>
          <w:szCs w:val="24"/>
          <w:highlight w:val="none"/>
        </w:rPr>
        <w:t>SO</w:t>
      </w:r>
      <w:r>
        <w:rPr>
          <w:rFonts w:ascii="Times New Roman" w:hAnsi="Times New Roman" w:cs="Times New Roman"/>
          <w:color w:val="000000"/>
          <w:kern w:val="2"/>
          <w:sz w:val="24"/>
          <w:szCs w:val="24"/>
          <w:highlight w:val="none"/>
          <w:vertAlign w:val="subscript"/>
        </w:rPr>
        <w:t>2</w:t>
      </w:r>
      <w:r>
        <w:rPr>
          <w:rFonts w:hint="eastAsia" w:ascii="Times New Roman" w:hAnsi="Times New Roman" w:cs="Times New Roman"/>
          <w:color w:val="000000"/>
          <w:kern w:val="2"/>
          <w:sz w:val="24"/>
          <w:szCs w:val="24"/>
          <w:highlight w:val="none"/>
          <w:vertAlign w:val="baseline"/>
          <w:lang w:eastAsia="zh-CN"/>
        </w:rPr>
        <w:t>、</w:t>
      </w:r>
      <w:r>
        <w:rPr>
          <w:rFonts w:ascii="Times New Roman" w:hAnsi="Times New Roman" w:cs="Times New Roman"/>
          <w:color w:val="000000"/>
          <w:kern w:val="2"/>
          <w:sz w:val="24"/>
          <w:szCs w:val="24"/>
          <w:highlight w:val="none"/>
        </w:rPr>
        <w:t>NOx</w:t>
      </w:r>
      <w:r>
        <w:rPr>
          <w:rFonts w:hint="eastAsia" w:ascii="Times New Roman" w:cs="Times New Roman"/>
          <w:color w:val="000000"/>
          <w:kern w:val="2"/>
          <w:sz w:val="24"/>
          <w:szCs w:val="24"/>
          <w:highlight w:val="none"/>
          <w:lang w:eastAsia="zh-CN"/>
        </w:rPr>
        <w:t>、</w:t>
      </w:r>
      <w:r>
        <w:rPr>
          <w:rFonts w:hint="eastAsia" w:ascii="Times New Roman" w:hAnsi="Times New Roman" w:cs="Times New Roman"/>
          <w:color w:val="auto"/>
          <w:kern w:val="2"/>
          <w:sz w:val="24"/>
          <w:szCs w:val="24"/>
          <w:highlight w:val="none"/>
        </w:rPr>
        <w:t>汞及其化合物</w:t>
      </w:r>
      <w:r>
        <w:rPr>
          <w:rFonts w:hint="eastAsia" w:ascii="Times New Roman" w:cs="Times New Roman"/>
          <w:color w:val="auto"/>
          <w:kern w:val="2"/>
          <w:sz w:val="24"/>
          <w:szCs w:val="24"/>
          <w:highlight w:val="none"/>
          <w:lang w:eastAsia="zh-CN"/>
        </w:rPr>
        <w:t>、</w:t>
      </w:r>
      <w:r>
        <w:rPr>
          <w:rFonts w:hint="eastAsia" w:ascii="Times New Roman" w:hAnsi="Times New Roman" w:cs="Times New Roman"/>
          <w:color w:val="auto"/>
          <w:kern w:val="2"/>
          <w:sz w:val="24"/>
          <w:szCs w:val="24"/>
          <w:highlight w:val="none"/>
        </w:rPr>
        <w:t>CO</w:t>
      </w:r>
      <w:r>
        <w:rPr>
          <w:rFonts w:ascii="Times New Roman" w:hAnsi="Times New Roman" w:cs="Times New Roman"/>
          <w:color w:val="auto"/>
          <w:kern w:val="2"/>
          <w:sz w:val="24"/>
          <w:szCs w:val="24"/>
          <w:highlight w:val="none"/>
        </w:rPr>
        <w:t>最大占标率为</w:t>
      </w:r>
      <w:r>
        <w:rPr>
          <w:rFonts w:hint="eastAsia" w:ascii="Times New Roman" w:hAnsi="Times New Roman" w:eastAsia="宋体" w:cs="Times New Roman"/>
          <w:color w:val="000000"/>
          <w:kern w:val="2"/>
          <w:sz w:val="24"/>
          <w:szCs w:val="24"/>
          <w:highlight w:val="none"/>
          <w:vertAlign w:val="baseline"/>
          <w:lang w:val="en-US" w:eastAsia="zh-CN"/>
        </w:rPr>
        <w:t>0.1605</w:t>
      </w:r>
      <w:r>
        <w:rPr>
          <w:rFonts w:hint="eastAsia" w:ascii="Times New Roman" w:hAnsi="Times New Roman" w:eastAsia="宋体" w:cs="Times New Roman"/>
          <w:color w:val="000000"/>
          <w:kern w:val="2"/>
          <w:sz w:val="24"/>
          <w:szCs w:val="24"/>
          <w:highlight w:val="none"/>
          <w:vertAlign w:val="baseline"/>
          <w:lang w:eastAsia="zh-CN"/>
        </w:rPr>
        <w:t>%、</w:t>
      </w:r>
      <w:r>
        <w:rPr>
          <w:rFonts w:hint="eastAsia" w:ascii="Times New Roman" w:hAnsi="Times New Roman" w:eastAsia="宋体" w:cs="Times New Roman"/>
          <w:color w:val="000000"/>
          <w:kern w:val="2"/>
          <w:sz w:val="24"/>
          <w:szCs w:val="24"/>
          <w:highlight w:val="none"/>
          <w:vertAlign w:val="baseline"/>
          <w:lang w:val="en-US" w:eastAsia="zh-CN"/>
        </w:rPr>
        <w:t>0.2311</w:t>
      </w:r>
      <w:r>
        <w:rPr>
          <w:rFonts w:hint="eastAsia" w:ascii="Times New Roman" w:hAnsi="Times New Roman" w:eastAsia="宋体" w:cs="Times New Roman"/>
          <w:color w:val="000000"/>
          <w:kern w:val="2"/>
          <w:sz w:val="24"/>
          <w:szCs w:val="24"/>
          <w:highlight w:val="none"/>
          <w:vertAlign w:val="baseline"/>
          <w:lang w:eastAsia="zh-CN"/>
        </w:rPr>
        <w:t>%、</w:t>
      </w:r>
      <w:r>
        <w:rPr>
          <w:rFonts w:hint="eastAsia" w:ascii="Times New Roman" w:hAnsi="Times New Roman" w:eastAsia="宋体" w:cs="Times New Roman"/>
          <w:color w:val="000000"/>
          <w:kern w:val="2"/>
          <w:sz w:val="24"/>
          <w:szCs w:val="24"/>
          <w:highlight w:val="none"/>
          <w:vertAlign w:val="baseline"/>
          <w:lang w:val="en-US" w:eastAsia="zh-CN"/>
        </w:rPr>
        <w:t>0.982</w:t>
      </w:r>
      <w:r>
        <w:rPr>
          <w:rFonts w:hint="eastAsia" w:ascii="Times New Roman" w:hAnsi="Times New Roman" w:eastAsia="宋体" w:cs="Times New Roman"/>
          <w:color w:val="000000"/>
          <w:kern w:val="2"/>
          <w:sz w:val="24"/>
          <w:szCs w:val="24"/>
          <w:highlight w:val="none"/>
          <w:vertAlign w:val="baseline"/>
          <w:lang w:eastAsia="zh-CN"/>
        </w:rPr>
        <w:t>%、</w:t>
      </w:r>
      <w:r>
        <w:rPr>
          <w:rFonts w:hint="eastAsia" w:ascii="Times New Roman" w:hAnsi="Times New Roman" w:eastAsia="宋体" w:cs="Times New Roman"/>
          <w:color w:val="000000"/>
          <w:kern w:val="2"/>
          <w:sz w:val="24"/>
          <w:szCs w:val="24"/>
          <w:highlight w:val="none"/>
          <w:vertAlign w:val="baseline"/>
          <w:lang w:val="en-US" w:eastAsia="zh-CN"/>
        </w:rPr>
        <w:t>0.00963</w:t>
      </w:r>
      <w:r>
        <w:rPr>
          <w:rFonts w:hint="eastAsia" w:ascii="Times New Roman" w:hAnsi="Times New Roman" w:eastAsia="宋体" w:cs="Times New Roman"/>
          <w:color w:val="000000"/>
          <w:kern w:val="2"/>
          <w:sz w:val="24"/>
          <w:szCs w:val="24"/>
          <w:highlight w:val="none"/>
          <w:vertAlign w:val="baseline"/>
          <w:lang w:eastAsia="zh-CN"/>
        </w:rPr>
        <w:t>%、</w:t>
      </w:r>
      <w:r>
        <w:rPr>
          <w:rFonts w:hint="eastAsia" w:ascii="Times New Roman" w:hAnsi="Times New Roman" w:eastAsia="宋体" w:cs="Times New Roman"/>
          <w:color w:val="000000"/>
          <w:kern w:val="2"/>
          <w:sz w:val="24"/>
          <w:szCs w:val="24"/>
          <w:highlight w:val="none"/>
          <w:vertAlign w:val="baseline"/>
          <w:lang w:val="en-US" w:eastAsia="zh-CN"/>
        </w:rPr>
        <w:t>0.1011</w:t>
      </w:r>
      <w:r>
        <w:rPr>
          <w:rFonts w:hint="eastAsia" w:ascii="Times New Roman" w:hAnsi="Times New Roman" w:eastAsia="宋体" w:cs="Times New Roman"/>
          <w:color w:val="000000"/>
          <w:kern w:val="2"/>
          <w:sz w:val="24"/>
          <w:szCs w:val="24"/>
          <w:highlight w:val="none"/>
          <w:vertAlign w:val="baseline"/>
          <w:lang w:eastAsia="zh-CN"/>
        </w:rPr>
        <w:t>%，最大落地浓度出现在下风向</w:t>
      </w:r>
      <w:r>
        <w:rPr>
          <w:rFonts w:hint="eastAsia" w:ascii="Times New Roman" w:cs="Times New Roman"/>
          <w:color w:val="auto"/>
          <w:kern w:val="2"/>
          <w:sz w:val="24"/>
          <w:szCs w:val="24"/>
          <w:highlight w:val="none"/>
          <w:lang w:val="en-US" w:eastAsia="zh-CN"/>
        </w:rPr>
        <w:t>281</w:t>
      </w:r>
      <w:r>
        <w:rPr>
          <w:rFonts w:ascii="Times New Roman" w:hAnsi="Times New Roman" w:cs="Times New Roman"/>
          <w:color w:val="auto"/>
          <w:kern w:val="2"/>
          <w:sz w:val="24"/>
          <w:szCs w:val="24"/>
          <w:highlight w:val="none"/>
        </w:rPr>
        <w:t>m处</w:t>
      </w:r>
      <w:r>
        <w:rPr>
          <w:rFonts w:ascii="Times New Roman" w:hAnsi="Times New Roman" w:cs="Times New Roman"/>
          <w:color w:val="000000"/>
          <w:kern w:val="2"/>
          <w:sz w:val="24"/>
          <w:szCs w:val="24"/>
          <w:highlight w:val="none"/>
        </w:rPr>
        <w:t>。</w:t>
      </w:r>
      <w:r>
        <w:rPr>
          <w:rFonts w:hint="eastAsia" w:ascii="Times New Roman" w:cs="Times New Roman"/>
          <w:color w:val="000000"/>
          <w:kern w:val="2"/>
          <w:sz w:val="24"/>
          <w:szCs w:val="24"/>
          <w:highlight w:val="none"/>
          <w:lang w:val="en-US" w:eastAsia="zh-CN"/>
        </w:rPr>
        <w:t>污水处理站氨、硫化氢</w:t>
      </w:r>
      <w:r>
        <w:rPr>
          <w:rFonts w:ascii="Times New Roman" w:hAnsi="Times New Roman" w:cs="Times New Roman"/>
          <w:color w:val="auto"/>
          <w:kern w:val="2"/>
          <w:sz w:val="24"/>
          <w:szCs w:val="24"/>
          <w:highlight w:val="none"/>
        </w:rPr>
        <w:t>最大占标率为</w:t>
      </w:r>
      <w:r>
        <w:rPr>
          <w:rFonts w:hint="eastAsia" w:ascii="Times New Roman" w:hAnsi="Times New Roman" w:cs="Times New Roman"/>
          <w:color w:val="auto"/>
          <w:kern w:val="2"/>
          <w:sz w:val="24"/>
          <w:szCs w:val="24"/>
          <w:highlight w:val="none"/>
          <w:lang w:val="en-US" w:eastAsia="zh-CN"/>
        </w:rPr>
        <w:t xml:space="preserve">1.16990 </w:t>
      </w:r>
      <w:r>
        <w:rPr>
          <w:rFonts w:ascii="Times New Roman" w:hAnsi="Times New Roman" w:cs="Times New Roman"/>
          <w:color w:val="auto"/>
          <w:kern w:val="2"/>
          <w:sz w:val="24"/>
          <w:szCs w:val="24"/>
          <w:highlight w:val="none"/>
        </w:rPr>
        <w:t>%</w:t>
      </w:r>
      <w:r>
        <w:rPr>
          <w:rFonts w:hint="eastAsia" w:ascii="Times New Roman" w:cs="Times New Roman"/>
          <w:color w:val="auto"/>
          <w:kern w:val="2"/>
          <w:sz w:val="24"/>
          <w:szCs w:val="24"/>
          <w:highlight w:val="none"/>
          <w:lang w:eastAsia="zh-CN"/>
        </w:rPr>
        <w:t>、</w:t>
      </w:r>
      <w:r>
        <w:rPr>
          <w:rFonts w:hint="eastAsia" w:ascii="Times New Roman" w:cs="Times New Roman"/>
          <w:color w:val="auto"/>
          <w:kern w:val="2"/>
          <w:sz w:val="24"/>
          <w:szCs w:val="24"/>
          <w:highlight w:val="none"/>
          <w:lang w:val="en-US" w:eastAsia="zh-CN"/>
        </w:rPr>
        <w:t xml:space="preserve">0.899923 </w:t>
      </w:r>
      <w:r>
        <w:rPr>
          <w:rFonts w:ascii="Times New Roman" w:hAnsi="Times New Roman" w:cs="Times New Roman"/>
          <w:color w:val="000000"/>
          <w:kern w:val="2"/>
          <w:sz w:val="24"/>
          <w:szCs w:val="24"/>
          <w:highlight w:val="none"/>
        </w:rPr>
        <w:t>%</w:t>
      </w:r>
      <w:r>
        <w:rPr>
          <w:rFonts w:hint="eastAsia" w:ascii="Times New Roman" w:hAnsi="Times New Roman" w:cs="Times New Roman"/>
          <w:color w:val="000000"/>
          <w:kern w:val="2"/>
          <w:sz w:val="24"/>
          <w:szCs w:val="24"/>
          <w:highlight w:val="none"/>
          <w:lang w:eastAsia="zh-CN"/>
        </w:rPr>
        <w:t>，</w:t>
      </w:r>
      <w:r>
        <w:rPr>
          <w:rFonts w:ascii="Times New Roman" w:hAnsi="Times New Roman" w:cs="Times New Roman"/>
          <w:color w:val="auto"/>
          <w:kern w:val="2"/>
          <w:sz w:val="24"/>
          <w:szCs w:val="24"/>
          <w:highlight w:val="none"/>
        </w:rPr>
        <w:t>最大落地浓度出现在下风向</w:t>
      </w:r>
      <w:r>
        <w:rPr>
          <w:rFonts w:hint="eastAsia" w:ascii="Times New Roman" w:cs="Times New Roman"/>
          <w:color w:val="auto"/>
          <w:kern w:val="2"/>
          <w:sz w:val="24"/>
          <w:szCs w:val="24"/>
          <w:highlight w:val="none"/>
          <w:lang w:val="en-US" w:eastAsia="zh-CN"/>
        </w:rPr>
        <w:t>5</w:t>
      </w:r>
      <w:r>
        <w:rPr>
          <w:rFonts w:ascii="Times New Roman" w:hAnsi="Times New Roman" w:cs="Times New Roman"/>
          <w:color w:val="auto"/>
          <w:kern w:val="2"/>
          <w:sz w:val="24"/>
          <w:szCs w:val="24"/>
          <w:highlight w:val="none"/>
        </w:rPr>
        <w:t>m处</w:t>
      </w:r>
      <w:r>
        <w:rPr>
          <w:rFonts w:ascii="Times New Roman" w:hAnsi="Times New Roman" w:cs="Times New Roman"/>
          <w:color w:val="000000"/>
          <w:kern w:val="2"/>
          <w:sz w:val="24"/>
          <w:szCs w:val="24"/>
          <w:highlight w:val="none"/>
        </w:rPr>
        <w:t>。</w:t>
      </w:r>
      <w:r>
        <w:rPr>
          <w:rFonts w:hint="eastAsia" w:ascii="Times New Roman" w:hAnsi="Times New Roman" w:cs="Times New Roman"/>
          <w:color w:val="000000"/>
          <w:kern w:val="2"/>
          <w:sz w:val="24"/>
          <w:szCs w:val="24"/>
          <w:highlight w:val="none"/>
          <w:lang w:val="en-US" w:eastAsia="zh-CN"/>
        </w:rPr>
        <w:t>根据</w:t>
      </w:r>
      <w:r>
        <w:rPr>
          <w:rFonts w:ascii="Times New Roman" w:hAnsi="Times New Roman" w:cs="Times New Roman"/>
          <w:color w:val="000000"/>
          <w:kern w:val="2"/>
          <w:sz w:val="24"/>
          <w:szCs w:val="24"/>
          <w:highlight w:val="none"/>
        </w:rPr>
        <w:t>估算结果，</w:t>
      </w:r>
      <w:r>
        <w:rPr>
          <w:rFonts w:hint="eastAsia" w:ascii="Times New Roman" w:cs="Times New Roman"/>
          <w:color w:val="000000"/>
          <w:kern w:val="2"/>
          <w:sz w:val="24"/>
          <w:szCs w:val="24"/>
          <w:highlight w:val="none"/>
          <w:lang w:val="en-US" w:eastAsia="zh-CN"/>
        </w:rPr>
        <w:t>污水处理站</w:t>
      </w:r>
      <w:r>
        <w:rPr>
          <w:color w:val="000000"/>
          <w:sz w:val="24"/>
          <w:highlight w:val="none"/>
        </w:rPr>
        <w:t>各污染源的污染因子最大地面浓度占标率均小于</w:t>
      </w:r>
      <w:r>
        <w:rPr>
          <w:rFonts w:hint="default" w:ascii="Times New Roman" w:hAnsi="Times New Roman" w:cs="Times New Roman"/>
          <w:color w:val="000000"/>
          <w:sz w:val="24"/>
          <w:highlight w:val="none"/>
        </w:rPr>
        <w:t>10%</w:t>
      </w:r>
      <w:r>
        <w:rPr>
          <w:rFonts w:hint="eastAsia"/>
          <w:color w:val="000000"/>
          <w:sz w:val="24"/>
          <w:highlight w:val="none"/>
          <w:lang w:eastAsia="zh-CN"/>
        </w:rPr>
        <w:t>，</w:t>
      </w:r>
      <w:r>
        <w:rPr>
          <w:rFonts w:hint="eastAsia" w:ascii="Times New Roman" w:cs="Times New Roman"/>
          <w:color w:val="000000"/>
          <w:kern w:val="2"/>
          <w:sz w:val="24"/>
          <w:szCs w:val="24"/>
          <w:highlight w:val="none"/>
          <w:lang w:val="en-US" w:eastAsia="zh-CN"/>
        </w:rPr>
        <w:t>氨、硫化氢</w:t>
      </w:r>
      <w:r>
        <w:rPr>
          <w:rFonts w:hint="eastAsia"/>
          <w:color w:val="000000"/>
          <w:sz w:val="24"/>
          <w:highlight w:val="none"/>
          <w:lang w:val="en-US" w:eastAsia="zh-CN"/>
        </w:rPr>
        <w:t>下风向最大浓度出现距离小于距离居民区的距离，对居民影响小。生物质锅炉</w:t>
      </w:r>
      <w:r>
        <w:rPr>
          <w:rFonts w:ascii="Times New Roman" w:hAnsi="Times New Roman" w:cs="Times New Roman"/>
          <w:color w:val="000000"/>
          <w:kern w:val="2"/>
          <w:sz w:val="24"/>
          <w:szCs w:val="24"/>
          <w:highlight w:val="none"/>
        </w:rPr>
        <w:t>各污染因子最大地面浓度占标率均小于1%，污染物贡献值</w:t>
      </w:r>
      <w:r>
        <w:rPr>
          <w:rFonts w:hint="eastAsia" w:ascii="Times New Roman" w:hAnsi="Times New Roman" w:cs="Times New Roman"/>
          <w:color w:val="000000"/>
          <w:kern w:val="2"/>
          <w:sz w:val="24"/>
          <w:szCs w:val="24"/>
          <w:highlight w:val="none"/>
          <w:lang w:val="en-US" w:eastAsia="zh-CN"/>
        </w:rPr>
        <w:t>较小，本项目</w:t>
      </w:r>
      <w:r>
        <w:rPr>
          <w:rFonts w:ascii="Times New Roman" w:hAnsi="Times New Roman" w:cs="Times New Roman"/>
          <w:color w:val="000000"/>
          <w:kern w:val="2"/>
          <w:sz w:val="24"/>
          <w:szCs w:val="24"/>
          <w:highlight w:val="none"/>
        </w:rPr>
        <w:t>不会对周围环境空气产生明显影响</w:t>
      </w:r>
      <w:r>
        <w:rPr>
          <w:rFonts w:hint="eastAsia" w:ascii="Times New Roman" w:cs="Times New Roman"/>
          <w:color w:val="000000"/>
          <w:kern w:val="2"/>
          <w:sz w:val="24"/>
          <w:szCs w:val="24"/>
          <w:highlight w:val="none"/>
          <w:lang w:eastAsia="zh-CN"/>
        </w:rPr>
        <w:t>，</w:t>
      </w:r>
      <w:r>
        <w:rPr>
          <w:rFonts w:ascii="Times New Roman" w:hAnsi="Times New Roman" w:cs="Times New Roman"/>
          <w:color w:val="000000"/>
          <w:kern w:val="2"/>
          <w:sz w:val="24"/>
          <w:szCs w:val="24"/>
          <w:highlight w:val="none"/>
        </w:rPr>
        <w:t>本项目污染控制措施可行。</w:t>
      </w:r>
    </w:p>
    <w:p>
      <w:pPr>
        <w:keepNext w:val="0"/>
        <w:keepLines w:val="0"/>
        <w:pageBreakBefore w:val="0"/>
        <w:widowControl/>
        <w:kinsoku w:val="0"/>
        <w:wordWrap/>
        <w:overflowPunct/>
        <w:topLinePunct w:val="0"/>
        <w:autoSpaceDE w:val="0"/>
        <w:autoSpaceDN w:val="0"/>
        <w:bidi w:val="0"/>
        <w:adjustRightInd w:val="0"/>
        <w:snapToGrid w:val="0"/>
        <w:spacing w:before="36" w:line="460" w:lineRule="atLeast"/>
        <w:ind w:left="49" w:right="33" w:firstLine="477"/>
        <w:textAlignment w:val="baseline"/>
        <w:rPr>
          <w:rFonts w:ascii="Times New Roman" w:hAnsi="Times New Roman" w:cs="Times New Roman"/>
          <w:snapToGrid w:val="0"/>
          <w:color w:val="000000"/>
          <w:kern w:val="0"/>
          <w:sz w:val="24"/>
          <w:szCs w:val="24"/>
        </w:rPr>
      </w:pPr>
      <w:r>
        <w:rPr>
          <w:rFonts w:ascii="Times New Roman" w:hAnsi="Times New Roman" w:cs="Times New Roman"/>
          <w:snapToGrid w:val="0"/>
          <w:color w:val="000000"/>
          <w:spacing w:val="-3"/>
          <w:kern w:val="0"/>
          <w:sz w:val="24"/>
          <w:szCs w:val="24"/>
        </w:rPr>
        <w:t>综上所述，项目运营期产生的废气对区域环境空气质量影</w:t>
      </w:r>
      <w:r>
        <w:rPr>
          <w:rFonts w:ascii="Times New Roman" w:hAnsi="Times New Roman" w:cs="Times New Roman"/>
          <w:snapToGrid w:val="0"/>
          <w:color w:val="000000"/>
          <w:spacing w:val="-4"/>
          <w:kern w:val="0"/>
          <w:sz w:val="24"/>
          <w:szCs w:val="24"/>
        </w:rPr>
        <w:t>响较小，在可接受</w:t>
      </w:r>
      <w:r>
        <w:rPr>
          <w:rFonts w:ascii="Times New Roman" w:hAnsi="Times New Roman" w:cs="Times New Roman"/>
          <w:snapToGrid w:val="0"/>
          <w:color w:val="000000"/>
          <w:kern w:val="0"/>
          <w:sz w:val="24"/>
          <w:szCs w:val="24"/>
        </w:rPr>
        <w:t xml:space="preserve"> </w:t>
      </w:r>
      <w:r>
        <w:rPr>
          <w:rFonts w:ascii="Times New Roman" w:hAnsi="Times New Roman" w:cs="Times New Roman"/>
          <w:snapToGrid w:val="0"/>
          <w:color w:val="000000"/>
          <w:spacing w:val="-3"/>
          <w:kern w:val="0"/>
          <w:sz w:val="24"/>
          <w:szCs w:val="24"/>
        </w:rPr>
        <w:t>范围内；建设单位做好项目三同时及污染物排放管理的基础上，评价</w:t>
      </w:r>
      <w:r>
        <w:rPr>
          <w:rFonts w:ascii="Times New Roman" w:hAnsi="Times New Roman" w:cs="Times New Roman"/>
          <w:snapToGrid w:val="0"/>
          <w:color w:val="000000"/>
          <w:spacing w:val="-4"/>
          <w:kern w:val="0"/>
          <w:sz w:val="24"/>
          <w:szCs w:val="24"/>
        </w:rPr>
        <w:t>认为从环境</w:t>
      </w:r>
    </w:p>
    <w:p>
      <w:pPr>
        <w:keepNext w:val="0"/>
        <w:keepLines w:val="0"/>
        <w:pageBreakBefore w:val="0"/>
        <w:widowControl/>
        <w:kinsoku w:val="0"/>
        <w:wordWrap/>
        <w:overflowPunct/>
        <w:topLinePunct w:val="0"/>
        <w:autoSpaceDE w:val="0"/>
        <w:autoSpaceDN w:val="0"/>
        <w:bidi w:val="0"/>
        <w:adjustRightInd w:val="0"/>
        <w:snapToGrid w:val="0"/>
        <w:spacing w:line="460" w:lineRule="atLeast"/>
        <w:ind w:left="47"/>
        <w:jc w:val="left"/>
        <w:textAlignment w:val="baseline"/>
        <w:rPr>
          <w:rFonts w:ascii="Times New Roman" w:hAnsi="Times New Roman" w:cs="Times New Roman"/>
          <w:snapToGrid w:val="0"/>
          <w:color w:val="000000"/>
          <w:kern w:val="0"/>
          <w:sz w:val="24"/>
          <w:szCs w:val="24"/>
        </w:rPr>
      </w:pPr>
      <w:r>
        <w:rPr>
          <w:rFonts w:ascii="Times New Roman" w:hAnsi="Times New Roman" w:cs="Times New Roman"/>
          <w:snapToGrid w:val="0"/>
          <w:color w:val="000000"/>
          <w:spacing w:val="-1"/>
          <w:kern w:val="0"/>
          <w:sz w:val="24"/>
          <w:szCs w:val="24"/>
        </w:rPr>
        <w:t>角度而言，本项目的建设是可行的。</w:t>
      </w:r>
    </w:p>
    <w:p>
      <w:pPr>
        <w:keepNext w:val="0"/>
        <w:keepLines w:val="0"/>
        <w:pageBreakBefore w:val="0"/>
        <w:wordWrap/>
        <w:overflowPunct/>
        <w:topLinePunct w:val="0"/>
        <w:bidi w:val="0"/>
        <w:spacing w:line="460" w:lineRule="atLeast"/>
        <w:ind w:firstLine="466" w:firstLineChars="196"/>
        <w:rPr>
          <w:rFonts w:ascii="Times New Roman" w:hAnsi="Times New Roman" w:cs="Times New Roman"/>
          <w:snapToGrid w:val="0"/>
          <w:color w:val="000000"/>
          <w:kern w:val="0"/>
          <w:sz w:val="24"/>
          <w:szCs w:val="24"/>
        </w:rPr>
      </w:pPr>
      <w:r>
        <w:rPr>
          <w:rFonts w:ascii="Times New Roman" w:hAnsi="Times New Roman" w:cs="Times New Roman"/>
          <w:snapToGrid w:val="0"/>
          <w:color w:val="000000"/>
          <w:spacing w:val="-1"/>
          <w:kern w:val="0"/>
          <w:sz w:val="24"/>
          <w:szCs w:val="24"/>
        </w:rPr>
        <w:t>项目运营期有组织废气排放量核算如下表所示：</w:t>
      </w:r>
    </w:p>
    <w:p>
      <w:pPr>
        <w:adjustRightInd w:val="0"/>
        <w:spacing w:line="360" w:lineRule="auto"/>
        <w:jc w:val="center"/>
        <w:rPr>
          <w:rFonts w:hint="default" w:ascii="Times New Roman" w:hAnsi="Times New Roman" w:eastAsia="宋体" w:cs="Times New Roman"/>
          <w:b/>
          <w:color w:val="000000"/>
          <w:kern w:val="2"/>
          <w:sz w:val="21"/>
          <w:szCs w:val="21"/>
          <w:lang w:eastAsia="en-US" w:bidi="ar"/>
        </w:rPr>
      </w:pPr>
      <w:r>
        <w:rPr>
          <w:rFonts w:hint="eastAsia" w:ascii="Times New Roman" w:hAnsi="Times New Roman" w:eastAsia="宋体" w:cs="Times New Roman"/>
          <w:b/>
          <w:color w:val="000000"/>
          <w:kern w:val="2"/>
          <w:sz w:val="21"/>
          <w:szCs w:val="21"/>
          <w:lang w:eastAsia="en-US" w:bidi="ar"/>
        </w:rPr>
        <w:t xml:space="preserve"> </w:t>
      </w:r>
      <w:r>
        <w:rPr>
          <w:rFonts w:hint="default" w:ascii="Times New Roman" w:hAnsi="Times New Roman" w:eastAsia="宋体" w:cs="Times New Roman"/>
          <w:b/>
          <w:color w:val="000000"/>
          <w:kern w:val="2"/>
          <w:sz w:val="21"/>
          <w:szCs w:val="21"/>
          <w:lang w:eastAsia="en-US" w:bidi="ar"/>
        </w:rPr>
        <w:t xml:space="preserve">表 </w:t>
      </w:r>
      <w:r>
        <w:rPr>
          <w:rFonts w:hint="eastAsia" w:ascii="Times New Roman" w:hAnsi="Times New Roman" w:eastAsia="宋体" w:cs="Times New Roman"/>
          <w:b/>
          <w:color w:val="000000"/>
          <w:kern w:val="2"/>
          <w:sz w:val="21"/>
          <w:szCs w:val="21"/>
          <w:lang w:val="en-US" w:eastAsia="zh-CN" w:bidi="ar"/>
        </w:rPr>
        <w:t xml:space="preserve">7  </w:t>
      </w:r>
      <w:r>
        <w:rPr>
          <w:rFonts w:hint="default" w:ascii="Times New Roman" w:hAnsi="Times New Roman" w:eastAsia="宋体" w:cs="Times New Roman"/>
          <w:b/>
          <w:color w:val="000000"/>
          <w:kern w:val="2"/>
          <w:sz w:val="21"/>
          <w:szCs w:val="21"/>
          <w:lang w:eastAsia="en-US" w:bidi="ar"/>
        </w:rPr>
        <w:t>大气污染物有组织排放量核算表</w:t>
      </w:r>
    </w:p>
    <w:tbl>
      <w:tblPr>
        <w:tblStyle w:val="38"/>
        <w:tblpPr w:leftFromText="180" w:rightFromText="180" w:vertAnchor="text" w:horzAnchor="page" w:tblpXSpec="center" w:tblpY="61"/>
        <w:tblOverlap w:val="never"/>
        <w:tblW w:w="501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28"/>
        <w:gridCol w:w="1560"/>
        <w:gridCol w:w="1287"/>
        <w:gridCol w:w="1761"/>
        <w:gridCol w:w="1621"/>
        <w:gridCol w:w="14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5" w:hRule="atLeast"/>
          <w:jc w:val="center"/>
        </w:trPr>
        <w:tc>
          <w:tcPr>
            <w:tcW w:w="378" w:type="pct"/>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lang w:eastAsia="en-US"/>
              </w:rPr>
            </w:pPr>
            <w:r>
              <w:rPr>
                <w:rFonts w:ascii="Times New Roman" w:hAnsi="Times New Roman" w:eastAsia="Times New Roman" w:cs="Times New Roman"/>
                <w:snapToGrid w:val="0"/>
                <w:color w:val="000000"/>
                <w:kern w:val="0"/>
                <w:sz w:val="21"/>
                <w:szCs w:val="21"/>
                <w:lang w:eastAsia="en-US"/>
              </w:rPr>
              <w:t>序号</w:t>
            </w:r>
          </w:p>
        </w:tc>
        <w:tc>
          <w:tcPr>
            <w:tcW w:w="937" w:type="pct"/>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lang w:eastAsia="en-US"/>
              </w:rPr>
            </w:pPr>
            <w:r>
              <w:rPr>
                <w:rFonts w:ascii="Times New Roman" w:hAnsi="Times New Roman" w:eastAsia="Times New Roman" w:cs="Times New Roman"/>
                <w:snapToGrid w:val="0"/>
                <w:color w:val="000000"/>
                <w:kern w:val="0"/>
                <w:sz w:val="21"/>
                <w:szCs w:val="21"/>
                <w:lang w:eastAsia="en-US"/>
              </w:rPr>
              <w:t>排放口编号</w:t>
            </w:r>
          </w:p>
        </w:tc>
        <w:tc>
          <w:tcPr>
            <w:tcW w:w="773" w:type="pct"/>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lang w:eastAsia="en-US"/>
              </w:rPr>
            </w:pPr>
            <w:r>
              <w:rPr>
                <w:rFonts w:ascii="Times New Roman" w:hAnsi="Times New Roman" w:eastAsia="Times New Roman" w:cs="Times New Roman"/>
                <w:snapToGrid w:val="0"/>
                <w:color w:val="000000"/>
                <w:kern w:val="0"/>
                <w:sz w:val="21"/>
                <w:szCs w:val="21"/>
                <w:lang w:eastAsia="en-US"/>
              </w:rPr>
              <w:t>污染物</w:t>
            </w:r>
          </w:p>
        </w:tc>
        <w:tc>
          <w:tcPr>
            <w:tcW w:w="1058" w:type="pct"/>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rPr>
            </w:pPr>
            <w:r>
              <w:rPr>
                <w:rFonts w:ascii="Times New Roman" w:hAnsi="Times New Roman" w:eastAsia="Times New Roman" w:cs="Times New Roman"/>
                <w:snapToGrid w:val="0"/>
                <w:color w:val="000000"/>
                <w:kern w:val="0"/>
                <w:sz w:val="21"/>
                <w:szCs w:val="21"/>
              </w:rPr>
              <w:t>核算排放浓度（</w:t>
            </w:r>
            <w:r>
              <w:rPr>
                <w:rFonts w:ascii="Times New Roman" w:hAnsi="Times New Roman" w:cs="Times New Roman"/>
                <w:bCs/>
                <w:color w:val="000000"/>
                <w:kern w:val="2"/>
                <w:sz w:val="21"/>
                <w:szCs w:val="21"/>
                <w:lang w:bidi="ar"/>
              </w:rPr>
              <w:t>mg/m</w:t>
            </w:r>
            <w:r>
              <w:rPr>
                <w:rFonts w:ascii="Times New Roman" w:hAnsi="Times New Roman" w:cs="Times New Roman"/>
                <w:bCs/>
                <w:color w:val="000000"/>
                <w:kern w:val="2"/>
                <w:sz w:val="21"/>
                <w:szCs w:val="21"/>
                <w:vertAlign w:val="superscript"/>
                <w:lang w:bidi="ar"/>
              </w:rPr>
              <w:t>3</w:t>
            </w:r>
            <w:r>
              <w:rPr>
                <w:rFonts w:ascii="Times New Roman" w:hAnsi="Times New Roman" w:eastAsia="Times New Roman" w:cs="Times New Roman"/>
                <w:snapToGrid w:val="0"/>
                <w:color w:val="000000"/>
                <w:kern w:val="0"/>
                <w:sz w:val="21"/>
                <w:szCs w:val="21"/>
              </w:rPr>
              <w:t>）</w:t>
            </w:r>
          </w:p>
        </w:tc>
        <w:tc>
          <w:tcPr>
            <w:tcW w:w="973" w:type="pct"/>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lang w:eastAsia="en-US"/>
              </w:rPr>
            </w:pPr>
            <w:r>
              <w:rPr>
                <w:rFonts w:ascii="Times New Roman" w:hAnsi="Times New Roman" w:eastAsia="Times New Roman" w:cs="Times New Roman"/>
                <w:snapToGrid w:val="0"/>
                <w:color w:val="000000"/>
                <w:kern w:val="0"/>
                <w:sz w:val="21"/>
                <w:szCs w:val="21"/>
                <w:lang w:eastAsia="en-US"/>
              </w:rPr>
              <w:t>核算排放速率/</w:t>
            </w:r>
          </w:p>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lang w:eastAsia="en-US"/>
              </w:rPr>
            </w:pPr>
            <w:r>
              <w:rPr>
                <w:rFonts w:ascii="Times New Roman" w:hAnsi="Times New Roman" w:eastAsia="Times New Roman" w:cs="Times New Roman"/>
                <w:snapToGrid w:val="0"/>
                <w:color w:val="000000"/>
                <w:kern w:val="0"/>
                <w:sz w:val="21"/>
                <w:szCs w:val="21"/>
                <w:lang w:eastAsia="en-US"/>
              </w:rPr>
              <w:t>（kg/h）</w:t>
            </w:r>
          </w:p>
        </w:tc>
        <w:tc>
          <w:tcPr>
            <w:tcW w:w="878" w:type="pct"/>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lang w:eastAsia="en-US"/>
              </w:rPr>
            </w:pPr>
            <w:r>
              <w:rPr>
                <w:rFonts w:ascii="Times New Roman" w:hAnsi="Times New Roman" w:eastAsia="Times New Roman" w:cs="Times New Roman"/>
                <w:snapToGrid w:val="0"/>
                <w:color w:val="000000"/>
                <w:kern w:val="0"/>
                <w:sz w:val="21"/>
                <w:szCs w:val="21"/>
                <w:lang w:eastAsia="en-US"/>
              </w:rPr>
              <w:t>核算年排放量/（t/a）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000" w:type="pct"/>
            <w:gridSpan w:val="6"/>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lang w:eastAsia="en-US"/>
              </w:rPr>
            </w:pPr>
            <w:r>
              <w:rPr>
                <w:rFonts w:ascii="Times New Roman" w:hAnsi="Times New Roman" w:eastAsia="Times New Roman" w:cs="Times New Roman"/>
                <w:snapToGrid w:val="0"/>
                <w:color w:val="000000"/>
                <w:kern w:val="0"/>
                <w:sz w:val="21"/>
                <w:szCs w:val="21"/>
                <w:lang w:eastAsia="en-US"/>
              </w:rPr>
              <w:t>一般排放口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378" w:type="pct"/>
            <w:vMerge w:val="restart"/>
            <w:noWrap w:val="0"/>
            <w:vAlign w:val="center"/>
          </w:tcPr>
          <w:p>
            <w:pPr>
              <w:widowControl/>
              <w:kinsoku w:val="0"/>
              <w:autoSpaceDE w:val="0"/>
              <w:autoSpaceDN w:val="0"/>
              <w:adjustRightInd w:val="0"/>
              <w:snapToGrid w:val="0"/>
              <w:spacing w:before="58" w:line="195" w:lineRule="auto"/>
              <w:jc w:val="center"/>
              <w:textAlignment w:val="baseline"/>
              <w:rPr>
                <w:rFonts w:hint="eastAsia" w:ascii="Times New Roman" w:hAnsi="Times New Roman" w:eastAsia="宋体" w:cs="Times New Roman"/>
                <w:snapToGrid w:val="0"/>
                <w:color w:val="000000"/>
                <w:kern w:val="0"/>
                <w:sz w:val="21"/>
                <w:szCs w:val="21"/>
                <w:lang w:eastAsia="zh-CN"/>
              </w:rPr>
            </w:pPr>
            <w:r>
              <w:rPr>
                <w:rFonts w:hint="eastAsia" w:ascii="Times New Roman" w:hAnsi="Times New Roman" w:eastAsia="宋体" w:cs="Times New Roman"/>
                <w:snapToGrid w:val="0"/>
                <w:color w:val="000000"/>
                <w:kern w:val="0"/>
                <w:sz w:val="21"/>
                <w:szCs w:val="21"/>
                <w:lang w:val="en-US" w:eastAsia="zh-CN"/>
              </w:rPr>
              <w:t>1</w:t>
            </w:r>
          </w:p>
        </w:tc>
        <w:tc>
          <w:tcPr>
            <w:tcW w:w="937" w:type="pct"/>
            <w:vMerge w:val="restart"/>
            <w:noWrap w:val="0"/>
            <w:vAlign w:val="center"/>
          </w:tcPr>
          <w:p>
            <w:pPr>
              <w:widowControl/>
              <w:kinsoku w:val="0"/>
              <w:autoSpaceDE w:val="0"/>
              <w:autoSpaceDN w:val="0"/>
              <w:adjustRightInd w:val="0"/>
              <w:snapToGrid w:val="0"/>
              <w:spacing w:before="58" w:line="195" w:lineRule="auto"/>
              <w:jc w:val="center"/>
              <w:textAlignment w:val="baseline"/>
              <w:rPr>
                <w:rFonts w:hint="eastAsia" w:ascii="Times New Roman" w:hAnsi="Times New Roman" w:eastAsia="宋体" w:cs="Times New Roman"/>
                <w:snapToGrid w:val="0"/>
                <w:color w:val="000000"/>
                <w:kern w:val="0"/>
                <w:sz w:val="21"/>
                <w:szCs w:val="21"/>
                <w:lang w:eastAsia="zh-CN"/>
              </w:rPr>
            </w:pPr>
            <w:r>
              <w:rPr>
                <w:rFonts w:ascii="Times New Roman" w:hAnsi="Times New Roman" w:eastAsia="Times New Roman" w:cs="Times New Roman"/>
                <w:snapToGrid w:val="0"/>
                <w:color w:val="000000"/>
                <w:kern w:val="0"/>
                <w:sz w:val="21"/>
                <w:szCs w:val="21"/>
                <w:lang w:eastAsia="en-US"/>
              </w:rPr>
              <w:t>DA00</w:t>
            </w:r>
            <w:r>
              <w:rPr>
                <w:rFonts w:hint="eastAsia" w:ascii="Times New Roman" w:hAnsi="Times New Roman" w:eastAsia="宋体" w:cs="Times New Roman"/>
                <w:snapToGrid w:val="0"/>
                <w:color w:val="000000"/>
                <w:kern w:val="0"/>
                <w:sz w:val="21"/>
                <w:szCs w:val="21"/>
                <w:lang w:val="en-US" w:eastAsia="zh-CN"/>
              </w:rPr>
              <w:t>1</w:t>
            </w:r>
          </w:p>
        </w:tc>
        <w:tc>
          <w:tcPr>
            <w:tcW w:w="773" w:type="pct"/>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lang w:eastAsia="en-US"/>
              </w:rPr>
            </w:pPr>
            <w:r>
              <w:rPr>
                <w:rFonts w:ascii="Times New Roman" w:hAnsi="Times New Roman" w:eastAsia="Times New Roman" w:cs="Times New Roman"/>
                <w:snapToGrid w:val="0"/>
                <w:color w:val="000000"/>
                <w:kern w:val="0"/>
                <w:sz w:val="21"/>
                <w:szCs w:val="21"/>
                <w:lang w:eastAsia="en-US"/>
              </w:rPr>
              <w:t>PM</w:t>
            </w:r>
            <w:r>
              <w:rPr>
                <w:rFonts w:ascii="Times New Roman" w:hAnsi="Times New Roman" w:eastAsia="Times New Roman" w:cs="Times New Roman"/>
                <w:snapToGrid w:val="0"/>
                <w:color w:val="000000"/>
                <w:kern w:val="0"/>
                <w:sz w:val="21"/>
                <w:szCs w:val="21"/>
                <w:vertAlign w:val="subscript"/>
                <w:lang w:eastAsia="en-US"/>
              </w:rPr>
              <w:t>10</w:t>
            </w:r>
          </w:p>
        </w:tc>
        <w:tc>
          <w:tcPr>
            <w:tcW w:w="1761" w:type="dxa"/>
            <w:noWrap w:val="0"/>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ascii="Times New Roman" w:hAnsi="Times New Roman" w:cs="Times New Roman"/>
                <w:snapToGrid w:val="0"/>
                <w:color w:val="000000"/>
                <w:kern w:val="0"/>
                <w:sz w:val="21"/>
                <w:szCs w:val="21"/>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10</w:t>
            </w:r>
          </w:p>
        </w:tc>
        <w:tc>
          <w:tcPr>
            <w:tcW w:w="973" w:type="pct"/>
            <w:noWrap w:val="0"/>
            <w:vAlign w:val="center"/>
          </w:tcPr>
          <w:p>
            <w:pPr>
              <w:adjustRightInd w:val="0"/>
              <w:spacing w:line="180" w:lineRule="atLeast"/>
              <w:jc w:val="center"/>
              <w:rPr>
                <w:rFonts w:hint="default" w:ascii="Times New Roman" w:hAnsi="Times New Roman" w:eastAsia="宋体" w:cs="Times New Roman"/>
                <w:bCs/>
                <w:color w:val="000000"/>
                <w:kern w:val="2"/>
                <w:sz w:val="21"/>
                <w:szCs w:val="21"/>
                <w:highlight w:val="none"/>
                <w:lang w:val="en-US" w:eastAsia="zh-CN" w:bidi="ar"/>
              </w:rPr>
            </w:pPr>
            <w:r>
              <w:rPr>
                <w:rFonts w:hint="eastAsia" w:ascii="Times New Roman" w:hAnsi="Times New Roman" w:cs="Times New Roman"/>
                <w:bCs/>
                <w:color w:val="000000"/>
                <w:kern w:val="2"/>
                <w:sz w:val="21"/>
                <w:szCs w:val="21"/>
                <w:highlight w:val="none"/>
                <w:lang w:bidi="ar"/>
              </w:rPr>
              <w:t>0.0</w:t>
            </w:r>
            <w:r>
              <w:rPr>
                <w:rFonts w:hint="eastAsia" w:ascii="Times New Roman" w:hAnsi="Times New Roman" w:cs="Times New Roman"/>
                <w:bCs/>
                <w:color w:val="000000"/>
                <w:kern w:val="2"/>
                <w:sz w:val="21"/>
                <w:szCs w:val="21"/>
                <w:highlight w:val="none"/>
                <w:lang w:val="en-US" w:eastAsia="zh-CN" w:bidi="ar"/>
              </w:rPr>
              <w:t>5</w:t>
            </w:r>
          </w:p>
        </w:tc>
        <w:tc>
          <w:tcPr>
            <w:tcW w:w="1465" w:type="dxa"/>
            <w:noWrap w:val="0"/>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ascii="Times New Roman" w:hAnsi="Times New Roman" w:eastAsia="Times New Roman" w:cs="Times New Roman"/>
                <w:snapToGrid w:val="0"/>
                <w:color w:val="000000"/>
                <w:kern w:val="0"/>
                <w:sz w:val="21"/>
                <w:szCs w:val="21"/>
                <w:lang w:eastAsia="en-US"/>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0.144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378" w:type="pct"/>
            <w:vMerge w:val="continue"/>
            <w:noWrap w:val="0"/>
            <w:vAlign w:val="center"/>
          </w:tcPr>
          <w:p>
            <w:pPr>
              <w:widowControl/>
              <w:kinsoku w:val="0"/>
              <w:autoSpaceDE w:val="0"/>
              <w:autoSpaceDN w:val="0"/>
              <w:adjustRightInd w:val="0"/>
              <w:snapToGrid w:val="0"/>
              <w:spacing w:before="58" w:line="195" w:lineRule="auto"/>
              <w:jc w:val="center"/>
              <w:textAlignment w:val="baseline"/>
              <w:rPr>
                <w:rFonts w:hint="eastAsia" w:ascii="Times New Roman" w:hAnsi="Times New Roman" w:cs="Times New Roman"/>
                <w:snapToGrid w:val="0"/>
                <w:color w:val="000000"/>
                <w:kern w:val="0"/>
                <w:sz w:val="21"/>
                <w:szCs w:val="21"/>
              </w:rPr>
            </w:pPr>
          </w:p>
        </w:tc>
        <w:tc>
          <w:tcPr>
            <w:tcW w:w="937" w:type="pct"/>
            <w:vMerge w:val="continue"/>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lang w:eastAsia="en-US"/>
              </w:rPr>
            </w:pPr>
          </w:p>
        </w:tc>
        <w:tc>
          <w:tcPr>
            <w:tcW w:w="773" w:type="pct"/>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lang w:val="en-US" w:eastAsia="en-US" w:bidi="ar-SA"/>
              </w:rPr>
            </w:pPr>
            <w:r>
              <w:rPr>
                <w:rFonts w:ascii="Times New Roman" w:hAnsi="Times New Roman" w:eastAsia="Times New Roman" w:cs="Times New Roman"/>
                <w:snapToGrid w:val="0"/>
                <w:color w:val="000000"/>
                <w:kern w:val="0"/>
                <w:sz w:val="21"/>
                <w:szCs w:val="21"/>
                <w:lang w:eastAsia="en-US"/>
              </w:rPr>
              <w:t>SO</w:t>
            </w:r>
            <w:r>
              <w:rPr>
                <w:rFonts w:ascii="Times New Roman" w:hAnsi="Times New Roman" w:eastAsia="Times New Roman" w:cs="Times New Roman"/>
                <w:snapToGrid w:val="0"/>
                <w:color w:val="000000"/>
                <w:kern w:val="0"/>
                <w:sz w:val="21"/>
                <w:szCs w:val="21"/>
                <w:vertAlign w:val="subscript"/>
                <w:lang w:eastAsia="en-US"/>
              </w:rPr>
              <w:t>2</w:t>
            </w:r>
          </w:p>
        </w:tc>
        <w:tc>
          <w:tcPr>
            <w:tcW w:w="1761" w:type="dxa"/>
            <w:noWrap w:val="0"/>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eastAsia" w:ascii="Times New Roman" w:hAnsi="Times New Roman" w:cs="Times New Roman"/>
                <w:snapToGrid w:val="0"/>
                <w:color w:val="000000"/>
                <w:kern w:val="0"/>
                <w:sz w:val="21"/>
                <w:szCs w:val="21"/>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22.8</w:t>
            </w:r>
          </w:p>
        </w:tc>
        <w:tc>
          <w:tcPr>
            <w:tcW w:w="973" w:type="pct"/>
            <w:noWrap w:val="0"/>
            <w:vAlign w:val="center"/>
          </w:tcPr>
          <w:p>
            <w:pPr>
              <w:adjustRightInd w:val="0"/>
              <w:spacing w:line="180" w:lineRule="atLeast"/>
              <w:jc w:val="center"/>
              <w:rPr>
                <w:rFonts w:hint="default" w:ascii="Times New Roman" w:hAnsi="Times New Roman" w:eastAsia="宋体" w:cs="Times New Roman"/>
                <w:bCs/>
                <w:color w:val="000000"/>
                <w:kern w:val="2"/>
                <w:sz w:val="21"/>
                <w:szCs w:val="21"/>
                <w:highlight w:val="none"/>
                <w:lang w:val="en-US" w:eastAsia="zh-CN" w:bidi="ar"/>
              </w:rPr>
            </w:pPr>
            <w:r>
              <w:rPr>
                <w:rFonts w:hint="eastAsia" w:ascii="Times New Roman" w:hAnsi="Times New Roman" w:cs="Times New Roman"/>
                <w:bCs/>
                <w:color w:val="000000"/>
                <w:kern w:val="2"/>
                <w:sz w:val="21"/>
                <w:szCs w:val="21"/>
                <w:highlight w:val="none"/>
                <w:lang w:val="en-US" w:eastAsia="zh-CN" w:bidi="ar"/>
              </w:rPr>
              <w:t>0.08</w:t>
            </w:r>
          </w:p>
        </w:tc>
        <w:tc>
          <w:tcPr>
            <w:tcW w:w="1465" w:type="dxa"/>
            <w:noWrap w:val="0"/>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ascii="Times New Roman" w:hAnsi="Times New Roman" w:eastAsia="Times New Roman" w:cs="Times New Roman"/>
                <w:snapToGrid w:val="0"/>
                <w:color w:val="000000"/>
                <w:kern w:val="0"/>
                <w:sz w:val="21"/>
                <w:szCs w:val="21"/>
                <w:lang w:eastAsia="en-US"/>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0.</w:t>
            </w: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378" w:type="pct"/>
            <w:vMerge w:val="continue"/>
            <w:noWrap w:val="0"/>
            <w:vAlign w:val="center"/>
          </w:tcPr>
          <w:p>
            <w:pPr>
              <w:widowControl/>
              <w:kinsoku w:val="0"/>
              <w:autoSpaceDE w:val="0"/>
              <w:autoSpaceDN w:val="0"/>
              <w:adjustRightInd w:val="0"/>
              <w:snapToGrid w:val="0"/>
              <w:spacing w:before="58" w:line="195" w:lineRule="auto"/>
              <w:jc w:val="center"/>
              <w:textAlignment w:val="baseline"/>
              <w:rPr>
                <w:rFonts w:hint="eastAsia" w:ascii="Times New Roman" w:hAnsi="Times New Roman" w:cs="Times New Roman"/>
                <w:snapToGrid w:val="0"/>
                <w:color w:val="000000"/>
                <w:kern w:val="0"/>
                <w:sz w:val="21"/>
                <w:szCs w:val="21"/>
              </w:rPr>
            </w:pPr>
          </w:p>
        </w:tc>
        <w:tc>
          <w:tcPr>
            <w:tcW w:w="937" w:type="pct"/>
            <w:vMerge w:val="continue"/>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lang w:eastAsia="en-US"/>
              </w:rPr>
            </w:pPr>
          </w:p>
        </w:tc>
        <w:tc>
          <w:tcPr>
            <w:tcW w:w="773" w:type="pct"/>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lang w:val="en-US" w:eastAsia="en-US" w:bidi="ar-SA"/>
              </w:rPr>
            </w:pPr>
            <w:r>
              <w:rPr>
                <w:rFonts w:ascii="Times New Roman" w:hAnsi="Times New Roman" w:eastAsia="Times New Roman" w:cs="Times New Roman"/>
                <w:snapToGrid w:val="0"/>
                <w:color w:val="000000"/>
                <w:kern w:val="0"/>
                <w:sz w:val="21"/>
                <w:szCs w:val="21"/>
                <w:lang w:eastAsia="en-US"/>
              </w:rPr>
              <w:t>NOx</w:t>
            </w:r>
          </w:p>
        </w:tc>
        <w:tc>
          <w:tcPr>
            <w:tcW w:w="1761" w:type="dxa"/>
            <w:noWrap w:val="0"/>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eastAsia" w:ascii="Times New Roman" w:hAnsi="Times New Roman" w:cs="Times New Roman"/>
                <w:snapToGrid w:val="0"/>
                <w:color w:val="000000"/>
                <w:kern w:val="0"/>
                <w:sz w:val="21"/>
                <w:szCs w:val="21"/>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 xml:space="preserve">48.29 </w:t>
            </w:r>
          </w:p>
        </w:tc>
        <w:tc>
          <w:tcPr>
            <w:tcW w:w="973" w:type="pct"/>
            <w:noWrap w:val="0"/>
            <w:vAlign w:val="center"/>
          </w:tcPr>
          <w:p>
            <w:pPr>
              <w:adjustRightInd w:val="0"/>
              <w:spacing w:line="180" w:lineRule="atLeast"/>
              <w:jc w:val="center"/>
              <w:rPr>
                <w:rFonts w:hint="eastAsia" w:ascii="Times New Roman" w:hAnsi="Times New Roman" w:eastAsia="宋体" w:cs="Times New Roman"/>
                <w:kern w:val="2"/>
                <w:sz w:val="21"/>
                <w:szCs w:val="24"/>
                <w:highlight w:val="none"/>
                <w:lang w:val="en-US" w:eastAsia="zh-CN"/>
              </w:rPr>
            </w:pPr>
            <w:r>
              <w:rPr>
                <w:rFonts w:hint="eastAsia" w:ascii="Times New Roman" w:hAnsi="Times New Roman" w:eastAsia="宋体" w:cs="Times New Roman"/>
                <w:kern w:val="2"/>
                <w:sz w:val="21"/>
                <w:szCs w:val="24"/>
                <w:highlight w:val="none"/>
                <w:lang w:val="en-US" w:eastAsia="zh-CN"/>
              </w:rPr>
              <w:t>0.</w:t>
            </w:r>
            <w:r>
              <w:rPr>
                <w:rFonts w:hint="eastAsia" w:ascii="Times New Roman" w:hAnsi="Times New Roman" w:cs="Times New Roman"/>
                <w:kern w:val="2"/>
                <w:sz w:val="21"/>
                <w:szCs w:val="24"/>
                <w:highlight w:val="none"/>
                <w:lang w:val="en-US" w:eastAsia="zh-CN"/>
              </w:rPr>
              <w:t>1</w:t>
            </w:r>
            <w:r>
              <w:rPr>
                <w:rFonts w:hint="eastAsia" w:ascii="Times New Roman" w:hAnsi="Times New Roman" w:eastAsia="宋体" w:cs="Times New Roman"/>
                <w:kern w:val="2"/>
                <w:sz w:val="21"/>
                <w:szCs w:val="24"/>
                <w:highlight w:val="none"/>
                <w:lang w:val="en-US" w:eastAsia="zh-CN"/>
              </w:rPr>
              <w:t xml:space="preserve">7 </w:t>
            </w:r>
          </w:p>
        </w:tc>
        <w:tc>
          <w:tcPr>
            <w:tcW w:w="1465" w:type="dxa"/>
            <w:noWrap w:val="0"/>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ascii="Times New Roman" w:hAnsi="Times New Roman" w:eastAsia="Times New Roman" w:cs="Times New Roman"/>
                <w:snapToGrid w:val="0"/>
                <w:color w:val="000000"/>
                <w:kern w:val="0"/>
                <w:sz w:val="21"/>
                <w:szCs w:val="21"/>
                <w:lang w:eastAsia="en-US"/>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0.</w:t>
            </w: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378" w:type="pct"/>
            <w:vMerge w:val="continue"/>
            <w:noWrap w:val="0"/>
            <w:vAlign w:val="center"/>
          </w:tcPr>
          <w:p>
            <w:pPr>
              <w:widowControl/>
              <w:kinsoku w:val="0"/>
              <w:autoSpaceDE w:val="0"/>
              <w:autoSpaceDN w:val="0"/>
              <w:adjustRightInd w:val="0"/>
              <w:snapToGrid w:val="0"/>
              <w:spacing w:before="58" w:line="195" w:lineRule="auto"/>
              <w:jc w:val="center"/>
              <w:textAlignment w:val="baseline"/>
              <w:rPr>
                <w:rFonts w:hint="eastAsia" w:ascii="Times New Roman" w:hAnsi="Times New Roman" w:cs="Times New Roman"/>
                <w:snapToGrid w:val="0"/>
                <w:color w:val="000000"/>
                <w:kern w:val="0"/>
                <w:sz w:val="21"/>
                <w:szCs w:val="21"/>
              </w:rPr>
            </w:pPr>
          </w:p>
        </w:tc>
        <w:tc>
          <w:tcPr>
            <w:tcW w:w="937" w:type="pct"/>
            <w:vMerge w:val="continue"/>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lang w:eastAsia="en-US"/>
              </w:rPr>
            </w:pPr>
          </w:p>
        </w:tc>
        <w:tc>
          <w:tcPr>
            <w:tcW w:w="773" w:type="pct"/>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lang w:eastAsia="en-US"/>
              </w:rPr>
            </w:pPr>
            <w:r>
              <w:rPr>
                <w:rFonts w:hint="eastAsia" w:ascii="Times New Roman" w:hAnsi="Times New Roman" w:eastAsia="宋体" w:cs="Times New Roman"/>
                <w:snapToGrid w:val="0"/>
                <w:color w:val="000000"/>
                <w:kern w:val="0"/>
                <w:sz w:val="21"/>
                <w:szCs w:val="21"/>
                <w:lang w:val="en-US" w:eastAsia="zh-CN"/>
              </w:rPr>
              <w:t>汞及其化合物</w:t>
            </w:r>
          </w:p>
        </w:tc>
        <w:tc>
          <w:tcPr>
            <w:tcW w:w="1761" w:type="dxa"/>
            <w:noWrap w:val="0"/>
            <w:vAlign w:val="center"/>
          </w:tcPr>
          <w:p>
            <w:pPr>
              <w:spacing w:line="240" w:lineRule="auto"/>
              <w:jc w:val="center"/>
              <w:rPr>
                <w:rFonts w:hint="eastAsia" w:ascii="Times New Roman" w:hAnsi="Times New Roman" w:eastAsia="宋体" w:cs="Times New Roman"/>
                <w:kern w:val="2"/>
                <w:sz w:val="21"/>
                <w:szCs w:val="24"/>
                <w:lang w:val="en-US" w:eastAsia="zh-CN"/>
              </w:rPr>
            </w:pP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6</w:t>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.3</w:t>
            </w: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1</w:t>
            </w:r>
            <w:r>
              <w:rPr>
                <w:rFonts w:hint="default" w:ascii="Times New Roman" w:hAnsi="Times New Roman" w:eastAsia="宋体" w:cs="Times New Roman"/>
                <w:bCs/>
                <w:color w:val="000000" w:themeColor="text1"/>
                <w:kern w:val="2"/>
                <w:sz w:val="21"/>
                <w:szCs w:val="21"/>
                <w:lang w:val="en-US" w:eastAsia="zh-CN"/>
                <w14:textFill>
                  <w14:solidFill>
                    <w14:schemeClr w14:val="tx1"/>
                  </w14:solidFill>
                </w14:textFill>
              </w:rPr>
              <w:t>×10</w:t>
            </w:r>
            <w:r>
              <w:rPr>
                <w:rFonts w:hint="default" w:ascii="Times New Roman" w:hAnsi="Times New Roman" w:eastAsia="宋体" w:cs="Times New Roman"/>
                <w:bCs/>
                <w:color w:val="000000" w:themeColor="text1"/>
                <w:kern w:val="2"/>
                <w:sz w:val="21"/>
                <w:szCs w:val="21"/>
                <w:vertAlign w:val="superscript"/>
                <w:lang w:val="en-US" w:eastAsia="zh-CN"/>
                <w14:textFill>
                  <w14:solidFill>
                    <w14:schemeClr w14:val="tx1"/>
                  </w14:solidFill>
                </w14:textFill>
              </w:rPr>
              <w:t>-4</w:t>
            </w:r>
          </w:p>
        </w:tc>
        <w:tc>
          <w:tcPr>
            <w:tcW w:w="973" w:type="pct"/>
            <w:noWrap w:val="0"/>
            <w:vAlign w:val="center"/>
          </w:tcPr>
          <w:p>
            <w:pPr>
              <w:adjustRightInd w:val="0"/>
              <w:spacing w:line="180" w:lineRule="atLeast"/>
              <w:jc w:val="center"/>
              <w:rPr>
                <w:rFonts w:hint="eastAsia" w:ascii="Times New Roman" w:hAnsi="Times New Roman" w:eastAsia="宋体" w:cs="Times New Roman"/>
                <w:kern w:val="2"/>
                <w:sz w:val="21"/>
                <w:szCs w:val="24"/>
                <w:highlight w:val="none"/>
                <w:lang w:val="en-US" w:eastAsia="zh-CN"/>
              </w:rPr>
            </w:pPr>
            <w:r>
              <w:rPr>
                <w:rFonts w:hint="eastAsia" w:ascii="Times New Roman" w:hAnsi="Times New Roman" w:cs="Times New Roman"/>
                <w:bCs/>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t>×10</w:t>
            </w:r>
            <w:r>
              <w:rPr>
                <w:rFonts w:hint="default" w:ascii="Times New Roman" w:hAnsi="Times New Roman" w:eastAsia="宋体" w:cs="Times New Roman"/>
                <w:bCs/>
                <w:color w:val="000000" w:themeColor="text1"/>
                <w:kern w:val="2"/>
                <w:sz w:val="21"/>
                <w:szCs w:val="21"/>
                <w:highlight w:val="none"/>
                <w:vertAlign w:val="superscript"/>
                <w:lang w:val="en-US" w:eastAsia="zh-CN"/>
                <w14:textFill>
                  <w14:solidFill>
                    <w14:schemeClr w14:val="tx1"/>
                  </w14:solidFill>
                </w14:textFill>
              </w:rPr>
              <w:t>-6</w:t>
            </w:r>
          </w:p>
        </w:tc>
        <w:tc>
          <w:tcPr>
            <w:tcW w:w="1465" w:type="dxa"/>
            <w:noWrap w:val="0"/>
            <w:vAlign w:val="center"/>
          </w:tcPr>
          <w:p>
            <w:pPr>
              <w:spacing w:line="240" w:lineRule="auto"/>
              <w:jc w:val="center"/>
              <w:rPr>
                <w:rFonts w:ascii="Times New Roman" w:hAnsi="Times New Roman" w:cs="Times New Roman"/>
                <w:kern w:val="2"/>
                <w:sz w:val="21"/>
                <w:szCs w:val="24"/>
              </w:rPr>
            </w:pPr>
            <w:r>
              <w:rPr>
                <w:rFonts w:hint="eastAsia" w:ascii="Times New Roman" w:cs="Times New Roman"/>
                <w:bCs/>
                <w:color w:val="000000" w:themeColor="text1"/>
                <w:kern w:val="2"/>
                <w:sz w:val="21"/>
                <w:szCs w:val="21"/>
                <w:highlight w:val="none"/>
                <w:lang w:val="en-US" w:eastAsia="zh-CN"/>
                <w14:textFill>
                  <w14:solidFill>
                    <w14:schemeClr w14:val="tx1"/>
                  </w14:solidFill>
                </w14:textFill>
              </w:rPr>
              <w:t>6.37</w:t>
            </w:r>
            <w:r>
              <w:rPr>
                <w:rFonts w:hint="default"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t>×10</w:t>
            </w:r>
            <w:r>
              <w:rPr>
                <w:rFonts w:hint="default" w:ascii="Times New Roman" w:hAnsi="Times New Roman" w:eastAsia="宋体" w:cs="Times New Roman"/>
                <w:bCs/>
                <w:color w:val="000000" w:themeColor="text1"/>
                <w:kern w:val="2"/>
                <w:sz w:val="21"/>
                <w:szCs w:val="21"/>
                <w:highlight w:val="none"/>
                <w:vertAlign w:val="superscript"/>
                <w:lang w:val="en-US" w:eastAsia="zh-CN"/>
                <w14:textFill>
                  <w14:solidFill>
                    <w14:schemeClr w14:val="tx1"/>
                  </w14:solidFill>
                </w14:textFill>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378" w:type="pct"/>
            <w:vMerge w:val="continue"/>
            <w:noWrap w:val="0"/>
            <w:vAlign w:val="center"/>
          </w:tcPr>
          <w:p>
            <w:pPr>
              <w:widowControl/>
              <w:kinsoku w:val="0"/>
              <w:autoSpaceDE w:val="0"/>
              <w:autoSpaceDN w:val="0"/>
              <w:adjustRightInd w:val="0"/>
              <w:snapToGrid w:val="0"/>
              <w:spacing w:before="58" w:line="195" w:lineRule="auto"/>
              <w:jc w:val="center"/>
              <w:textAlignment w:val="baseline"/>
              <w:rPr>
                <w:rFonts w:hint="eastAsia" w:ascii="Times New Roman" w:hAnsi="Times New Roman" w:cs="Times New Roman"/>
                <w:snapToGrid w:val="0"/>
                <w:color w:val="000000"/>
                <w:kern w:val="0"/>
                <w:sz w:val="21"/>
                <w:szCs w:val="21"/>
              </w:rPr>
            </w:pPr>
          </w:p>
        </w:tc>
        <w:tc>
          <w:tcPr>
            <w:tcW w:w="937" w:type="pct"/>
            <w:vMerge w:val="continue"/>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lang w:eastAsia="en-US"/>
              </w:rPr>
            </w:pPr>
          </w:p>
        </w:tc>
        <w:tc>
          <w:tcPr>
            <w:tcW w:w="773" w:type="pct"/>
            <w:noWrap w:val="0"/>
            <w:vAlign w:val="center"/>
          </w:tcPr>
          <w:p>
            <w:pPr>
              <w:widowControl/>
              <w:kinsoku w:val="0"/>
              <w:autoSpaceDE w:val="0"/>
              <w:autoSpaceDN w:val="0"/>
              <w:adjustRightInd w:val="0"/>
              <w:snapToGrid w:val="0"/>
              <w:spacing w:before="58" w:line="195" w:lineRule="auto"/>
              <w:jc w:val="center"/>
              <w:textAlignment w:val="baseline"/>
              <w:rPr>
                <w:rFonts w:hint="default" w:ascii="Times New Roman" w:hAnsi="Times New Roman" w:eastAsia="宋体" w:cs="Times New Roman"/>
                <w:snapToGrid w:val="0"/>
                <w:color w:val="000000"/>
                <w:kern w:val="0"/>
                <w:sz w:val="21"/>
                <w:szCs w:val="21"/>
                <w:lang w:val="en-US" w:eastAsia="zh-CN"/>
              </w:rPr>
            </w:pPr>
            <w:r>
              <w:rPr>
                <w:rFonts w:hint="eastAsia" w:ascii="Times New Roman" w:cs="Times New Roman"/>
                <w:snapToGrid w:val="0"/>
                <w:color w:val="000000"/>
                <w:kern w:val="0"/>
                <w:sz w:val="21"/>
                <w:szCs w:val="21"/>
                <w:lang w:val="en-US" w:eastAsia="zh-CN"/>
              </w:rPr>
              <w:t>CO</w:t>
            </w:r>
          </w:p>
        </w:tc>
        <w:tc>
          <w:tcPr>
            <w:tcW w:w="1761" w:type="dxa"/>
            <w:noWrap w:val="0"/>
            <w:vAlign w:val="center"/>
          </w:tcPr>
          <w:p>
            <w:pPr>
              <w:spacing w:line="240" w:lineRule="auto"/>
              <w:jc w:val="center"/>
              <w:rPr>
                <w:rFonts w:hint="default" w:ascii="Times New Roman" w:hAnsi="Times New Roman"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200</w:t>
            </w:r>
          </w:p>
        </w:tc>
        <w:tc>
          <w:tcPr>
            <w:tcW w:w="973" w:type="pct"/>
            <w:noWrap w:val="0"/>
            <w:vAlign w:val="center"/>
          </w:tcPr>
          <w:p>
            <w:pPr>
              <w:adjustRightInd w:val="0"/>
              <w:spacing w:line="180" w:lineRule="atLeast"/>
              <w:jc w:val="center"/>
              <w:rPr>
                <w:rFonts w:hint="default" w:ascii="Times New Roman" w:hAnsi="Times New Roman" w:cs="Times New Roman"/>
                <w:bCs/>
                <w:color w:val="000000" w:themeColor="text1"/>
                <w:kern w:val="2"/>
                <w:sz w:val="21"/>
                <w:szCs w:val="21"/>
                <w:highlight w:val="none"/>
                <w:lang w:val="en-US" w:eastAsia="zh-CN"/>
                <w14:textFill>
                  <w14:solidFill>
                    <w14:schemeClr w14:val="tx1"/>
                  </w14:solidFill>
                </w14:textFill>
              </w:rPr>
            </w:pPr>
            <w:r>
              <w:rPr>
                <w:rFonts w:hint="eastAsia" w:ascii="Times New Roman" w:cs="Times New Roman"/>
                <w:bCs/>
                <w:color w:val="000000" w:themeColor="text1"/>
                <w:kern w:val="2"/>
                <w:sz w:val="21"/>
                <w:szCs w:val="21"/>
                <w:highlight w:val="none"/>
                <w:lang w:val="en-US" w:eastAsia="zh-CN"/>
                <w14:textFill>
                  <w14:solidFill>
                    <w14:schemeClr w14:val="tx1"/>
                  </w14:solidFill>
                </w14:textFill>
              </w:rPr>
              <w:t>0.7</w:t>
            </w:r>
          </w:p>
        </w:tc>
        <w:tc>
          <w:tcPr>
            <w:tcW w:w="1465" w:type="dxa"/>
            <w:noWrap w:val="0"/>
            <w:vAlign w:val="center"/>
          </w:tcPr>
          <w:p>
            <w:pPr>
              <w:spacing w:line="240" w:lineRule="auto"/>
              <w:jc w:val="center"/>
              <w:rPr>
                <w:rFonts w:hint="default" w:ascii="Times New Roman" w:hAnsi="Times New Roman" w:cs="Times New Roman"/>
                <w:bCs/>
                <w:color w:val="000000" w:themeColor="text1"/>
                <w:kern w:val="2"/>
                <w:sz w:val="21"/>
                <w:szCs w:val="21"/>
                <w:highlight w:val="none"/>
                <w:lang w:val="en-US" w:eastAsia="zh-CN"/>
                <w14:textFill>
                  <w14:solidFill>
                    <w14:schemeClr w14:val="tx1"/>
                  </w14:solidFill>
                </w14:textFill>
              </w:rPr>
            </w:pPr>
            <w:r>
              <w:rPr>
                <w:rFonts w:hint="eastAsia" w:ascii="Times New Roman" w:cs="Times New Roman"/>
                <w:bCs/>
                <w:color w:val="000000" w:themeColor="text1"/>
                <w:kern w:val="2"/>
                <w:sz w:val="21"/>
                <w:szCs w:val="21"/>
                <w:lang w:val="en-US" w:eastAsia="zh-CN"/>
                <w14:textFill>
                  <w14:solidFill>
                    <w14:schemeClr w14:val="tx1"/>
                  </w14:solidFill>
                </w14:textFill>
              </w:rPr>
              <w:t>2.02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jc w:val="center"/>
        </w:trPr>
        <w:tc>
          <w:tcPr>
            <w:tcW w:w="1315" w:type="pct"/>
            <w:gridSpan w:val="2"/>
            <w:vMerge w:val="restart"/>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lang w:eastAsia="en-US"/>
              </w:rPr>
            </w:pPr>
            <w:r>
              <w:rPr>
                <w:rFonts w:ascii="Times New Roman" w:hAnsi="Times New Roman" w:eastAsia="Times New Roman" w:cs="Times New Roman"/>
                <w:snapToGrid w:val="0"/>
                <w:color w:val="000000"/>
                <w:kern w:val="0"/>
                <w:sz w:val="21"/>
                <w:szCs w:val="21"/>
                <w:lang w:eastAsia="en-US"/>
              </w:rPr>
              <w:t>一般排放口合计</w:t>
            </w:r>
          </w:p>
        </w:tc>
        <w:tc>
          <w:tcPr>
            <w:tcW w:w="2805" w:type="pct"/>
            <w:gridSpan w:val="3"/>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highlight w:val="none"/>
                <w:lang w:eastAsia="en-US"/>
              </w:rPr>
            </w:pPr>
            <w:r>
              <w:rPr>
                <w:rFonts w:ascii="Times New Roman" w:hAnsi="Times New Roman" w:eastAsia="Times New Roman" w:cs="Times New Roman"/>
                <w:snapToGrid w:val="0"/>
                <w:color w:val="000000"/>
                <w:kern w:val="0"/>
                <w:sz w:val="21"/>
                <w:szCs w:val="21"/>
                <w:highlight w:val="none"/>
                <w:lang w:eastAsia="en-US"/>
              </w:rPr>
              <w:t>颗粒物</w:t>
            </w:r>
          </w:p>
        </w:tc>
        <w:tc>
          <w:tcPr>
            <w:tcW w:w="1465" w:type="dxa"/>
            <w:noWrap w:val="0"/>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snapToGrid w:val="0"/>
                <w:color w:val="000000"/>
                <w:kern w:val="0"/>
                <w:sz w:val="21"/>
                <w:szCs w:val="21"/>
                <w:highlight w:val="none"/>
                <w:lang w:val="en-US" w:eastAsia="zh-CN"/>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0.144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1315" w:type="pct"/>
            <w:gridSpan w:val="2"/>
            <w:vMerge w:val="continue"/>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lang w:eastAsia="en-US"/>
              </w:rPr>
            </w:pPr>
          </w:p>
        </w:tc>
        <w:tc>
          <w:tcPr>
            <w:tcW w:w="2805" w:type="pct"/>
            <w:gridSpan w:val="3"/>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lang w:eastAsia="en-US"/>
              </w:rPr>
            </w:pPr>
            <w:r>
              <w:rPr>
                <w:rFonts w:ascii="Times New Roman" w:hAnsi="Times New Roman" w:eastAsia="Times New Roman" w:cs="Times New Roman"/>
                <w:snapToGrid w:val="0"/>
                <w:color w:val="000000"/>
                <w:kern w:val="0"/>
                <w:sz w:val="21"/>
                <w:szCs w:val="21"/>
                <w:lang w:eastAsia="en-US"/>
              </w:rPr>
              <w:t>SO</w:t>
            </w:r>
            <w:r>
              <w:rPr>
                <w:rFonts w:ascii="Times New Roman" w:hAnsi="Times New Roman" w:eastAsia="Times New Roman" w:cs="Times New Roman"/>
                <w:snapToGrid w:val="0"/>
                <w:color w:val="000000"/>
                <w:kern w:val="0"/>
                <w:sz w:val="21"/>
                <w:szCs w:val="21"/>
                <w:vertAlign w:val="subscript"/>
                <w:lang w:eastAsia="en-US"/>
              </w:rPr>
              <w:t>2</w:t>
            </w:r>
          </w:p>
        </w:tc>
        <w:tc>
          <w:tcPr>
            <w:tcW w:w="1465" w:type="dxa"/>
            <w:noWrap w:val="0"/>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0.</w:t>
            </w: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jc w:val="center"/>
        </w:trPr>
        <w:tc>
          <w:tcPr>
            <w:tcW w:w="1315" w:type="pct"/>
            <w:gridSpan w:val="2"/>
            <w:vMerge w:val="continue"/>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lang w:eastAsia="en-US"/>
              </w:rPr>
            </w:pPr>
          </w:p>
        </w:tc>
        <w:tc>
          <w:tcPr>
            <w:tcW w:w="2805" w:type="pct"/>
            <w:gridSpan w:val="3"/>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lang w:eastAsia="en-US"/>
              </w:rPr>
            </w:pPr>
            <w:r>
              <w:rPr>
                <w:rFonts w:ascii="Times New Roman" w:hAnsi="Times New Roman" w:eastAsia="Times New Roman" w:cs="Times New Roman"/>
                <w:snapToGrid w:val="0"/>
                <w:color w:val="000000"/>
                <w:kern w:val="0"/>
                <w:sz w:val="21"/>
                <w:szCs w:val="21"/>
                <w:lang w:eastAsia="en-US"/>
              </w:rPr>
              <w:t>NOx</w:t>
            </w:r>
          </w:p>
        </w:tc>
        <w:tc>
          <w:tcPr>
            <w:tcW w:w="1465" w:type="dxa"/>
            <w:noWrap w:val="0"/>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snapToGrid w:val="0"/>
                <w:color w:val="000000"/>
                <w:kern w:val="0"/>
                <w:sz w:val="21"/>
                <w:szCs w:val="21"/>
                <w:lang w:val="en-US" w:eastAsia="zh-CN"/>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0.</w:t>
            </w: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jc w:val="center"/>
        </w:trPr>
        <w:tc>
          <w:tcPr>
            <w:tcW w:w="1315" w:type="pct"/>
            <w:gridSpan w:val="2"/>
            <w:vMerge w:val="continue"/>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lang w:eastAsia="en-US"/>
              </w:rPr>
            </w:pPr>
          </w:p>
        </w:tc>
        <w:tc>
          <w:tcPr>
            <w:tcW w:w="2805" w:type="pct"/>
            <w:gridSpan w:val="3"/>
            <w:noWrap w:val="0"/>
            <w:vAlign w:val="center"/>
          </w:tcPr>
          <w:p>
            <w:pPr>
              <w:widowControl/>
              <w:kinsoku w:val="0"/>
              <w:autoSpaceDE w:val="0"/>
              <w:autoSpaceDN w:val="0"/>
              <w:adjustRightInd w:val="0"/>
              <w:snapToGrid w:val="0"/>
              <w:spacing w:before="58" w:line="195" w:lineRule="auto"/>
              <w:jc w:val="center"/>
              <w:textAlignment w:val="baseline"/>
              <w:rPr>
                <w:rFonts w:hint="eastAsia" w:ascii="Times New Roman" w:hAnsi="Times New Roman" w:eastAsia="宋体" w:cs="Times New Roman"/>
                <w:snapToGrid w:val="0"/>
                <w:color w:val="000000"/>
                <w:kern w:val="0"/>
                <w:sz w:val="21"/>
                <w:szCs w:val="21"/>
                <w:lang w:val="en-US" w:eastAsia="zh-CN"/>
              </w:rPr>
            </w:pPr>
            <w:r>
              <w:rPr>
                <w:rFonts w:hint="eastAsia" w:ascii="Times New Roman" w:hAnsi="Times New Roman" w:eastAsia="宋体" w:cs="Times New Roman"/>
                <w:snapToGrid w:val="0"/>
                <w:color w:val="000000"/>
                <w:kern w:val="0"/>
                <w:sz w:val="21"/>
                <w:szCs w:val="21"/>
                <w:lang w:val="en-US" w:eastAsia="zh-CN"/>
              </w:rPr>
              <w:t>汞及其化合物</w:t>
            </w:r>
          </w:p>
        </w:tc>
        <w:tc>
          <w:tcPr>
            <w:tcW w:w="1465" w:type="dxa"/>
            <w:noWrap w:val="0"/>
            <w:vAlign w:val="center"/>
          </w:tcPr>
          <w:p>
            <w:pPr>
              <w:spacing w:line="240" w:lineRule="auto"/>
              <w:jc w:val="center"/>
              <w:rPr>
                <w:rFonts w:hint="eastAsia" w:ascii="Times New Roman" w:hAnsi="Times New Roman" w:cs="Times New Roman"/>
                <w:snapToGrid w:val="0"/>
                <w:color w:val="000000"/>
                <w:kern w:val="0"/>
                <w:sz w:val="21"/>
                <w:szCs w:val="21"/>
                <w:lang w:val="en-US" w:eastAsia="zh-CN"/>
              </w:rPr>
            </w:pPr>
            <w:r>
              <w:rPr>
                <w:rFonts w:hint="eastAsia" w:ascii="Times New Roman" w:cs="Times New Roman"/>
                <w:bCs/>
                <w:color w:val="000000" w:themeColor="text1"/>
                <w:kern w:val="2"/>
                <w:sz w:val="21"/>
                <w:szCs w:val="21"/>
                <w:highlight w:val="none"/>
                <w:lang w:val="en-US" w:eastAsia="zh-CN"/>
                <w14:textFill>
                  <w14:solidFill>
                    <w14:schemeClr w14:val="tx1"/>
                  </w14:solidFill>
                </w14:textFill>
              </w:rPr>
              <w:t>6.37</w:t>
            </w:r>
            <w:r>
              <w:rPr>
                <w:rFonts w:hint="default"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t>×10</w:t>
            </w:r>
            <w:r>
              <w:rPr>
                <w:rFonts w:hint="default" w:ascii="Times New Roman" w:hAnsi="Times New Roman" w:eastAsia="宋体" w:cs="Times New Roman"/>
                <w:bCs/>
                <w:color w:val="000000" w:themeColor="text1"/>
                <w:kern w:val="2"/>
                <w:sz w:val="21"/>
                <w:szCs w:val="21"/>
                <w:highlight w:val="none"/>
                <w:vertAlign w:val="superscript"/>
                <w:lang w:val="en-US" w:eastAsia="zh-CN"/>
                <w14:textFill>
                  <w14:solidFill>
                    <w14:schemeClr w14:val="tx1"/>
                  </w14:solidFill>
                </w14:textFill>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jc w:val="center"/>
        </w:trPr>
        <w:tc>
          <w:tcPr>
            <w:tcW w:w="1315" w:type="pct"/>
            <w:gridSpan w:val="2"/>
            <w:vMerge w:val="continue"/>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lang w:eastAsia="en-US"/>
              </w:rPr>
            </w:pPr>
          </w:p>
        </w:tc>
        <w:tc>
          <w:tcPr>
            <w:tcW w:w="2805" w:type="pct"/>
            <w:gridSpan w:val="3"/>
            <w:noWrap w:val="0"/>
            <w:vAlign w:val="center"/>
          </w:tcPr>
          <w:p>
            <w:pPr>
              <w:widowControl/>
              <w:kinsoku w:val="0"/>
              <w:autoSpaceDE w:val="0"/>
              <w:autoSpaceDN w:val="0"/>
              <w:adjustRightInd w:val="0"/>
              <w:snapToGrid w:val="0"/>
              <w:spacing w:before="58" w:line="195" w:lineRule="auto"/>
              <w:jc w:val="center"/>
              <w:textAlignment w:val="baseline"/>
              <w:rPr>
                <w:rFonts w:hint="eastAsia" w:ascii="Times New Roman" w:hAnsi="Times New Roman" w:eastAsia="宋体" w:cs="Times New Roman"/>
                <w:snapToGrid w:val="0"/>
                <w:color w:val="000000"/>
                <w:kern w:val="0"/>
                <w:sz w:val="21"/>
                <w:szCs w:val="21"/>
                <w:lang w:val="en-US" w:eastAsia="zh-CN"/>
              </w:rPr>
            </w:pPr>
            <w:r>
              <w:rPr>
                <w:rFonts w:hint="eastAsia" w:ascii="Times New Roman" w:cs="Times New Roman"/>
                <w:snapToGrid w:val="0"/>
                <w:color w:val="000000"/>
                <w:kern w:val="0"/>
                <w:sz w:val="21"/>
                <w:szCs w:val="21"/>
                <w:lang w:val="en-US" w:eastAsia="zh-CN"/>
              </w:rPr>
              <w:t>CO</w:t>
            </w:r>
          </w:p>
        </w:tc>
        <w:tc>
          <w:tcPr>
            <w:tcW w:w="1465" w:type="dxa"/>
            <w:noWrap w:val="0"/>
            <w:vAlign w:val="center"/>
          </w:tcPr>
          <w:p>
            <w:pPr>
              <w:spacing w:line="240" w:lineRule="auto"/>
              <w:jc w:val="center"/>
              <w:rPr>
                <w:rFonts w:hint="default" w:ascii="Times New Roman" w:hAnsi="Times New Roman" w:cs="Times New Roman"/>
                <w:bCs/>
                <w:color w:val="000000" w:themeColor="text1"/>
                <w:kern w:val="2"/>
                <w:sz w:val="21"/>
                <w:szCs w:val="21"/>
                <w:highlight w:val="none"/>
                <w:lang w:val="en-US" w:eastAsia="zh-CN"/>
                <w14:textFill>
                  <w14:solidFill>
                    <w14:schemeClr w14:val="tx1"/>
                  </w14:solidFill>
                </w14:textFill>
              </w:rPr>
            </w:pPr>
            <w:r>
              <w:rPr>
                <w:rFonts w:hint="eastAsia" w:ascii="Times New Roman" w:cs="Times New Roman"/>
                <w:bCs/>
                <w:color w:val="000000" w:themeColor="text1"/>
                <w:kern w:val="2"/>
                <w:sz w:val="21"/>
                <w:szCs w:val="21"/>
                <w:lang w:val="en-US" w:eastAsia="zh-CN"/>
                <w14:textFill>
                  <w14:solidFill>
                    <w14:schemeClr w14:val="tx1"/>
                  </w14:solidFill>
                </w14:textFill>
              </w:rPr>
              <w:t>2.02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jc w:val="center"/>
        </w:trPr>
        <w:tc>
          <w:tcPr>
            <w:tcW w:w="1315" w:type="pct"/>
            <w:gridSpan w:val="2"/>
            <w:vMerge w:val="restart"/>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lang w:eastAsia="en-US"/>
              </w:rPr>
            </w:pPr>
            <w:r>
              <w:rPr>
                <w:rFonts w:ascii="Times New Roman" w:hAnsi="Times New Roman" w:eastAsia="Times New Roman" w:cs="Times New Roman"/>
                <w:snapToGrid w:val="0"/>
                <w:color w:val="000000"/>
                <w:kern w:val="0"/>
                <w:sz w:val="21"/>
                <w:szCs w:val="21"/>
                <w:lang w:eastAsia="en-US"/>
              </w:rPr>
              <w:t>有组织排放总计</w:t>
            </w:r>
          </w:p>
        </w:tc>
        <w:tc>
          <w:tcPr>
            <w:tcW w:w="2805" w:type="pct"/>
            <w:gridSpan w:val="3"/>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highlight w:val="none"/>
                <w:lang w:eastAsia="en-US"/>
              </w:rPr>
            </w:pPr>
            <w:r>
              <w:rPr>
                <w:rFonts w:ascii="Times New Roman" w:hAnsi="Times New Roman" w:eastAsia="Times New Roman" w:cs="Times New Roman"/>
                <w:snapToGrid w:val="0"/>
                <w:color w:val="000000"/>
                <w:kern w:val="0"/>
                <w:sz w:val="21"/>
                <w:szCs w:val="21"/>
                <w:highlight w:val="none"/>
                <w:lang w:eastAsia="en-US"/>
              </w:rPr>
              <w:t>颗粒物</w:t>
            </w:r>
          </w:p>
        </w:tc>
        <w:tc>
          <w:tcPr>
            <w:tcW w:w="1465" w:type="dxa"/>
            <w:noWrap w:val="0"/>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Times New Roman" w:cs="Times New Roman"/>
                <w:snapToGrid w:val="0"/>
                <w:color w:val="000000"/>
                <w:kern w:val="0"/>
                <w:sz w:val="21"/>
                <w:szCs w:val="21"/>
                <w:highlight w:val="none"/>
                <w:lang w:val="en-US" w:eastAsia="en-US"/>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0.144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1315" w:type="pct"/>
            <w:gridSpan w:val="2"/>
            <w:vMerge w:val="continue"/>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lang w:eastAsia="en-US"/>
              </w:rPr>
            </w:pPr>
          </w:p>
        </w:tc>
        <w:tc>
          <w:tcPr>
            <w:tcW w:w="2805" w:type="pct"/>
            <w:gridSpan w:val="3"/>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lang w:eastAsia="en-US"/>
              </w:rPr>
            </w:pPr>
            <w:r>
              <w:rPr>
                <w:rFonts w:ascii="Times New Roman" w:hAnsi="Times New Roman" w:eastAsia="Times New Roman" w:cs="Times New Roman"/>
                <w:snapToGrid w:val="0"/>
                <w:color w:val="000000"/>
                <w:kern w:val="0"/>
                <w:sz w:val="21"/>
                <w:szCs w:val="21"/>
                <w:lang w:eastAsia="en-US"/>
              </w:rPr>
              <w:t>SO</w:t>
            </w:r>
            <w:r>
              <w:rPr>
                <w:rFonts w:ascii="Times New Roman" w:hAnsi="Times New Roman" w:eastAsia="Times New Roman" w:cs="Times New Roman"/>
                <w:snapToGrid w:val="0"/>
                <w:color w:val="000000"/>
                <w:kern w:val="0"/>
                <w:sz w:val="21"/>
                <w:szCs w:val="21"/>
                <w:vertAlign w:val="subscript"/>
                <w:lang w:eastAsia="en-US"/>
              </w:rPr>
              <w:t>2</w:t>
            </w:r>
          </w:p>
        </w:tc>
        <w:tc>
          <w:tcPr>
            <w:tcW w:w="1465" w:type="dxa"/>
            <w:noWrap w:val="0"/>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ascii="Times New Roman" w:hAnsi="Times New Roman" w:eastAsia="Times New Roman" w:cs="Times New Roman"/>
                <w:snapToGrid w:val="0"/>
                <w:color w:val="000000"/>
                <w:kern w:val="0"/>
                <w:sz w:val="21"/>
                <w:szCs w:val="21"/>
                <w:lang w:eastAsia="en-US"/>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0.</w:t>
            </w: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jc w:val="center"/>
        </w:trPr>
        <w:tc>
          <w:tcPr>
            <w:tcW w:w="1315" w:type="pct"/>
            <w:gridSpan w:val="2"/>
            <w:vMerge w:val="continue"/>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lang w:eastAsia="en-US"/>
              </w:rPr>
            </w:pPr>
          </w:p>
        </w:tc>
        <w:tc>
          <w:tcPr>
            <w:tcW w:w="2805" w:type="pct"/>
            <w:gridSpan w:val="3"/>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lang w:eastAsia="en-US"/>
              </w:rPr>
            </w:pPr>
            <w:r>
              <w:rPr>
                <w:rFonts w:ascii="Times New Roman" w:hAnsi="Times New Roman" w:eastAsia="Times New Roman" w:cs="Times New Roman"/>
                <w:snapToGrid w:val="0"/>
                <w:color w:val="000000"/>
                <w:kern w:val="0"/>
                <w:sz w:val="21"/>
                <w:szCs w:val="21"/>
                <w:lang w:eastAsia="en-US"/>
              </w:rPr>
              <w:t>NOx</w:t>
            </w:r>
          </w:p>
        </w:tc>
        <w:tc>
          <w:tcPr>
            <w:tcW w:w="1465" w:type="dxa"/>
            <w:noWrap w:val="0"/>
            <w:vAlign w:val="center"/>
          </w:tcPr>
          <w:p>
            <w:pPr>
              <w:keepNext w:val="0"/>
              <w:keepLines w:val="0"/>
              <w:pageBreakBefore w:val="0"/>
              <w:widowControl w:val="0"/>
              <w:tabs>
                <w:tab w:val="left" w:pos="0"/>
                <w:tab w:val="left" w:pos="900"/>
                <w:tab w:val="left" w:pos="1365"/>
              </w:tabs>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ascii="Times New Roman" w:hAnsi="Times New Roman" w:eastAsia="Times New Roman" w:cs="Times New Roman"/>
                <w:snapToGrid w:val="0"/>
                <w:color w:val="000000"/>
                <w:kern w:val="0"/>
                <w:sz w:val="21"/>
                <w:szCs w:val="21"/>
                <w:lang w:eastAsia="en-US"/>
              </w:rPr>
            </w:pP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0.</w:t>
            </w:r>
            <w:r>
              <w:rPr>
                <w:rFonts w:hint="eastAsia" w:ascii="Times New Roman" w:cs="Times New Roman"/>
                <w:b w:val="0"/>
                <w:bCs w:val="0"/>
                <w:color w:val="000000" w:themeColor="text1"/>
                <w:kern w:val="0"/>
                <w:sz w:val="21"/>
                <w:szCs w:val="21"/>
                <w:lang w:val="en-US" w:eastAsia="zh-CN" w:bidi="ar-SA"/>
                <w14:textFill>
                  <w14:solidFill>
                    <w14:schemeClr w14:val="tx1"/>
                  </w14:solidFill>
                </w14:textFill>
              </w:rPr>
              <w:t>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jc w:val="center"/>
        </w:trPr>
        <w:tc>
          <w:tcPr>
            <w:tcW w:w="1315" w:type="pct"/>
            <w:gridSpan w:val="2"/>
            <w:vMerge w:val="continue"/>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lang w:eastAsia="en-US"/>
              </w:rPr>
            </w:pPr>
          </w:p>
        </w:tc>
        <w:tc>
          <w:tcPr>
            <w:tcW w:w="2805" w:type="pct"/>
            <w:gridSpan w:val="3"/>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lang w:eastAsia="en-US"/>
              </w:rPr>
            </w:pPr>
            <w:r>
              <w:rPr>
                <w:rFonts w:hint="eastAsia" w:ascii="Times New Roman" w:hAnsi="Times New Roman" w:eastAsia="宋体" w:cs="Times New Roman"/>
                <w:snapToGrid w:val="0"/>
                <w:color w:val="000000"/>
                <w:kern w:val="0"/>
                <w:sz w:val="21"/>
                <w:szCs w:val="21"/>
                <w:lang w:val="en-US" w:eastAsia="zh-CN"/>
              </w:rPr>
              <w:t>汞及其化合物</w:t>
            </w:r>
          </w:p>
        </w:tc>
        <w:tc>
          <w:tcPr>
            <w:tcW w:w="1465" w:type="dxa"/>
            <w:noWrap w:val="0"/>
            <w:vAlign w:val="center"/>
          </w:tcPr>
          <w:p>
            <w:pPr>
              <w:spacing w:line="240" w:lineRule="auto"/>
              <w:jc w:val="center"/>
              <w:rPr>
                <w:rFonts w:hint="eastAsia" w:ascii="Times New Roman" w:hAnsi="Times New Roman" w:cs="Times New Roman"/>
                <w:snapToGrid w:val="0"/>
                <w:color w:val="000000"/>
                <w:kern w:val="0"/>
                <w:sz w:val="21"/>
                <w:szCs w:val="21"/>
                <w:lang w:val="en-US" w:eastAsia="zh-CN"/>
              </w:rPr>
            </w:pPr>
            <w:r>
              <w:rPr>
                <w:rFonts w:hint="eastAsia" w:ascii="Times New Roman" w:cs="Times New Roman"/>
                <w:bCs/>
                <w:color w:val="000000" w:themeColor="text1"/>
                <w:kern w:val="2"/>
                <w:sz w:val="21"/>
                <w:szCs w:val="21"/>
                <w:highlight w:val="none"/>
                <w:lang w:val="en-US" w:eastAsia="zh-CN"/>
                <w14:textFill>
                  <w14:solidFill>
                    <w14:schemeClr w14:val="tx1"/>
                  </w14:solidFill>
                </w14:textFill>
              </w:rPr>
              <w:t>6.37</w:t>
            </w:r>
            <w:r>
              <w:rPr>
                <w:rFonts w:hint="default" w:ascii="Times New Roman" w:hAnsi="Times New Roman" w:eastAsia="宋体" w:cs="Times New Roman"/>
                <w:bCs/>
                <w:color w:val="000000" w:themeColor="text1"/>
                <w:kern w:val="2"/>
                <w:sz w:val="21"/>
                <w:szCs w:val="21"/>
                <w:highlight w:val="none"/>
                <w:lang w:val="en-US" w:eastAsia="zh-CN"/>
                <w14:textFill>
                  <w14:solidFill>
                    <w14:schemeClr w14:val="tx1"/>
                  </w14:solidFill>
                </w14:textFill>
              </w:rPr>
              <w:t>×10</w:t>
            </w:r>
            <w:r>
              <w:rPr>
                <w:rFonts w:hint="default" w:ascii="Times New Roman" w:hAnsi="Times New Roman" w:eastAsia="宋体" w:cs="Times New Roman"/>
                <w:bCs/>
                <w:color w:val="000000" w:themeColor="text1"/>
                <w:kern w:val="2"/>
                <w:sz w:val="21"/>
                <w:szCs w:val="21"/>
                <w:highlight w:val="none"/>
                <w:vertAlign w:val="superscript"/>
                <w:lang w:val="en-US" w:eastAsia="zh-CN"/>
                <w14:textFill>
                  <w14:solidFill>
                    <w14:schemeClr w14:val="tx1"/>
                  </w14:solidFill>
                </w14:textFill>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jc w:val="center"/>
        </w:trPr>
        <w:tc>
          <w:tcPr>
            <w:tcW w:w="1315" w:type="pct"/>
            <w:gridSpan w:val="2"/>
            <w:vMerge w:val="continue"/>
            <w:noWrap w:val="0"/>
            <w:vAlign w:val="center"/>
          </w:tcPr>
          <w:p>
            <w:pPr>
              <w:widowControl/>
              <w:kinsoku w:val="0"/>
              <w:autoSpaceDE w:val="0"/>
              <w:autoSpaceDN w:val="0"/>
              <w:adjustRightInd w:val="0"/>
              <w:snapToGrid w:val="0"/>
              <w:spacing w:before="58" w:line="195" w:lineRule="auto"/>
              <w:jc w:val="center"/>
              <w:textAlignment w:val="baseline"/>
              <w:rPr>
                <w:rFonts w:ascii="Times New Roman" w:hAnsi="Times New Roman" w:eastAsia="Times New Roman" w:cs="Times New Roman"/>
                <w:snapToGrid w:val="0"/>
                <w:color w:val="000000"/>
                <w:kern w:val="0"/>
                <w:sz w:val="21"/>
                <w:szCs w:val="21"/>
                <w:lang w:eastAsia="en-US"/>
              </w:rPr>
            </w:pPr>
          </w:p>
        </w:tc>
        <w:tc>
          <w:tcPr>
            <w:tcW w:w="2805" w:type="pct"/>
            <w:gridSpan w:val="3"/>
            <w:noWrap w:val="0"/>
            <w:vAlign w:val="center"/>
          </w:tcPr>
          <w:p>
            <w:pPr>
              <w:widowControl/>
              <w:kinsoku w:val="0"/>
              <w:autoSpaceDE w:val="0"/>
              <w:autoSpaceDN w:val="0"/>
              <w:adjustRightInd w:val="0"/>
              <w:snapToGrid w:val="0"/>
              <w:spacing w:before="58" w:line="195" w:lineRule="auto"/>
              <w:jc w:val="center"/>
              <w:textAlignment w:val="baseline"/>
              <w:rPr>
                <w:rFonts w:hint="eastAsia" w:ascii="Times New Roman" w:hAnsi="Times New Roman" w:eastAsia="宋体" w:cs="Times New Roman"/>
                <w:snapToGrid w:val="0"/>
                <w:color w:val="000000"/>
                <w:kern w:val="0"/>
                <w:sz w:val="21"/>
                <w:szCs w:val="21"/>
                <w:lang w:val="en-US" w:eastAsia="zh-CN"/>
              </w:rPr>
            </w:pPr>
            <w:r>
              <w:rPr>
                <w:rFonts w:hint="eastAsia" w:ascii="Times New Roman" w:cs="Times New Roman"/>
                <w:snapToGrid w:val="0"/>
                <w:color w:val="000000"/>
                <w:kern w:val="0"/>
                <w:sz w:val="21"/>
                <w:szCs w:val="21"/>
                <w:lang w:val="en-US" w:eastAsia="zh-CN"/>
              </w:rPr>
              <w:t>CO</w:t>
            </w:r>
          </w:p>
        </w:tc>
        <w:tc>
          <w:tcPr>
            <w:tcW w:w="1465" w:type="dxa"/>
            <w:noWrap w:val="0"/>
            <w:vAlign w:val="center"/>
          </w:tcPr>
          <w:p>
            <w:pPr>
              <w:spacing w:line="240" w:lineRule="auto"/>
              <w:jc w:val="center"/>
              <w:rPr>
                <w:rFonts w:hint="default" w:ascii="Times New Roman" w:hAnsi="Times New Roman" w:cs="Times New Roman"/>
                <w:bCs/>
                <w:color w:val="000000" w:themeColor="text1"/>
                <w:kern w:val="2"/>
                <w:sz w:val="21"/>
                <w:szCs w:val="21"/>
                <w:highlight w:val="none"/>
                <w:lang w:val="en-US" w:eastAsia="zh-CN"/>
                <w14:textFill>
                  <w14:solidFill>
                    <w14:schemeClr w14:val="tx1"/>
                  </w14:solidFill>
                </w14:textFill>
              </w:rPr>
            </w:pPr>
            <w:r>
              <w:rPr>
                <w:rFonts w:hint="eastAsia" w:ascii="Times New Roman" w:cs="Times New Roman"/>
                <w:bCs/>
                <w:color w:val="000000" w:themeColor="text1"/>
                <w:kern w:val="2"/>
                <w:sz w:val="21"/>
                <w:szCs w:val="21"/>
                <w:lang w:val="en-US" w:eastAsia="zh-CN"/>
                <w14:textFill>
                  <w14:solidFill>
                    <w14:schemeClr w14:val="tx1"/>
                  </w14:solidFill>
                </w14:textFill>
              </w:rPr>
              <w:t>2.02</w:t>
            </w:r>
          </w:p>
        </w:tc>
      </w:tr>
    </w:tbl>
    <w:p>
      <w:pPr>
        <w:spacing w:line="360" w:lineRule="auto"/>
        <w:ind w:firstLine="413" w:firstLineChars="196"/>
        <w:jc w:val="center"/>
        <w:rPr>
          <w:rFonts w:ascii="Times New Roman" w:hAnsi="Times New Roman" w:cs="Times New Roman"/>
          <w:b/>
          <w:bCs/>
          <w:snapToGrid w:val="0"/>
          <w:color w:val="000000"/>
          <w:spacing w:val="5"/>
          <w:kern w:val="0"/>
          <w:sz w:val="20"/>
          <w:szCs w:val="20"/>
        </w:rPr>
      </w:pPr>
    </w:p>
    <w:p>
      <w:pPr>
        <w:spacing w:line="360" w:lineRule="auto"/>
        <w:ind w:firstLine="413" w:firstLineChars="196"/>
        <w:jc w:val="center"/>
        <w:rPr>
          <w:rFonts w:ascii="Times New Roman" w:hAnsi="Times New Roman" w:cs="Times New Roman"/>
          <w:b/>
          <w:bCs/>
          <w:snapToGrid w:val="0"/>
          <w:color w:val="000000"/>
          <w:spacing w:val="5"/>
          <w:kern w:val="0"/>
          <w:sz w:val="20"/>
          <w:szCs w:val="20"/>
        </w:rPr>
      </w:pPr>
    </w:p>
    <w:p>
      <w:pPr>
        <w:spacing w:line="360" w:lineRule="auto"/>
        <w:ind w:firstLine="413" w:firstLineChars="196"/>
        <w:jc w:val="center"/>
        <w:rPr>
          <w:rFonts w:ascii="Times New Roman" w:hAnsi="Times New Roman" w:cs="Times New Roman"/>
          <w:b/>
          <w:bCs/>
          <w:snapToGrid w:val="0"/>
          <w:color w:val="000000"/>
          <w:spacing w:val="5"/>
          <w:kern w:val="0"/>
          <w:sz w:val="20"/>
          <w:szCs w:val="20"/>
        </w:rPr>
      </w:pPr>
    </w:p>
    <w:p>
      <w:pPr>
        <w:spacing w:line="360" w:lineRule="auto"/>
        <w:ind w:firstLine="413" w:firstLineChars="196"/>
        <w:jc w:val="center"/>
        <w:rPr>
          <w:rFonts w:ascii="Times New Roman" w:hAnsi="Times New Roman" w:cs="Times New Roman"/>
          <w:b/>
          <w:bCs/>
          <w:snapToGrid w:val="0"/>
          <w:color w:val="000000"/>
          <w:spacing w:val="5"/>
          <w:kern w:val="0"/>
          <w:sz w:val="20"/>
          <w:szCs w:val="20"/>
        </w:rPr>
      </w:pPr>
    </w:p>
    <w:p>
      <w:pPr>
        <w:spacing w:line="360" w:lineRule="auto"/>
        <w:ind w:firstLine="413" w:firstLineChars="196"/>
        <w:jc w:val="center"/>
        <w:rPr>
          <w:rFonts w:ascii="Times New Roman" w:hAnsi="Times New Roman" w:cs="Times New Roman"/>
          <w:b/>
          <w:bCs/>
          <w:snapToGrid w:val="0"/>
          <w:color w:val="000000"/>
          <w:spacing w:val="5"/>
          <w:kern w:val="0"/>
          <w:sz w:val="20"/>
          <w:szCs w:val="20"/>
        </w:rPr>
      </w:pPr>
    </w:p>
    <w:p>
      <w:pPr>
        <w:spacing w:line="360" w:lineRule="auto"/>
        <w:ind w:firstLine="413" w:firstLineChars="196"/>
        <w:jc w:val="center"/>
        <w:rPr>
          <w:rFonts w:ascii="Times New Roman" w:hAnsi="Times New Roman" w:cs="Times New Roman"/>
          <w:b/>
          <w:bCs/>
          <w:snapToGrid w:val="0"/>
          <w:color w:val="000000"/>
          <w:spacing w:val="5"/>
          <w:kern w:val="0"/>
          <w:sz w:val="20"/>
          <w:szCs w:val="20"/>
        </w:rPr>
      </w:pPr>
    </w:p>
    <w:p>
      <w:pPr>
        <w:spacing w:line="360" w:lineRule="auto"/>
        <w:ind w:firstLine="413" w:firstLineChars="196"/>
        <w:jc w:val="center"/>
        <w:rPr>
          <w:rFonts w:ascii="Times New Roman" w:hAnsi="Times New Roman" w:cs="Times New Roman"/>
          <w:b/>
          <w:bCs/>
          <w:snapToGrid w:val="0"/>
          <w:color w:val="000000"/>
          <w:spacing w:val="5"/>
          <w:kern w:val="0"/>
          <w:sz w:val="20"/>
          <w:szCs w:val="20"/>
        </w:rPr>
      </w:pPr>
    </w:p>
    <w:p>
      <w:pPr>
        <w:spacing w:line="360" w:lineRule="auto"/>
        <w:ind w:firstLine="413" w:firstLineChars="196"/>
        <w:jc w:val="center"/>
        <w:rPr>
          <w:rFonts w:ascii="Times New Roman" w:hAnsi="Times New Roman" w:cs="Times New Roman"/>
          <w:b/>
          <w:bCs/>
          <w:snapToGrid w:val="0"/>
          <w:color w:val="000000"/>
          <w:spacing w:val="5"/>
          <w:kern w:val="0"/>
          <w:sz w:val="20"/>
          <w:szCs w:val="20"/>
        </w:rPr>
      </w:pPr>
    </w:p>
    <w:p>
      <w:pPr>
        <w:spacing w:line="360" w:lineRule="auto"/>
        <w:ind w:firstLine="413" w:firstLineChars="196"/>
        <w:jc w:val="center"/>
        <w:rPr>
          <w:rFonts w:ascii="Times New Roman" w:hAnsi="Times New Roman" w:cs="Times New Roman"/>
          <w:b/>
          <w:bCs/>
          <w:snapToGrid w:val="0"/>
          <w:color w:val="000000"/>
          <w:spacing w:val="5"/>
          <w:kern w:val="0"/>
          <w:sz w:val="20"/>
          <w:szCs w:val="20"/>
        </w:rPr>
      </w:pPr>
    </w:p>
    <w:p>
      <w:pPr>
        <w:spacing w:line="360" w:lineRule="auto"/>
        <w:ind w:firstLine="413" w:firstLineChars="196"/>
        <w:jc w:val="center"/>
        <w:rPr>
          <w:rFonts w:ascii="Times New Roman" w:hAnsi="Times New Roman" w:cs="Times New Roman"/>
          <w:b/>
          <w:bCs/>
          <w:snapToGrid w:val="0"/>
          <w:color w:val="000000"/>
          <w:spacing w:val="5"/>
          <w:kern w:val="0"/>
          <w:sz w:val="20"/>
          <w:szCs w:val="20"/>
        </w:rPr>
      </w:pPr>
    </w:p>
    <w:p>
      <w:pPr>
        <w:adjustRightInd w:val="0"/>
        <w:spacing w:line="360" w:lineRule="auto"/>
        <w:jc w:val="center"/>
        <w:rPr>
          <w:rFonts w:hint="eastAsia" w:ascii="Times New Roman" w:hAnsi="Times New Roman" w:eastAsia="宋体" w:cs="Times New Roman"/>
          <w:b/>
          <w:color w:val="000000"/>
          <w:kern w:val="2"/>
          <w:sz w:val="21"/>
          <w:szCs w:val="21"/>
          <w:lang w:eastAsia="en-US" w:bidi="ar"/>
        </w:rPr>
      </w:pPr>
      <w:r>
        <w:rPr>
          <w:rFonts w:hint="eastAsia" w:ascii="Times New Roman" w:hAnsi="Times New Roman" w:eastAsia="宋体" w:cs="Times New Roman"/>
          <w:b/>
          <w:color w:val="000000"/>
          <w:kern w:val="2"/>
          <w:sz w:val="21"/>
          <w:szCs w:val="21"/>
          <w:lang w:eastAsia="en-US" w:bidi="ar"/>
        </w:rPr>
        <w:t xml:space="preserve">表 </w:t>
      </w:r>
      <w:r>
        <w:rPr>
          <w:rFonts w:hint="eastAsia" w:ascii="Times New Roman" w:hAnsi="Times New Roman" w:eastAsia="宋体" w:cs="Times New Roman"/>
          <w:b/>
          <w:color w:val="000000"/>
          <w:kern w:val="2"/>
          <w:sz w:val="21"/>
          <w:szCs w:val="21"/>
          <w:lang w:val="en-US" w:eastAsia="zh-CN" w:bidi="ar"/>
        </w:rPr>
        <w:t>8</w:t>
      </w:r>
      <w:r>
        <w:rPr>
          <w:rFonts w:hint="eastAsia" w:ascii="Times New Roman" w:hAnsi="Times New Roman" w:eastAsia="宋体" w:cs="Times New Roman"/>
          <w:b/>
          <w:color w:val="000000"/>
          <w:kern w:val="2"/>
          <w:sz w:val="21"/>
          <w:szCs w:val="21"/>
          <w:lang w:eastAsia="en-US" w:bidi="ar"/>
        </w:rPr>
        <w:t xml:space="preserve"> 建设项目大气环境影响评价自查表</w:t>
      </w:r>
    </w:p>
    <w:tbl>
      <w:tblPr>
        <w:tblStyle w:val="38"/>
        <w:tblW w:w="97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1841"/>
        <w:gridCol w:w="968"/>
        <w:gridCol w:w="426"/>
        <w:gridCol w:w="90"/>
        <w:gridCol w:w="75"/>
        <w:gridCol w:w="118"/>
        <w:gridCol w:w="284"/>
        <w:gridCol w:w="425"/>
        <w:gridCol w:w="425"/>
        <w:gridCol w:w="218"/>
        <w:gridCol w:w="349"/>
        <w:gridCol w:w="284"/>
        <w:gridCol w:w="708"/>
        <w:gridCol w:w="426"/>
        <w:gridCol w:w="113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09" w:type="dxa"/>
            <w:gridSpan w:val="2"/>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工作内容</w:t>
            </w:r>
          </w:p>
        </w:tc>
        <w:tc>
          <w:tcPr>
            <w:tcW w:w="6638" w:type="dxa"/>
            <w:gridSpan w:val="15"/>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vMerge w:val="restart"/>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评价等级与范围</w:t>
            </w:r>
          </w:p>
        </w:tc>
        <w:tc>
          <w:tcPr>
            <w:tcW w:w="1841" w:type="dxa"/>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评价等级</w:t>
            </w:r>
          </w:p>
        </w:tc>
        <w:tc>
          <w:tcPr>
            <w:tcW w:w="2386" w:type="dxa"/>
            <w:gridSpan w:val="7"/>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一级□</w:t>
            </w:r>
          </w:p>
        </w:tc>
        <w:tc>
          <w:tcPr>
            <w:tcW w:w="2410" w:type="dxa"/>
            <w:gridSpan w:val="6"/>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二级</w:t>
            </w:r>
            <w:r>
              <w:rPr>
                <w:rFonts w:hint="eastAsia" w:ascii="Times New Roman" w:cs="Times New Roman"/>
                <w:sz w:val="21"/>
                <w:szCs w:val="21"/>
                <w:lang w:val="en-US" w:eastAsia="zh-CN" w:bidi="ar-SA"/>
              </w:rPr>
              <w:t>☑</w:t>
            </w:r>
          </w:p>
        </w:tc>
        <w:tc>
          <w:tcPr>
            <w:tcW w:w="1842" w:type="dxa"/>
            <w:gridSpan w:val="2"/>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vMerge w:val="continue"/>
            <w:noWrap w:val="0"/>
            <w:vAlign w:val="center"/>
          </w:tcPr>
          <w:p>
            <w:pPr>
              <w:spacing w:line="280" w:lineRule="exact"/>
              <w:jc w:val="center"/>
              <w:rPr>
                <w:rFonts w:hint="default" w:ascii="Times New Roman" w:hAnsi="Times New Roman" w:eastAsia="宋体" w:cs="Times New Roman"/>
                <w:color w:val="000000"/>
                <w:kern w:val="2"/>
                <w:sz w:val="21"/>
                <w:szCs w:val="21"/>
              </w:rPr>
            </w:pPr>
          </w:p>
        </w:tc>
        <w:tc>
          <w:tcPr>
            <w:tcW w:w="1841" w:type="dxa"/>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评价范围</w:t>
            </w:r>
          </w:p>
        </w:tc>
        <w:tc>
          <w:tcPr>
            <w:tcW w:w="2386" w:type="dxa"/>
            <w:gridSpan w:val="7"/>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边长=50km□</w:t>
            </w:r>
          </w:p>
        </w:tc>
        <w:tc>
          <w:tcPr>
            <w:tcW w:w="2410" w:type="dxa"/>
            <w:gridSpan w:val="6"/>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边长5～50km□</w:t>
            </w:r>
          </w:p>
        </w:tc>
        <w:tc>
          <w:tcPr>
            <w:tcW w:w="1842" w:type="dxa"/>
            <w:gridSpan w:val="2"/>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边长=5 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vMerge w:val="restart"/>
            <w:noWrap w:val="0"/>
            <w:vAlign w:val="center"/>
          </w:tcPr>
          <w:p>
            <w:pPr>
              <w:spacing w:line="280" w:lineRule="exact"/>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评价因子</w:t>
            </w:r>
          </w:p>
        </w:tc>
        <w:tc>
          <w:tcPr>
            <w:tcW w:w="1841" w:type="dxa"/>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SO</w:t>
            </w:r>
            <w:r>
              <w:rPr>
                <w:rFonts w:hint="default" w:ascii="Times New Roman" w:hAnsi="Times New Roman" w:eastAsia="宋体" w:cs="Times New Roman"/>
                <w:sz w:val="21"/>
                <w:szCs w:val="21"/>
                <w:vertAlign w:val="subscript"/>
                <w:lang w:val="en-US" w:eastAsia="zh-CN" w:bidi="ar-SA"/>
              </w:rPr>
              <w:t>2</w:t>
            </w:r>
            <w:r>
              <w:rPr>
                <w:rFonts w:hint="default" w:ascii="Times New Roman" w:hAnsi="Times New Roman" w:eastAsia="宋体" w:cs="Times New Roman"/>
                <w:sz w:val="21"/>
                <w:szCs w:val="21"/>
                <w:lang w:val="en-US" w:eastAsia="zh-CN" w:bidi="ar-SA"/>
              </w:rPr>
              <w:t xml:space="preserve"> +NOx排放量</w:t>
            </w:r>
          </w:p>
        </w:tc>
        <w:tc>
          <w:tcPr>
            <w:tcW w:w="1559" w:type="dxa"/>
            <w:gridSpan w:val="4"/>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≥2000t/a□</w:t>
            </w:r>
          </w:p>
        </w:tc>
        <w:tc>
          <w:tcPr>
            <w:tcW w:w="3237" w:type="dxa"/>
            <w:gridSpan w:val="9"/>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500 ~ 2000t/a□</w:t>
            </w:r>
          </w:p>
        </w:tc>
        <w:tc>
          <w:tcPr>
            <w:tcW w:w="1842" w:type="dxa"/>
            <w:gridSpan w:val="2"/>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＜500 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vMerge w:val="continue"/>
            <w:noWrap w:val="0"/>
            <w:vAlign w:val="center"/>
          </w:tcPr>
          <w:p>
            <w:pPr>
              <w:spacing w:line="280" w:lineRule="exact"/>
              <w:jc w:val="center"/>
              <w:rPr>
                <w:rFonts w:hint="default" w:ascii="Times New Roman" w:hAnsi="Times New Roman" w:eastAsia="宋体" w:cs="Times New Roman"/>
                <w:color w:val="000000"/>
                <w:kern w:val="2"/>
                <w:sz w:val="21"/>
                <w:szCs w:val="21"/>
              </w:rPr>
            </w:pPr>
          </w:p>
        </w:tc>
        <w:tc>
          <w:tcPr>
            <w:tcW w:w="1841" w:type="dxa"/>
            <w:noWrap w:val="0"/>
            <w:vAlign w:val="center"/>
          </w:tcPr>
          <w:p>
            <w:pPr>
              <w:spacing w:line="280" w:lineRule="exact"/>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评价因子</w:t>
            </w:r>
          </w:p>
        </w:tc>
        <w:tc>
          <w:tcPr>
            <w:tcW w:w="3662" w:type="dxa"/>
            <w:gridSpan w:val="11"/>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基本污染物(</w:t>
            </w:r>
            <w:r>
              <w:rPr>
                <w:rFonts w:hint="default" w:ascii="Times New Roman" w:hAnsi="Times New Roman" w:cs="Times New Roman"/>
                <w:kern w:val="0"/>
                <w:sz w:val="21"/>
                <w:szCs w:val="21"/>
              </w:rPr>
              <w:t>PM</w:t>
            </w:r>
            <w:r>
              <w:rPr>
                <w:rFonts w:hint="default" w:ascii="Times New Roman" w:hAnsi="Times New Roman" w:cs="Times New Roman"/>
                <w:kern w:val="0"/>
                <w:sz w:val="21"/>
                <w:szCs w:val="21"/>
                <w:vertAlign w:val="subscript"/>
              </w:rPr>
              <w:t>10</w:t>
            </w:r>
            <w:r>
              <w:rPr>
                <w:rFonts w:hint="default" w:ascii="Times New Roman" w:hAnsi="Times New Roman" w:cs="Times New Roman"/>
                <w:kern w:val="0"/>
                <w:sz w:val="21"/>
                <w:szCs w:val="21"/>
              </w:rPr>
              <w:t>、SO</w:t>
            </w:r>
            <w:r>
              <w:rPr>
                <w:rFonts w:hint="default" w:ascii="Times New Roman" w:hAnsi="Times New Roman" w:cs="Times New Roman"/>
                <w:kern w:val="0"/>
                <w:sz w:val="21"/>
                <w:szCs w:val="21"/>
                <w:vertAlign w:val="subscript"/>
              </w:rPr>
              <w:t>2</w:t>
            </w:r>
            <w:r>
              <w:rPr>
                <w:rFonts w:hint="default" w:ascii="Times New Roman" w:hAnsi="Times New Roman" w:cs="Times New Roman"/>
                <w:kern w:val="0"/>
                <w:sz w:val="21"/>
                <w:szCs w:val="21"/>
              </w:rPr>
              <w:t>、NO</w:t>
            </w:r>
            <w:r>
              <w:rPr>
                <w:rFonts w:hint="default" w:ascii="Times New Roman" w:hAnsi="Times New Roman" w:cs="Times New Roman"/>
                <w:kern w:val="0"/>
                <w:sz w:val="21"/>
                <w:szCs w:val="21"/>
                <w:vertAlign w:val="subscript"/>
              </w:rPr>
              <w:t>2</w:t>
            </w:r>
            <w:r>
              <w:rPr>
                <w:rFonts w:hint="default" w:ascii="Times New Roman" w:hAnsi="Times New Roman" w:cs="Times New Roman"/>
                <w:kern w:val="0"/>
                <w:sz w:val="21"/>
                <w:szCs w:val="21"/>
              </w:rPr>
              <w:t xml:space="preserve"> </w:t>
            </w:r>
            <w:r>
              <w:rPr>
                <w:rFonts w:hint="eastAsia" w:ascii="Times New Roman" w:cs="Times New Roman"/>
                <w:kern w:val="0"/>
                <w:sz w:val="21"/>
                <w:szCs w:val="21"/>
                <w:lang w:val="en-US" w:eastAsia="zh-CN"/>
              </w:rPr>
              <w:t>、CO</w:t>
            </w:r>
            <w:r>
              <w:rPr>
                <w:rFonts w:hint="default" w:ascii="Times New Roman" w:hAnsi="Times New Roman" w:eastAsia="宋体" w:cs="Times New Roman"/>
                <w:sz w:val="21"/>
                <w:szCs w:val="21"/>
                <w:lang w:val="en-US" w:eastAsia="zh-CN" w:bidi="ar-SA"/>
              </w:rPr>
              <w:t>)</w:t>
            </w:r>
          </w:p>
          <w:p>
            <w:pPr>
              <w:spacing w:line="280" w:lineRule="exact"/>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kern w:val="2"/>
                <w:sz w:val="21"/>
                <w:szCs w:val="21"/>
              </w:rPr>
              <w:t>其他污染物(</w:t>
            </w:r>
            <w:r>
              <w:rPr>
                <w:rFonts w:hint="default" w:ascii="Times New Roman" w:hAnsi="Times New Roman" w:eastAsia="宋体" w:cs="Times New Roman"/>
                <w:kern w:val="2"/>
                <w:sz w:val="21"/>
                <w:szCs w:val="21"/>
                <w:lang w:val="en-US" w:eastAsia="zh-CN"/>
              </w:rPr>
              <w:t>汞及其化合物</w:t>
            </w:r>
            <w:r>
              <w:rPr>
                <w:rFonts w:hint="default" w:ascii="Times New Roman" w:hAnsi="Times New Roman" w:eastAsia="宋体" w:cs="Times New Roman"/>
                <w:kern w:val="2"/>
                <w:sz w:val="21"/>
                <w:szCs w:val="21"/>
              </w:rPr>
              <w:t>)</w:t>
            </w:r>
          </w:p>
        </w:tc>
        <w:tc>
          <w:tcPr>
            <w:tcW w:w="2976" w:type="dxa"/>
            <w:gridSpan w:val="4"/>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包括二次PM</w:t>
            </w:r>
            <w:r>
              <w:rPr>
                <w:rFonts w:hint="default" w:ascii="Times New Roman" w:hAnsi="Times New Roman" w:eastAsia="宋体" w:cs="Times New Roman"/>
                <w:sz w:val="21"/>
                <w:szCs w:val="21"/>
                <w:vertAlign w:val="subscript"/>
                <w:lang w:val="en-US" w:eastAsia="zh-CN" w:bidi="ar-SA"/>
              </w:rPr>
              <w:t>2.5</w:t>
            </w:r>
            <w:r>
              <w:rPr>
                <w:rFonts w:hint="default" w:ascii="Times New Roman" w:hAnsi="Times New Roman" w:eastAsia="宋体" w:cs="Times New Roman"/>
                <w:sz w:val="21"/>
                <w:szCs w:val="21"/>
                <w:lang w:val="en-US" w:eastAsia="zh-CN" w:bidi="ar-SA"/>
              </w:rPr>
              <w:t>□</w:t>
            </w:r>
          </w:p>
          <w:p>
            <w:pPr>
              <w:spacing w:line="280" w:lineRule="exact"/>
              <w:jc w:val="center"/>
              <w:rPr>
                <w:rFonts w:hint="default" w:ascii="Times New Roman" w:hAnsi="Times New Roman" w:eastAsia="宋体" w:cs="Times New Roman"/>
                <w:color w:val="000000"/>
                <w:kern w:val="2"/>
                <w:sz w:val="21"/>
                <w:szCs w:val="21"/>
                <w:lang w:eastAsia="zh-CN"/>
              </w:rPr>
            </w:pPr>
            <w:r>
              <w:rPr>
                <w:rFonts w:hint="default" w:ascii="Times New Roman" w:hAnsi="Times New Roman" w:eastAsia="宋体" w:cs="Times New Roman"/>
                <w:kern w:val="2"/>
                <w:sz w:val="21"/>
                <w:szCs w:val="21"/>
              </w:rPr>
              <w:t>不包括二次PM</w:t>
            </w:r>
            <w:r>
              <w:rPr>
                <w:rFonts w:hint="default" w:ascii="Times New Roman" w:hAnsi="Times New Roman" w:eastAsia="宋体" w:cs="Times New Roman"/>
                <w:kern w:val="2"/>
                <w:sz w:val="21"/>
                <w:szCs w:val="21"/>
                <w:vertAlign w:val="subscript"/>
              </w:rPr>
              <w:t>2.5</w:t>
            </w:r>
            <w:r>
              <w:rPr>
                <w:rFonts w:hint="default" w:ascii="Times New Roman" w:hAnsi="Times New Roman" w:eastAsia="宋体" w:cs="Times New Roman"/>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评价标准</w:t>
            </w:r>
          </w:p>
        </w:tc>
        <w:tc>
          <w:tcPr>
            <w:tcW w:w="1841" w:type="dxa"/>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评价标准</w:t>
            </w:r>
          </w:p>
        </w:tc>
        <w:tc>
          <w:tcPr>
            <w:tcW w:w="1559" w:type="dxa"/>
            <w:gridSpan w:val="4"/>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国家标准☑</w:t>
            </w:r>
          </w:p>
        </w:tc>
        <w:tc>
          <w:tcPr>
            <w:tcW w:w="1819" w:type="dxa"/>
            <w:gridSpan w:val="6"/>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地方标准☑</w:t>
            </w:r>
          </w:p>
        </w:tc>
        <w:tc>
          <w:tcPr>
            <w:tcW w:w="1418" w:type="dxa"/>
            <w:gridSpan w:val="3"/>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 xml:space="preserve">附录D </w:t>
            </w:r>
            <w:r>
              <w:rPr>
                <w:rFonts w:hint="eastAsia" w:ascii="Times New Roman" w:cs="Times New Roman"/>
                <w:sz w:val="21"/>
                <w:szCs w:val="21"/>
                <w:lang w:val="en-US" w:eastAsia="zh-CN" w:bidi="ar-SA"/>
              </w:rPr>
              <w:t>☑</w:t>
            </w:r>
          </w:p>
        </w:tc>
        <w:tc>
          <w:tcPr>
            <w:tcW w:w="1842" w:type="dxa"/>
            <w:gridSpan w:val="2"/>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其他标准□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vMerge w:val="restart"/>
            <w:noWrap w:val="0"/>
            <w:vAlign w:val="center"/>
          </w:tcPr>
          <w:p>
            <w:pPr>
              <w:spacing w:line="280" w:lineRule="exact"/>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现状评价</w:t>
            </w:r>
          </w:p>
        </w:tc>
        <w:tc>
          <w:tcPr>
            <w:tcW w:w="1841" w:type="dxa"/>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环境功能区</w:t>
            </w:r>
          </w:p>
        </w:tc>
        <w:tc>
          <w:tcPr>
            <w:tcW w:w="2386" w:type="dxa"/>
            <w:gridSpan w:val="7"/>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一类区□</w:t>
            </w:r>
          </w:p>
        </w:tc>
        <w:tc>
          <w:tcPr>
            <w:tcW w:w="2410" w:type="dxa"/>
            <w:gridSpan w:val="6"/>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二类区</w:t>
            </w:r>
            <w:r>
              <w:rPr>
                <w:rFonts w:hint="eastAsia" w:ascii="Times New Roman" w:cs="Times New Roman"/>
                <w:sz w:val="21"/>
                <w:szCs w:val="21"/>
                <w:lang w:val="en-US" w:eastAsia="zh-CN" w:bidi="ar-SA"/>
              </w:rPr>
              <w:t>☑</w:t>
            </w:r>
          </w:p>
        </w:tc>
        <w:tc>
          <w:tcPr>
            <w:tcW w:w="1842" w:type="dxa"/>
            <w:gridSpan w:val="2"/>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一类区和二类区□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vMerge w:val="continue"/>
            <w:noWrap w:val="0"/>
            <w:vAlign w:val="center"/>
          </w:tcPr>
          <w:p>
            <w:pPr>
              <w:spacing w:line="280" w:lineRule="exact"/>
              <w:jc w:val="center"/>
              <w:rPr>
                <w:rFonts w:hint="default" w:ascii="Times New Roman" w:hAnsi="Times New Roman" w:eastAsia="宋体" w:cs="Times New Roman"/>
                <w:color w:val="000000"/>
                <w:kern w:val="2"/>
                <w:sz w:val="21"/>
                <w:szCs w:val="21"/>
              </w:rPr>
            </w:pPr>
          </w:p>
        </w:tc>
        <w:tc>
          <w:tcPr>
            <w:tcW w:w="1841" w:type="dxa"/>
            <w:noWrap w:val="0"/>
            <w:vAlign w:val="center"/>
          </w:tcPr>
          <w:p>
            <w:pPr>
              <w:spacing w:line="280" w:lineRule="exact"/>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基准年</w:t>
            </w:r>
          </w:p>
        </w:tc>
        <w:tc>
          <w:tcPr>
            <w:tcW w:w="6638" w:type="dxa"/>
            <w:gridSpan w:val="15"/>
            <w:noWrap w:val="0"/>
            <w:vAlign w:val="center"/>
          </w:tcPr>
          <w:p>
            <w:pPr>
              <w:spacing w:line="280" w:lineRule="exact"/>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（20</w:t>
            </w:r>
            <w:r>
              <w:rPr>
                <w:rFonts w:hint="default" w:ascii="Times New Roman" w:hAnsi="Times New Roman" w:eastAsia="宋体" w:cs="Times New Roman"/>
                <w:color w:val="000000"/>
                <w:kern w:val="2"/>
                <w:sz w:val="21"/>
                <w:szCs w:val="21"/>
                <w:lang w:val="en-US" w:eastAsia="zh-CN"/>
              </w:rPr>
              <w:t>23</w:t>
            </w:r>
            <w:r>
              <w:rPr>
                <w:rFonts w:hint="default" w:ascii="Times New Roman" w:hAnsi="Times New Roman" w:eastAsia="宋体" w:cs="Times New Roman"/>
                <w:color w:val="000000"/>
                <w:kern w:val="2"/>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vMerge w:val="continue"/>
            <w:noWrap w:val="0"/>
            <w:vAlign w:val="center"/>
          </w:tcPr>
          <w:p>
            <w:pPr>
              <w:spacing w:line="280" w:lineRule="exact"/>
              <w:jc w:val="center"/>
              <w:rPr>
                <w:rFonts w:hint="default" w:ascii="Times New Roman" w:hAnsi="Times New Roman" w:eastAsia="宋体" w:cs="Times New Roman"/>
                <w:color w:val="000000"/>
                <w:kern w:val="2"/>
                <w:sz w:val="21"/>
                <w:szCs w:val="21"/>
              </w:rPr>
            </w:pPr>
          </w:p>
        </w:tc>
        <w:tc>
          <w:tcPr>
            <w:tcW w:w="1841" w:type="dxa"/>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环境空气质量现状调查数据来源</w:t>
            </w:r>
          </w:p>
        </w:tc>
        <w:tc>
          <w:tcPr>
            <w:tcW w:w="2386" w:type="dxa"/>
            <w:gridSpan w:val="7"/>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长期例行监测数据□</w:t>
            </w:r>
          </w:p>
        </w:tc>
        <w:tc>
          <w:tcPr>
            <w:tcW w:w="2410" w:type="dxa"/>
            <w:gridSpan w:val="6"/>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主管部门发布的数据☑</w:t>
            </w:r>
          </w:p>
        </w:tc>
        <w:tc>
          <w:tcPr>
            <w:tcW w:w="1842" w:type="dxa"/>
            <w:gridSpan w:val="2"/>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现状补充监测☑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vMerge w:val="continue"/>
            <w:noWrap w:val="0"/>
            <w:vAlign w:val="center"/>
          </w:tcPr>
          <w:p>
            <w:pPr>
              <w:spacing w:line="280" w:lineRule="exact"/>
              <w:jc w:val="center"/>
              <w:rPr>
                <w:rFonts w:hint="default" w:ascii="Times New Roman" w:hAnsi="Times New Roman" w:eastAsia="宋体" w:cs="Times New Roman"/>
                <w:color w:val="000000"/>
                <w:kern w:val="2"/>
                <w:sz w:val="21"/>
                <w:szCs w:val="21"/>
              </w:rPr>
            </w:pPr>
          </w:p>
        </w:tc>
        <w:tc>
          <w:tcPr>
            <w:tcW w:w="1841" w:type="dxa"/>
            <w:noWrap w:val="0"/>
            <w:vAlign w:val="center"/>
          </w:tcPr>
          <w:p>
            <w:pPr>
              <w:spacing w:line="280" w:lineRule="exact"/>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现状评价</w:t>
            </w:r>
          </w:p>
        </w:tc>
        <w:tc>
          <w:tcPr>
            <w:tcW w:w="3662" w:type="dxa"/>
            <w:gridSpan w:val="11"/>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达标区□</w:t>
            </w:r>
          </w:p>
        </w:tc>
        <w:tc>
          <w:tcPr>
            <w:tcW w:w="2976" w:type="dxa"/>
            <w:gridSpan w:val="4"/>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不达标区</w:t>
            </w:r>
            <w:r>
              <w:rPr>
                <w:rFonts w:hint="eastAsia" w:ascii="Times New Roman" w:hAnsi="Times New Roman" w:cs="Times New Roman"/>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污染源调查</w:t>
            </w:r>
          </w:p>
        </w:tc>
        <w:tc>
          <w:tcPr>
            <w:tcW w:w="1841" w:type="dxa"/>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调查内容</w:t>
            </w:r>
          </w:p>
        </w:tc>
        <w:tc>
          <w:tcPr>
            <w:tcW w:w="1961" w:type="dxa"/>
            <w:gridSpan w:val="6"/>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本项目正常排放源☑</w:t>
            </w:r>
          </w:p>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本项目非正常排放源□</w:t>
            </w:r>
          </w:p>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现有污染源□</w:t>
            </w:r>
          </w:p>
        </w:tc>
        <w:tc>
          <w:tcPr>
            <w:tcW w:w="1701" w:type="dxa"/>
            <w:gridSpan w:val="5"/>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拟替代的污染源□</w:t>
            </w:r>
          </w:p>
        </w:tc>
        <w:tc>
          <w:tcPr>
            <w:tcW w:w="1134" w:type="dxa"/>
            <w:gridSpan w:val="2"/>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其他在建、拟建项目污染源□</w:t>
            </w:r>
          </w:p>
        </w:tc>
        <w:tc>
          <w:tcPr>
            <w:tcW w:w="1842" w:type="dxa"/>
            <w:gridSpan w:val="2"/>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区域污染源□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vMerge w:val="restart"/>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大气环境影响预测与评价</w:t>
            </w:r>
          </w:p>
        </w:tc>
        <w:tc>
          <w:tcPr>
            <w:tcW w:w="1841" w:type="dxa"/>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预测模型</w:t>
            </w:r>
          </w:p>
        </w:tc>
        <w:tc>
          <w:tcPr>
            <w:tcW w:w="968" w:type="dxa"/>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pacing w:val="-18"/>
                <w:sz w:val="21"/>
                <w:szCs w:val="21"/>
                <w:lang w:val="en-US" w:eastAsia="zh-CN" w:bidi="ar-SA"/>
              </w:rPr>
              <w:t>AERMOD</w:t>
            </w:r>
            <w:r>
              <w:rPr>
                <w:rFonts w:hint="default" w:ascii="Times New Roman" w:hAnsi="Times New Roman" w:eastAsia="宋体" w:cs="Times New Roman"/>
                <w:sz w:val="21"/>
                <w:szCs w:val="21"/>
                <w:lang w:val="en-US" w:eastAsia="zh-CN" w:bidi="ar-SA"/>
              </w:rPr>
              <w:t xml:space="preserve"> □</w:t>
            </w:r>
          </w:p>
        </w:tc>
        <w:tc>
          <w:tcPr>
            <w:tcW w:w="709" w:type="dxa"/>
            <w:gridSpan w:val="4"/>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pacing w:val="-20"/>
                <w:sz w:val="21"/>
                <w:szCs w:val="21"/>
                <w:lang w:val="en-US" w:eastAsia="zh-CN" w:bidi="ar-SA"/>
              </w:rPr>
              <w:t xml:space="preserve">ADMS </w:t>
            </w:r>
            <w:r>
              <w:rPr>
                <w:rFonts w:hint="default" w:ascii="Times New Roman" w:hAnsi="Times New Roman" w:eastAsia="宋体" w:cs="Times New Roman"/>
                <w:sz w:val="21"/>
                <w:szCs w:val="21"/>
                <w:lang w:val="en-US" w:eastAsia="zh-CN" w:bidi="ar-SA"/>
              </w:rPr>
              <w:t>□</w:t>
            </w:r>
          </w:p>
        </w:tc>
        <w:tc>
          <w:tcPr>
            <w:tcW w:w="1134" w:type="dxa"/>
            <w:gridSpan w:val="3"/>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pacing w:val="-20"/>
                <w:sz w:val="21"/>
                <w:szCs w:val="21"/>
                <w:lang w:val="en-US" w:eastAsia="zh-CN" w:bidi="ar-SA"/>
              </w:rPr>
              <w:t>AUSTAL2000</w:t>
            </w:r>
            <w:r>
              <w:rPr>
                <w:rFonts w:hint="default" w:ascii="Times New Roman" w:hAnsi="Times New Roman" w:eastAsia="宋体" w:cs="Times New Roman"/>
                <w:sz w:val="21"/>
                <w:szCs w:val="21"/>
                <w:lang w:val="en-US" w:eastAsia="zh-CN" w:bidi="ar-SA"/>
              </w:rPr>
              <w:t xml:space="preserve"> □</w:t>
            </w:r>
          </w:p>
        </w:tc>
        <w:tc>
          <w:tcPr>
            <w:tcW w:w="851" w:type="dxa"/>
            <w:gridSpan w:val="3"/>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pacing w:val="-16"/>
                <w:sz w:val="21"/>
                <w:szCs w:val="21"/>
                <w:lang w:val="en-US" w:eastAsia="zh-CN" w:bidi="ar-SA"/>
              </w:rPr>
              <w:t>EDMS/AEDT</w:t>
            </w:r>
            <w:r>
              <w:rPr>
                <w:rFonts w:hint="default" w:ascii="Times New Roman" w:hAnsi="Times New Roman" w:eastAsia="宋体" w:cs="Times New Roman"/>
                <w:sz w:val="21"/>
                <w:szCs w:val="21"/>
                <w:lang w:val="en-US" w:eastAsia="zh-CN" w:bidi="ar-SA"/>
              </w:rPr>
              <w:t xml:space="preserve"> □</w:t>
            </w:r>
          </w:p>
        </w:tc>
        <w:tc>
          <w:tcPr>
            <w:tcW w:w="1134" w:type="dxa"/>
            <w:gridSpan w:val="2"/>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pacing w:val="-14"/>
                <w:sz w:val="21"/>
                <w:szCs w:val="21"/>
                <w:lang w:val="en-US" w:eastAsia="zh-CN" w:bidi="ar-SA"/>
              </w:rPr>
              <w:t xml:space="preserve">CALPUFF </w:t>
            </w:r>
            <w:r>
              <w:rPr>
                <w:rFonts w:hint="default" w:ascii="Times New Roman" w:hAnsi="Times New Roman" w:eastAsia="宋体" w:cs="Times New Roman"/>
                <w:sz w:val="21"/>
                <w:szCs w:val="21"/>
                <w:lang w:val="en-US" w:eastAsia="zh-CN" w:bidi="ar-SA"/>
              </w:rPr>
              <w:t>□</w:t>
            </w:r>
          </w:p>
        </w:tc>
        <w:tc>
          <w:tcPr>
            <w:tcW w:w="1134" w:type="dxa"/>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网格模型□</w:t>
            </w:r>
          </w:p>
        </w:tc>
        <w:tc>
          <w:tcPr>
            <w:tcW w:w="708" w:type="dxa"/>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vMerge w:val="continue"/>
            <w:noWrap w:val="0"/>
            <w:vAlign w:val="center"/>
          </w:tcPr>
          <w:p>
            <w:pPr>
              <w:spacing w:line="280" w:lineRule="exact"/>
              <w:jc w:val="center"/>
              <w:rPr>
                <w:rFonts w:hint="default" w:ascii="Times New Roman" w:hAnsi="Times New Roman" w:eastAsia="宋体" w:cs="Times New Roman"/>
                <w:color w:val="000000"/>
                <w:kern w:val="2"/>
                <w:sz w:val="21"/>
                <w:szCs w:val="21"/>
              </w:rPr>
            </w:pPr>
          </w:p>
        </w:tc>
        <w:tc>
          <w:tcPr>
            <w:tcW w:w="1841" w:type="dxa"/>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预测范围</w:t>
            </w:r>
          </w:p>
        </w:tc>
        <w:tc>
          <w:tcPr>
            <w:tcW w:w="2386" w:type="dxa"/>
            <w:gridSpan w:val="7"/>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边长≥50km□</w:t>
            </w:r>
          </w:p>
        </w:tc>
        <w:tc>
          <w:tcPr>
            <w:tcW w:w="2410" w:type="dxa"/>
            <w:gridSpan w:val="6"/>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边长5～50km □</w:t>
            </w:r>
          </w:p>
        </w:tc>
        <w:tc>
          <w:tcPr>
            <w:tcW w:w="1842" w:type="dxa"/>
            <w:gridSpan w:val="2"/>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边长= 5 km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vMerge w:val="continue"/>
            <w:noWrap w:val="0"/>
            <w:vAlign w:val="center"/>
          </w:tcPr>
          <w:p>
            <w:pPr>
              <w:spacing w:line="280" w:lineRule="exact"/>
              <w:jc w:val="center"/>
              <w:rPr>
                <w:rFonts w:hint="default" w:ascii="Times New Roman" w:hAnsi="Times New Roman" w:eastAsia="宋体" w:cs="Times New Roman"/>
                <w:color w:val="000000"/>
                <w:kern w:val="2"/>
                <w:sz w:val="21"/>
                <w:szCs w:val="21"/>
              </w:rPr>
            </w:pPr>
          </w:p>
        </w:tc>
        <w:tc>
          <w:tcPr>
            <w:tcW w:w="1841" w:type="dxa"/>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预测因子</w:t>
            </w:r>
          </w:p>
        </w:tc>
        <w:tc>
          <w:tcPr>
            <w:tcW w:w="3662" w:type="dxa"/>
            <w:gridSpan w:val="11"/>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预测因子(</w:t>
            </w:r>
            <w:r>
              <w:rPr>
                <w:rFonts w:hint="default" w:ascii="Times New Roman" w:hAnsi="Times New Roman" w:cs="Times New Roman"/>
                <w:kern w:val="0"/>
                <w:sz w:val="21"/>
                <w:szCs w:val="21"/>
              </w:rPr>
              <w:t>PM</w:t>
            </w:r>
            <w:r>
              <w:rPr>
                <w:rFonts w:hint="default" w:ascii="Times New Roman" w:hAnsi="Times New Roman" w:cs="Times New Roman"/>
                <w:kern w:val="0"/>
                <w:sz w:val="21"/>
                <w:szCs w:val="21"/>
                <w:vertAlign w:val="subscript"/>
              </w:rPr>
              <w:t>10</w:t>
            </w:r>
            <w:r>
              <w:rPr>
                <w:rFonts w:hint="default" w:ascii="Times New Roman" w:hAnsi="Times New Roman" w:cs="Times New Roman"/>
                <w:kern w:val="0"/>
                <w:sz w:val="21"/>
                <w:szCs w:val="21"/>
              </w:rPr>
              <w:t>、SO</w:t>
            </w:r>
            <w:r>
              <w:rPr>
                <w:rFonts w:hint="default" w:ascii="Times New Roman" w:hAnsi="Times New Roman" w:cs="Times New Roman"/>
                <w:kern w:val="0"/>
                <w:sz w:val="21"/>
                <w:szCs w:val="21"/>
                <w:vertAlign w:val="subscript"/>
              </w:rPr>
              <w:t>2</w:t>
            </w:r>
            <w:r>
              <w:rPr>
                <w:rFonts w:hint="default" w:ascii="Times New Roman" w:hAnsi="Times New Roman" w:cs="Times New Roman"/>
                <w:kern w:val="0"/>
                <w:sz w:val="21"/>
                <w:szCs w:val="21"/>
              </w:rPr>
              <w:t>、NO</w:t>
            </w:r>
            <w:r>
              <w:rPr>
                <w:rFonts w:hint="default" w:ascii="Times New Roman" w:hAnsi="Times New Roman" w:cs="Times New Roman"/>
                <w:kern w:val="0"/>
                <w:sz w:val="21"/>
                <w:szCs w:val="21"/>
                <w:vertAlign w:val="subscript"/>
              </w:rPr>
              <w:t>2</w:t>
            </w:r>
            <w:r>
              <w:rPr>
                <w:rFonts w:hint="default" w:ascii="Times New Roman" w:hAnsi="Times New Roman" w:cs="Times New Roman"/>
                <w:kern w:val="0"/>
                <w:sz w:val="21"/>
                <w:szCs w:val="21"/>
                <w:vertAlign w:val="baseline"/>
                <w:lang w:eastAsia="zh-CN"/>
              </w:rPr>
              <w:t>、</w:t>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汞及其化合物</w:t>
            </w:r>
            <w:r>
              <w:rPr>
                <w:rFonts w:hint="eastAsia" w:ascii="Times New Roman" w:cs="Times New Roman"/>
                <w:kern w:val="0"/>
                <w:sz w:val="21"/>
                <w:szCs w:val="21"/>
                <w:lang w:val="en-US" w:eastAsia="zh-CN"/>
              </w:rPr>
              <w:t>、CO</w:t>
            </w:r>
            <w:r>
              <w:rPr>
                <w:rFonts w:hint="default" w:ascii="Times New Roman" w:hAnsi="Times New Roman" w:eastAsia="宋体" w:cs="Times New Roman"/>
                <w:sz w:val="21"/>
                <w:szCs w:val="21"/>
                <w:lang w:val="en-US" w:eastAsia="zh-CN" w:bidi="ar-SA"/>
              </w:rPr>
              <w:t>)</w:t>
            </w:r>
          </w:p>
        </w:tc>
        <w:tc>
          <w:tcPr>
            <w:tcW w:w="2976" w:type="dxa"/>
            <w:gridSpan w:val="4"/>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包括二次PM</w:t>
            </w:r>
            <w:r>
              <w:rPr>
                <w:rFonts w:hint="default" w:ascii="Times New Roman" w:hAnsi="Times New Roman" w:eastAsia="宋体" w:cs="Times New Roman"/>
                <w:sz w:val="21"/>
                <w:szCs w:val="21"/>
                <w:vertAlign w:val="subscript"/>
                <w:lang w:val="en-US" w:eastAsia="zh-CN" w:bidi="ar-SA"/>
              </w:rPr>
              <w:t>2.5</w:t>
            </w:r>
            <w:r>
              <w:rPr>
                <w:rFonts w:hint="default" w:ascii="Times New Roman" w:hAnsi="Times New Roman" w:eastAsia="宋体" w:cs="Times New Roman"/>
                <w:sz w:val="21"/>
                <w:szCs w:val="21"/>
                <w:lang w:val="en-US" w:eastAsia="zh-CN" w:bidi="ar-SA"/>
              </w:rPr>
              <w:t xml:space="preserve"> □</w:t>
            </w:r>
          </w:p>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不包括二次PM</w:t>
            </w:r>
            <w:r>
              <w:rPr>
                <w:rFonts w:hint="default" w:ascii="Times New Roman" w:hAnsi="Times New Roman" w:eastAsia="宋体" w:cs="Times New Roman"/>
                <w:sz w:val="21"/>
                <w:szCs w:val="21"/>
                <w:vertAlign w:val="subscript"/>
                <w:lang w:val="en-US" w:eastAsia="zh-CN" w:bidi="ar-SA"/>
              </w:rPr>
              <w:t>2.5</w:t>
            </w:r>
            <w:r>
              <w:rPr>
                <w:rFonts w:hint="default" w:ascii="Times New Roman" w:hAnsi="Times New Roman" w:eastAsia="宋体" w:cs="Times New Roman"/>
                <w:sz w:val="21"/>
                <w:szCs w:val="21"/>
                <w:lang w:val="en-US" w:eastAsia="zh-CN" w:bidi="ar-SA"/>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vMerge w:val="continue"/>
            <w:noWrap w:val="0"/>
            <w:vAlign w:val="center"/>
          </w:tcPr>
          <w:p>
            <w:pPr>
              <w:spacing w:line="280" w:lineRule="exact"/>
              <w:jc w:val="center"/>
              <w:rPr>
                <w:rFonts w:hint="default" w:ascii="Times New Roman" w:hAnsi="Times New Roman" w:eastAsia="宋体" w:cs="Times New Roman"/>
                <w:color w:val="000000"/>
                <w:kern w:val="2"/>
                <w:sz w:val="21"/>
                <w:szCs w:val="21"/>
              </w:rPr>
            </w:pPr>
          </w:p>
        </w:tc>
        <w:tc>
          <w:tcPr>
            <w:tcW w:w="1841" w:type="dxa"/>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正常排放短期浓度贡献值</w:t>
            </w:r>
          </w:p>
        </w:tc>
        <w:tc>
          <w:tcPr>
            <w:tcW w:w="3662" w:type="dxa"/>
            <w:gridSpan w:val="11"/>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eastAsia" w:ascii="Times New Roman" w:cs="Times New Roman"/>
                <w:sz w:val="28"/>
                <w:szCs w:val="28"/>
                <w:vertAlign w:val="subscript"/>
                <w:lang w:val="en-US" w:eastAsia="zh-CN" w:bidi="ar-SA"/>
              </w:rPr>
              <w:t>C</w:t>
            </w:r>
            <w:r>
              <w:rPr>
                <w:rFonts w:hint="default" w:ascii="Times New Roman" w:hAnsi="Times New Roman" w:eastAsia="宋体" w:cs="Times New Roman"/>
                <w:sz w:val="21"/>
                <w:szCs w:val="21"/>
                <w:vertAlign w:val="subscript"/>
                <w:lang w:val="en-US" w:eastAsia="zh-CN" w:bidi="ar-SA"/>
              </w:rPr>
              <w:t>本项目</w:t>
            </w:r>
            <w:r>
              <w:rPr>
                <w:rFonts w:hint="default" w:ascii="Times New Roman" w:hAnsi="Times New Roman" w:eastAsia="宋体" w:cs="Times New Roman"/>
                <w:sz w:val="21"/>
                <w:szCs w:val="21"/>
                <w:lang w:val="en-US" w:eastAsia="zh-CN" w:bidi="ar-SA"/>
              </w:rPr>
              <w:t>最大占标率≤100%□</w:t>
            </w:r>
          </w:p>
        </w:tc>
        <w:tc>
          <w:tcPr>
            <w:tcW w:w="2976" w:type="dxa"/>
            <w:gridSpan w:val="4"/>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eastAsia" w:ascii="Times New Roman" w:cs="Times New Roman"/>
                <w:sz w:val="28"/>
                <w:szCs w:val="28"/>
                <w:vertAlign w:val="subscript"/>
                <w:lang w:val="en-US" w:eastAsia="zh-CN" w:bidi="ar-SA"/>
              </w:rPr>
              <w:t>C</w:t>
            </w:r>
            <w:r>
              <w:rPr>
                <w:rFonts w:hint="default" w:ascii="Times New Roman" w:hAnsi="Times New Roman" w:eastAsia="宋体" w:cs="Times New Roman"/>
                <w:sz w:val="21"/>
                <w:szCs w:val="21"/>
                <w:vertAlign w:val="subscript"/>
                <w:lang w:val="en-US" w:eastAsia="zh-CN" w:bidi="ar-SA"/>
              </w:rPr>
              <w:t>本项目</w:t>
            </w:r>
            <w:r>
              <w:rPr>
                <w:rFonts w:hint="default" w:ascii="Times New Roman" w:hAnsi="Times New Roman" w:eastAsia="宋体" w:cs="Times New Roman"/>
                <w:sz w:val="21"/>
                <w:szCs w:val="21"/>
                <w:lang w:val="en-US" w:eastAsia="zh-CN" w:bidi="ar-SA"/>
              </w:rPr>
              <w:t>最大占标率＞100%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vMerge w:val="continue"/>
            <w:noWrap w:val="0"/>
            <w:vAlign w:val="center"/>
          </w:tcPr>
          <w:p>
            <w:pPr>
              <w:spacing w:line="280" w:lineRule="exact"/>
              <w:jc w:val="center"/>
              <w:rPr>
                <w:rFonts w:hint="default" w:ascii="Times New Roman" w:hAnsi="Times New Roman" w:eastAsia="宋体" w:cs="Times New Roman"/>
                <w:color w:val="000000"/>
                <w:kern w:val="2"/>
                <w:sz w:val="21"/>
                <w:szCs w:val="21"/>
              </w:rPr>
            </w:pPr>
          </w:p>
        </w:tc>
        <w:tc>
          <w:tcPr>
            <w:tcW w:w="1841" w:type="dxa"/>
            <w:vMerge w:val="restart"/>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正常排放年均浓度贡献值</w:t>
            </w:r>
          </w:p>
        </w:tc>
        <w:tc>
          <w:tcPr>
            <w:tcW w:w="968" w:type="dxa"/>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一类区</w:t>
            </w:r>
          </w:p>
        </w:tc>
        <w:tc>
          <w:tcPr>
            <w:tcW w:w="2694" w:type="dxa"/>
            <w:gridSpan w:val="10"/>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eastAsia" w:ascii="Times New Roman" w:cs="Times New Roman"/>
                <w:sz w:val="21"/>
                <w:szCs w:val="21"/>
                <w:lang w:val="en-US" w:eastAsia="zh-CN" w:bidi="ar-SA"/>
              </w:rPr>
              <w:t>C</w:t>
            </w:r>
            <w:r>
              <w:rPr>
                <w:rFonts w:hint="default" w:ascii="Times New Roman" w:hAnsi="Times New Roman" w:eastAsia="宋体" w:cs="Times New Roman"/>
                <w:sz w:val="21"/>
                <w:szCs w:val="21"/>
                <w:vertAlign w:val="subscript"/>
                <w:lang w:val="en-US" w:eastAsia="zh-CN" w:bidi="ar-SA"/>
              </w:rPr>
              <w:t>本项目</w:t>
            </w:r>
            <w:r>
              <w:rPr>
                <w:rFonts w:hint="default" w:ascii="Times New Roman" w:hAnsi="Times New Roman" w:eastAsia="宋体" w:cs="Times New Roman"/>
                <w:sz w:val="21"/>
                <w:szCs w:val="21"/>
                <w:lang w:val="en-US" w:eastAsia="zh-CN" w:bidi="ar-SA"/>
              </w:rPr>
              <w:t>最大占标率≤10%□</w:t>
            </w:r>
          </w:p>
        </w:tc>
        <w:tc>
          <w:tcPr>
            <w:tcW w:w="2976" w:type="dxa"/>
            <w:gridSpan w:val="4"/>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eastAsia" w:ascii="Times New Roman" w:cs="Times New Roman"/>
                <w:sz w:val="28"/>
                <w:szCs w:val="28"/>
                <w:vertAlign w:val="subscript"/>
                <w:lang w:val="en-US" w:eastAsia="zh-CN" w:bidi="ar-SA"/>
              </w:rPr>
              <w:t>C</w:t>
            </w:r>
            <w:r>
              <w:rPr>
                <w:rFonts w:hint="default" w:ascii="Times New Roman" w:hAnsi="Times New Roman" w:eastAsia="宋体" w:cs="Times New Roman"/>
                <w:sz w:val="21"/>
                <w:szCs w:val="21"/>
                <w:vertAlign w:val="subscript"/>
                <w:lang w:val="en-US" w:eastAsia="zh-CN" w:bidi="ar-SA"/>
              </w:rPr>
              <w:t>本项目</w:t>
            </w:r>
            <w:r>
              <w:rPr>
                <w:rFonts w:hint="default" w:ascii="Times New Roman" w:hAnsi="Times New Roman" w:eastAsia="宋体" w:cs="Times New Roman"/>
                <w:sz w:val="21"/>
                <w:szCs w:val="21"/>
                <w:lang w:val="en-US" w:eastAsia="zh-CN" w:bidi="ar-SA"/>
              </w:rPr>
              <w:t>最大标率＞10%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vMerge w:val="continue"/>
            <w:noWrap w:val="0"/>
            <w:vAlign w:val="center"/>
          </w:tcPr>
          <w:p>
            <w:pPr>
              <w:spacing w:line="280" w:lineRule="exact"/>
              <w:jc w:val="center"/>
              <w:rPr>
                <w:rFonts w:hint="default" w:ascii="Times New Roman" w:hAnsi="Times New Roman" w:eastAsia="宋体" w:cs="Times New Roman"/>
                <w:color w:val="000000"/>
                <w:kern w:val="2"/>
                <w:sz w:val="21"/>
                <w:szCs w:val="21"/>
              </w:rPr>
            </w:pPr>
          </w:p>
        </w:tc>
        <w:tc>
          <w:tcPr>
            <w:tcW w:w="1841" w:type="dxa"/>
            <w:vMerge w:val="continue"/>
            <w:noWrap w:val="0"/>
            <w:vAlign w:val="center"/>
          </w:tcPr>
          <w:p>
            <w:pPr>
              <w:spacing w:line="280" w:lineRule="exact"/>
              <w:jc w:val="center"/>
              <w:rPr>
                <w:rFonts w:hint="default" w:ascii="Times New Roman" w:hAnsi="Times New Roman" w:eastAsia="宋体" w:cs="Times New Roman"/>
                <w:color w:val="000000"/>
                <w:kern w:val="2"/>
                <w:sz w:val="21"/>
                <w:szCs w:val="21"/>
              </w:rPr>
            </w:pPr>
          </w:p>
        </w:tc>
        <w:tc>
          <w:tcPr>
            <w:tcW w:w="968" w:type="dxa"/>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二类区</w:t>
            </w:r>
          </w:p>
        </w:tc>
        <w:tc>
          <w:tcPr>
            <w:tcW w:w="2694" w:type="dxa"/>
            <w:gridSpan w:val="10"/>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eastAsia" w:ascii="Times New Roman" w:cs="Times New Roman"/>
                <w:sz w:val="21"/>
                <w:szCs w:val="21"/>
                <w:lang w:val="en-US" w:eastAsia="zh-CN" w:bidi="ar-SA"/>
              </w:rPr>
              <w:t>C</w:t>
            </w:r>
            <w:r>
              <w:rPr>
                <w:rFonts w:hint="default" w:ascii="Times New Roman" w:hAnsi="Times New Roman" w:eastAsia="宋体" w:cs="Times New Roman"/>
                <w:sz w:val="21"/>
                <w:szCs w:val="21"/>
                <w:vertAlign w:val="subscript"/>
                <w:lang w:val="en-US" w:eastAsia="zh-CN" w:bidi="ar-SA"/>
              </w:rPr>
              <w:t>本项目</w:t>
            </w:r>
            <w:r>
              <w:rPr>
                <w:rFonts w:hint="default" w:ascii="Times New Roman" w:hAnsi="Times New Roman" w:eastAsia="宋体" w:cs="Times New Roman"/>
                <w:sz w:val="21"/>
                <w:szCs w:val="21"/>
                <w:lang w:val="en-US" w:eastAsia="zh-CN" w:bidi="ar-SA"/>
              </w:rPr>
              <w:t>最大占标率≤30%□</w:t>
            </w:r>
          </w:p>
        </w:tc>
        <w:tc>
          <w:tcPr>
            <w:tcW w:w="2976" w:type="dxa"/>
            <w:gridSpan w:val="4"/>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eastAsia" w:ascii="Times New Roman" w:cs="Times New Roman"/>
                <w:sz w:val="28"/>
                <w:szCs w:val="28"/>
                <w:vertAlign w:val="subscript"/>
                <w:lang w:val="en-US" w:eastAsia="zh-CN" w:bidi="ar-SA"/>
              </w:rPr>
              <w:t>C</w:t>
            </w:r>
            <w:r>
              <w:rPr>
                <w:rFonts w:hint="default" w:ascii="Times New Roman" w:hAnsi="Times New Roman" w:eastAsia="宋体" w:cs="Times New Roman"/>
                <w:sz w:val="21"/>
                <w:szCs w:val="21"/>
                <w:vertAlign w:val="subscript"/>
                <w:lang w:val="en-US" w:eastAsia="zh-CN" w:bidi="ar-SA"/>
              </w:rPr>
              <w:t>本项目</w:t>
            </w:r>
            <w:r>
              <w:rPr>
                <w:rFonts w:hint="default" w:ascii="Times New Roman" w:hAnsi="Times New Roman" w:eastAsia="宋体" w:cs="Times New Roman"/>
                <w:sz w:val="21"/>
                <w:szCs w:val="21"/>
                <w:lang w:val="en-US" w:eastAsia="zh-CN" w:bidi="ar-SA"/>
              </w:rPr>
              <w:t>最大标率＞30%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vMerge w:val="continue"/>
            <w:noWrap w:val="0"/>
            <w:vAlign w:val="center"/>
          </w:tcPr>
          <w:p>
            <w:pPr>
              <w:spacing w:line="280" w:lineRule="exact"/>
              <w:jc w:val="center"/>
              <w:rPr>
                <w:rFonts w:hint="default" w:ascii="Times New Roman" w:hAnsi="Times New Roman" w:eastAsia="宋体" w:cs="Times New Roman"/>
                <w:color w:val="000000"/>
                <w:kern w:val="2"/>
                <w:sz w:val="21"/>
                <w:szCs w:val="21"/>
              </w:rPr>
            </w:pPr>
          </w:p>
        </w:tc>
        <w:tc>
          <w:tcPr>
            <w:tcW w:w="1841" w:type="dxa"/>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非正常排放1h浓度贡献值</w:t>
            </w:r>
          </w:p>
        </w:tc>
        <w:tc>
          <w:tcPr>
            <w:tcW w:w="1394" w:type="dxa"/>
            <w:gridSpan w:val="2"/>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非正常持续时长（）h</w:t>
            </w:r>
          </w:p>
        </w:tc>
        <w:tc>
          <w:tcPr>
            <w:tcW w:w="2268" w:type="dxa"/>
            <w:gridSpan w:val="9"/>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eastAsia" w:ascii="Times New Roman" w:cs="Times New Roman"/>
                <w:sz w:val="21"/>
                <w:szCs w:val="21"/>
                <w:lang w:val="en-US" w:eastAsia="zh-CN" w:bidi="ar-SA"/>
              </w:rPr>
              <w:t>C</w:t>
            </w:r>
            <w:r>
              <w:rPr>
                <w:rFonts w:hint="default" w:ascii="Times New Roman" w:hAnsi="Times New Roman" w:eastAsia="宋体" w:cs="Times New Roman"/>
                <w:sz w:val="21"/>
                <w:szCs w:val="21"/>
                <w:vertAlign w:val="subscript"/>
                <w:lang w:val="en-US" w:eastAsia="zh-CN" w:bidi="ar-SA"/>
              </w:rPr>
              <w:t>非正常</w:t>
            </w:r>
            <w:r>
              <w:rPr>
                <w:rFonts w:hint="default" w:ascii="Times New Roman" w:hAnsi="Times New Roman" w:eastAsia="宋体" w:cs="Times New Roman"/>
                <w:sz w:val="21"/>
                <w:szCs w:val="21"/>
                <w:lang w:val="en-US" w:eastAsia="zh-CN" w:bidi="ar-SA"/>
              </w:rPr>
              <w:t>占标率≤100% □</w:t>
            </w:r>
          </w:p>
        </w:tc>
        <w:tc>
          <w:tcPr>
            <w:tcW w:w="2976" w:type="dxa"/>
            <w:gridSpan w:val="4"/>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eastAsia" w:ascii="Times New Roman" w:cs="Times New Roman"/>
                <w:sz w:val="21"/>
                <w:szCs w:val="21"/>
                <w:lang w:val="en-US" w:eastAsia="zh-CN" w:bidi="ar-SA"/>
              </w:rPr>
              <w:t>C</w:t>
            </w:r>
            <w:r>
              <w:rPr>
                <w:rFonts w:hint="default" w:ascii="Times New Roman" w:hAnsi="Times New Roman" w:eastAsia="宋体" w:cs="Times New Roman"/>
                <w:sz w:val="21"/>
                <w:szCs w:val="21"/>
                <w:vertAlign w:val="subscript"/>
                <w:lang w:val="en-US" w:eastAsia="zh-CN" w:bidi="ar-SA"/>
              </w:rPr>
              <w:t>非正常</w:t>
            </w:r>
            <w:r>
              <w:rPr>
                <w:rFonts w:hint="default" w:ascii="Times New Roman" w:hAnsi="Times New Roman" w:eastAsia="宋体" w:cs="Times New Roman"/>
                <w:sz w:val="21"/>
                <w:szCs w:val="21"/>
                <w:lang w:val="en-US" w:eastAsia="zh-CN" w:bidi="ar-SA"/>
              </w:rPr>
              <w:t>占标率＞100%□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vMerge w:val="continue"/>
            <w:noWrap w:val="0"/>
            <w:vAlign w:val="center"/>
          </w:tcPr>
          <w:p>
            <w:pPr>
              <w:spacing w:line="280" w:lineRule="exact"/>
              <w:jc w:val="center"/>
              <w:rPr>
                <w:rFonts w:hint="default" w:ascii="Times New Roman" w:hAnsi="Times New Roman" w:eastAsia="宋体" w:cs="Times New Roman"/>
                <w:color w:val="000000"/>
                <w:kern w:val="2"/>
                <w:sz w:val="21"/>
                <w:szCs w:val="21"/>
              </w:rPr>
            </w:pPr>
          </w:p>
        </w:tc>
        <w:tc>
          <w:tcPr>
            <w:tcW w:w="1841" w:type="dxa"/>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保证率日平均浓度和年平均浓度叠加值</w:t>
            </w:r>
          </w:p>
        </w:tc>
        <w:tc>
          <w:tcPr>
            <w:tcW w:w="3029" w:type="dxa"/>
            <w:gridSpan w:val="9"/>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eastAsia" w:ascii="Times New Roman" w:cs="Times New Roman"/>
                <w:sz w:val="21"/>
                <w:szCs w:val="21"/>
                <w:lang w:val="en-US" w:eastAsia="zh-CN" w:bidi="ar-SA"/>
              </w:rPr>
              <w:t>C</w:t>
            </w:r>
            <w:r>
              <w:rPr>
                <w:rFonts w:hint="default" w:ascii="Times New Roman" w:hAnsi="Times New Roman" w:eastAsia="宋体" w:cs="Times New Roman"/>
                <w:sz w:val="21"/>
                <w:szCs w:val="21"/>
                <w:vertAlign w:val="subscript"/>
                <w:lang w:val="en-US" w:eastAsia="zh-CN" w:bidi="ar-SA"/>
              </w:rPr>
              <w:t>叠加</w:t>
            </w:r>
            <w:r>
              <w:rPr>
                <w:rFonts w:hint="default" w:ascii="Times New Roman" w:hAnsi="Times New Roman" w:eastAsia="宋体" w:cs="Times New Roman"/>
                <w:sz w:val="21"/>
                <w:szCs w:val="21"/>
                <w:lang w:val="en-US" w:eastAsia="zh-CN" w:bidi="ar-SA"/>
              </w:rPr>
              <w:t>达标□</w:t>
            </w:r>
          </w:p>
        </w:tc>
        <w:tc>
          <w:tcPr>
            <w:tcW w:w="3609" w:type="dxa"/>
            <w:gridSpan w:val="6"/>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eastAsia" w:ascii="Times New Roman" w:cs="Times New Roman"/>
                <w:sz w:val="21"/>
                <w:szCs w:val="21"/>
                <w:lang w:val="en-US" w:eastAsia="zh-CN" w:bidi="ar-SA"/>
              </w:rPr>
              <w:t>C</w:t>
            </w:r>
            <w:r>
              <w:rPr>
                <w:rFonts w:hint="default" w:ascii="Times New Roman" w:hAnsi="Times New Roman" w:eastAsia="宋体" w:cs="Times New Roman"/>
                <w:sz w:val="21"/>
                <w:szCs w:val="21"/>
                <w:vertAlign w:val="subscript"/>
                <w:lang w:val="en-US" w:eastAsia="zh-CN" w:bidi="ar-SA"/>
              </w:rPr>
              <w:t>叠加</w:t>
            </w:r>
            <w:r>
              <w:rPr>
                <w:rFonts w:hint="default" w:ascii="Times New Roman" w:hAnsi="Times New Roman" w:eastAsia="宋体" w:cs="Times New Roman"/>
                <w:sz w:val="21"/>
                <w:szCs w:val="21"/>
                <w:lang w:val="en-US" w:eastAsia="zh-CN" w:bidi="ar-SA"/>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vMerge w:val="continue"/>
            <w:noWrap w:val="0"/>
            <w:vAlign w:val="center"/>
          </w:tcPr>
          <w:p>
            <w:pPr>
              <w:spacing w:line="280" w:lineRule="exact"/>
              <w:jc w:val="center"/>
              <w:rPr>
                <w:rFonts w:hint="default" w:ascii="Times New Roman" w:hAnsi="Times New Roman" w:eastAsia="宋体" w:cs="Times New Roman"/>
                <w:color w:val="000000"/>
                <w:kern w:val="2"/>
                <w:sz w:val="21"/>
                <w:szCs w:val="21"/>
              </w:rPr>
            </w:pPr>
          </w:p>
        </w:tc>
        <w:tc>
          <w:tcPr>
            <w:tcW w:w="1841" w:type="dxa"/>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区域环境质量的整体变化情况</w:t>
            </w:r>
          </w:p>
        </w:tc>
        <w:tc>
          <w:tcPr>
            <w:tcW w:w="3029" w:type="dxa"/>
            <w:gridSpan w:val="9"/>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iCs/>
                <w:sz w:val="21"/>
                <w:szCs w:val="21"/>
                <w:lang w:val="en-US" w:eastAsia="zh-CN" w:bidi="ar-SA"/>
              </w:rPr>
              <w:t xml:space="preserve">k </w:t>
            </w:r>
            <w:r>
              <w:rPr>
                <w:rFonts w:hint="default" w:ascii="Times New Roman" w:hAnsi="Times New Roman" w:eastAsia="宋体" w:cs="Times New Roman"/>
                <w:sz w:val="21"/>
                <w:szCs w:val="21"/>
                <w:lang w:val="en-US" w:eastAsia="zh-CN" w:bidi="ar-SA"/>
              </w:rPr>
              <w:t>≤-20% □</w:t>
            </w:r>
          </w:p>
        </w:tc>
        <w:tc>
          <w:tcPr>
            <w:tcW w:w="3609" w:type="dxa"/>
            <w:gridSpan w:val="6"/>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i/>
                <w:iCs/>
                <w:sz w:val="21"/>
                <w:szCs w:val="21"/>
                <w:lang w:val="en-US" w:eastAsia="zh-CN" w:bidi="ar-SA"/>
              </w:rPr>
              <w:t>k</w:t>
            </w:r>
            <w:r>
              <w:rPr>
                <w:rFonts w:hint="default" w:ascii="Times New Roman" w:hAnsi="Times New Roman" w:eastAsia="宋体" w:cs="Times New Roman"/>
                <w:sz w:val="21"/>
                <w:szCs w:val="21"/>
                <w:lang w:val="en-US" w:eastAsia="zh-CN" w:bidi="ar-SA"/>
              </w:rPr>
              <w:t>＞-20%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vMerge w:val="restart"/>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环境监测计划</w:t>
            </w:r>
          </w:p>
        </w:tc>
        <w:tc>
          <w:tcPr>
            <w:tcW w:w="1841" w:type="dxa"/>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污染源监测</w:t>
            </w:r>
          </w:p>
        </w:tc>
        <w:tc>
          <w:tcPr>
            <w:tcW w:w="2386" w:type="dxa"/>
            <w:gridSpan w:val="7"/>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监测因子：（</w:t>
            </w:r>
            <w:r>
              <w:rPr>
                <w:rFonts w:hint="default" w:ascii="Times New Roman" w:hAnsi="Times New Roman" w:cs="Times New Roman"/>
                <w:kern w:val="0"/>
                <w:sz w:val="21"/>
                <w:szCs w:val="21"/>
              </w:rPr>
              <w:t>PM</w:t>
            </w:r>
            <w:r>
              <w:rPr>
                <w:rFonts w:hint="default" w:ascii="Times New Roman" w:hAnsi="Times New Roman" w:cs="Times New Roman"/>
                <w:kern w:val="0"/>
                <w:sz w:val="21"/>
                <w:szCs w:val="21"/>
                <w:vertAlign w:val="subscript"/>
              </w:rPr>
              <w:t>10</w:t>
            </w:r>
            <w:r>
              <w:rPr>
                <w:rFonts w:hint="default" w:ascii="Times New Roman" w:hAnsi="Times New Roman" w:cs="Times New Roman"/>
                <w:kern w:val="0"/>
                <w:sz w:val="21"/>
                <w:szCs w:val="21"/>
              </w:rPr>
              <w:t>、SO</w:t>
            </w:r>
            <w:r>
              <w:rPr>
                <w:rFonts w:hint="default" w:ascii="Times New Roman" w:hAnsi="Times New Roman" w:cs="Times New Roman"/>
                <w:kern w:val="0"/>
                <w:sz w:val="21"/>
                <w:szCs w:val="21"/>
                <w:vertAlign w:val="subscript"/>
              </w:rPr>
              <w:t>2</w:t>
            </w:r>
            <w:r>
              <w:rPr>
                <w:rFonts w:hint="default" w:ascii="Times New Roman" w:hAnsi="Times New Roman" w:cs="Times New Roman"/>
                <w:kern w:val="0"/>
                <w:sz w:val="21"/>
                <w:szCs w:val="21"/>
              </w:rPr>
              <w:t>、NO</w:t>
            </w:r>
            <w:r>
              <w:rPr>
                <w:rFonts w:hint="default" w:ascii="Times New Roman" w:hAnsi="Times New Roman" w:cs="Times New Roman"/>
                <w:kern w:val="0"/>
                <w:sz w:val="21"/>
                <w:szCs w:val="21"/>
                <w:vertAlign w:val="subscript"/>
              </w:rPr>
              <w:t>2</w:t>
            </w:r>
            <w:r>
              <w:rPr>
                <w:rFonts w:hint="default" w:ascii="Times New Roman" w:hAnsi="Times New Roman" w:cs="Times New Roman"/>
                <w:kern w:val="0"/>
                <w:sz w:val="21"/>
                <w:szCs w:val="21"/>
                <w:vertAlign w:val="subscript"/>
                <w:lang w:eastAsia="zh-CN"/>
              </w:rPr>
              <w:t>、</w:t>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林格曼黑度</w:t>
            </w:r>
            <w:r>
              <w:rPr>
                <w:rFonts w:hint="default" w:ascii="Times New Roman" w:hAnsi="Times New Roman" w:eastAsia="宋体" w:cs="Times New Roman"/>
                <w:sz w:val="21"/>
                <w:szCs w:val="21"/>
                <w:lang w:val="en-US" w:eastAsia="zh-CN" w:bidi="ar-SA"/>
              </w:rPr>
              <w:t>）</w:t>
            </w:r>
          </w:p>
        </w:tc>
        <w:tc>
          <w:tcPr>
            <w:tcW w:w="1984" w:type="dxa"/>
            <w:gridSpan w:val="5"/>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有组织废气监测☑无组织废气监测☑</w:t>
            </w:r>
          </w:p>
        </w:tc>
        <w:tc>
          <w:tcPr>
            <w:tcW w:w="2268" w:type="dxa"/>
            <w:gridSpan w:val="3"/>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无监测□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vMerge w:val="continue"/>
            <w:noWrap w:val="0"/>
            <w:vAlign w:val="center"/>
          </w:tcPr>
          <w:p>
            <w:pPr>
              <w:spacing w:line="280" w:lineRule="exact"/>
              <w:jc w:val="center"/>
              <w:rPr>
                <w:rFonts w:hint="default" w:ascii="Times New Roman" w:hAnsi="Times New Roman" w:eastAsia="宋体" w:cs="Times New Roman"/>
                <w:color w:val="000000"/>
                <w:kern w:val="2"/>
                <w:sz w:val="21"/>
                <w:szCs w:val="21"/>
              </w:rPr>
            </w:pPr>
          </w:p>
        </w:tc>
        <w:tc>
          <w:tcPr>
            <w:tcW w:w="1841" w:type="dxa"/>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环境质量监测</w:t>
            </w:r>
          </w:p>
        </w:tc>
        <w:tc>
          <w:tcPr>
            <w:tcW w:w="2386" w:type="dxa"/>
            <w:gridSpan w:val="7"/>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监测因子：（</w:t>
            </w:r>
            <w:r>
              <w:rPr>
                <w:rFonts w:hint="eastAsia" w:ascii="Times New Roman" w:cs="Times New Roman"/>
                <w:sz w:val="21"/>
                <w:szCs w:val="21"/>
                <w:lang w:val="en-US" w:eastAsia="zh-CN" w:bidi="ar-SA"/>
              </w:rPr>
              <w:t xml:space="preserve"> </w:t>
            </w:r>
            <w:r>
              <w:rPr>
                <w:rFonts w:hint="default" w:ascii="Times New Roman" w:hAnsi="Times New Roman" w:eastAsia="宋体" w:cs="Times New Roman"/>
                <w:sz w:val="21"/>
                <w:szCs w:val="21"/>
                <w:lang w:val="en-US" w:eastAsia="zh-CN" w:bidi="ar-SA"/>
              </w:rPr>
              <w:t>）</w:t>
            </w:r>
          </w:p>
        </w:tc>
        <w:tc>
          <w:tcPr>
            <w:tcW w:w="1984" w:type="dxa"/>
            <w:gridSpan w:val="5"/>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监测点位数（</w:t>
            </w:r>
            <w:r>
              <w:rPr>
                <w:rFonts w:hint="eastAsia" w:ascii="Times New Roman" w:cs="Times New Roman"/>
                <w:sz w:val="21"/>
                <w:szCs w:val="21"/>
                <w:lang w:val="en-US" w:eastAsia="zh-CN" w:bidi="ar-SA"/>
              </w:rPr>
              <w:t xml:space="preserve"> </w:t>
            </w:r>
            <w:r>
              <w:rPr>
                <w:rFonts w:hint="default" w:ascii="Times New Roman" w:hAnsi="Times New Roman" w:eastAsia="宋体" w:cs="Times New Roman"/>
                <w:sz w:val="21"/>
                <w:szCs w:val="21"/>
                <w:lang w:val="en-US" w:eastAsia="zh-CN" w:bidi="ar-SA"/>
              </w:rPr>
              <w:t>）</w:t>
            </w:r>
          </w:p>
        </w:tc>
        <w:tc>
          <w:tcPr>
            <w:tcW w:w="2268" w:type="dxa"/>
            <w:gridSpan w:val="3"/>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无监测</w:t>
            </w:r>
            <w:r>
              <w:rPr>
                <w:rFonts w:hint="eastAsia" w:ascii="Times New Roman" w:cs="Times New Roman"/>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vMerge w:val="restart"/>
            <w:noWrap w:val="0"/>
            <w:vAlign w:val="center"/>
          </w:tcPr>
          <w:p>
            <w:pPr>
              <w:spacing w:line="280" w:lineRule="exact"/>
              <w:jc w:val="center"/>
              <w:rPr>
                <w:rFonts w:hint="default" w:ascii="Times New Roman" w:hAnsi="Times New Roman" w:eastAsia="宋体" w:cs="Times New Roman"/>
                <w:color w:val="000000"/>
                <w:kern w:val="2"/>
                <w:sz w:val="21"/>
                <w:szCs w:val="21"/>
              </w:rPr>
            </w:pPr>
            <w:r>
              <w:rPr>
                <w:rFonts w:hint="default" w:ascii="Times New Roman" w:hAnsi="Times New Roman" w:eastAsia="宋体" w:cs="Times New Roman"/>
                <w:sz w:val="21"/>
                <w:szCs w:val="21"/>
                <w:lang w:val="en-US" w:eastAsia="zh-CN" w:bidi="ar-SA"/>
              </w:rPr>
              <w:t>评价结论</w:t>
            </w:r>
          </w:p>
        </w:tc>
        <w:tc>
          <w:tcPr>
            <w:tcW w:w="1841" w:type="dxa"/>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环境影响</w:t>
            </w:r>
          </w:p>
        </w:tc>
        <w:tc>
          <w:tcPr>
            <w:tcW w:w="6638" w:type="dxa"/>
            <w:gridSpan w:val="15"/>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可以接受☑         不可以接受□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vMerge w:val="continue"/>
            <w:noWrap w:val="0"/>
            <w:vAlign w:val="center"/>
          </w:tcPr>
          <w:p>
            <w:pPr>
              <w:spacing w:line="280" w:lineRule="exact"/>
              <w:jc w:val="center"/>
              <w:rPr>
                <w:rFonts w:hint="default" w:ascii="Times New Roman" w:hAnsi="Times New Roman" w:eastAsia="宋体" w:cs="Times New Roman"/>
                <w:color w:val="000000"/>
                <w:kern w:val="2"/>
                <w:sz w:val="21"/>
                <w:szCs w:val="21"/>
              </w:rPr>
            </w:pPr>
          </w:p>
        </w:tc>
        <w:tc>
          <w:tcPr>
            <w:tcW w:w="1841" w:type="dxa"/>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大气环境防护距离</w:t>
            </w:r>
          </w:p>
        </w:tc>
        <w:tc>
          <w:tcPr>
            <w:tcW w:w="6638" w:type="dxa"/>
            <w:gridSpan w:val="15"/>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距（）厂界最远（）m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8" w:type="dxa"/>
            <w:vMerge w:val="continue"/>
            <w:noWrap w:val="0"/>
            <w:vAlign w:val="center"/>
          </w:tcPr>
          <w:p>
            <w:pPr>
              <w:spacing w:line="280" w:lineRule="exact"/>
              <w:jc w:val="center"/>
              <w:rPr>
                <w:rFonts w:hint="default" w:ascii="Times New Roman" w:hAnsi="Times New Roman" w:eastAsia="宋体" w:cs="Times New Roman"/>
                <w:color w:val="000000"/>
                <w:kern w:val="2"/>
                <w:sz w:val="21"/>
                <w:szCs w:val="21"/>
              </w:rPr>
            </w:pPr>
          </w:p>
        </w:tc>
        <w:tc>
          <w:tcPr>
            <w:tcW w:w="1841" w:type="dxa"/>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污染源年排放量</w:t>
            </w:r>
          </w:p>
        </w:tc>
        <w:tc>
          <w:tcPr>
            <w:tcW w:w="1484" w:type="dxa"/>
            <w:gridSpan w:val="3"/>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bidi="ar-SA"/>
              </w:rPr>
              <w:t>SO</w:t>
            </w:r>
            <w:r>
              <w:rPr>
                <w:rFonts w:hint="default" w:ascii="Times New Roman" w:hAnsi="Times New Roman" w:eastAsia="宋体" w:cs="Times New Roman"/>
                <w:sz w:val="18"/>
                <w:szCs w:val="18"/>
                <w:vertAlign w:val="subscript"/>
                <w:lang w:val="en-US" w:eastAsia="zh-CN" w:bidi="ar-SA"/>
              </w:rPr>
              <w:t>2</w:t>
            </w:r>
            <w:r>
              <w:rPr>
                <w:rFonts w:hint="default" w:ascii="Times New Roman" w:hAnsi="Times New Roman" w:eastAsia="宋体" w:cs="Times New Roman"/>
                <w:sz w:val="18"/>
                <w:szCs w:val="18"/>
                <w:lang w:val="en-US" w:eastAsia="zh-CN" w:bidi="ar-SA"/>
              </w:rPr>
              <w:t>：（0.</w:t>
            </w:r>
            <w:r>
              <w:rPr>
                <w:rFonts w:hint="eastAsia" w:ascii="Times New Roman" w:hAnsi="Times New Roman" w:eastAsia="宋体" w:cs="Times New Roman"/>
                <w:sz w:val="18"/>
                <w:szCs w:val="18"/>
                <w:lang w:val="en-US" w:eastAsia="zh-CN" w:bidi="ar-SA"/>
              </w:rPr>
              <w:t>23</w:t>
            </w:r>
            <w:r>
              <w:rPr>
                <w:rFonts w:hint="default" w:ascii="Times New Roman" w:hAnsi="Times New Roman" w:eastAsia="宋体" w:cs="Times New Roman"/>
                <w:sz w:val="18"/>
                <w:szCs w:val="18"/>
                <w:lang w:val="en-US" w:eastAsia="zh-CN" w:bidi="ar-SA"/>
              </w:rPr>
              <w:t>）t/a</w:t>
            </w:r>
          </w:p>
        </w:tc>
        <w:tc>
          <w:tcPr>
            <w:tcW w:w="1545" w:type="dxa"/>
            <w:gridSpan w:val="6"/>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bidi="ar-SA"/>
              </w:rPr>
              <w:t>NOx:：（0.</w:t>
            </w:r>
            <w:r>
              <w:rPr>
                <w:rFonts w:hint="eastAsia" w:ascii="Times New Roman" w:hAnsi="Times New Roman" w:eastAsia="宋体" w:cs="Times New Roman"/>
                <w:sz w:val="18"/>
                <w:szCs w:val="18"/>
                <w:lang w:val="en-US" w:eastAsia="zh-CN" w:bidi="ar-SA"/>
              </w:rPr>
              <w:t>49</w:t>
            </w:r>
            <w:r>
              <w:rPr>
                <w:rFonts w:hint="default" w:ascii="Times New Roman" w:hAnsi="Times New Roman" w:eastAsia="宋体" w:cs="Times New Roman"/>
                <w:sz w:val="18"/>
                <w:szCs w:val="18"/>
                <w:lang w:val="en-US" w:eastAsia="zh-CN" w:bidi="ar-SA"/>
              </w:rPr>
              <w:t>）t/a</w:t>
            </w:r>
          </w:p>
        </w:tc>
        <w:tc>
          <w:tcPr>
            <w:tcW w:w="1767" w:type="dxa"/>
            <w:gridSpan w:val="4"/>
            <w:noWrap w:val="0"/>
            <w:vAlign w:val="center"/>
          </w:tcPr>
          <w:p>
            <w:pPr>
              <w:widowControl w:val="0"/>
              <w:autoSpaceDE w:val="0"/>
              <w:autoSpaceDN w:val="0"/>
              <w:adjustRightInd w:val="0"/>
              <w:spacing w:line="280" w:lineRule="exact"/>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bidi="ar-SA"/>
              </w:rPr>
              <w:t>颗粒物：（0.144）t/a</w:t>
            </w:r>
          </w:p>
        </w:tc>
        <w:tc>
          <w:tcPr>
            <w:tcW w:w="1842" w:type="dxa"/>
            <w:gridSpan w:val="2"/>
            <w:noWrap w:val="0"/>
            <w:vAlign w:val="center"/>
          </w:tcPr>
          <w:p>
            <w:pPr>
              <w:widowControl w:val="0"/>
              <w:autoSpaceDE w:val="0"/>
              <w:autoSpaceDN w:val="0"/>
              <w:adjustRightInd w:val="0"/>
              <w:spacing w:line="280" w:lineRule="exact"/>
              <w:rPr>
                <w:rFonts w:hint="default" w:ascii="Times New Roman" w:hAnsi="Times New Roman" w:eastAsia="宋体" w:cs="Times New Roman"/>
                <w:sz w:val="18"/>
                <w:szCs w:val="18"/>
                <w:lang w:val="en-US" w:eastAsia="zh-CN" w:bidi="ar-SA"/>
              </w:rPr>
            </w:pPr>
            <w:r>
              <w:rPr>
                <w:rFonts w:hint="eastAsia" w:ascii="Times New Roman" w:cs="Times New Roman"/>
                <w:sz w:val="18"/>
                <w:szCs w:val="18"/>
                <w:lang w:val="en-US" w:eastAsia="zh-CN" w:bidi="ar-SA"/>
              </w:rPr>
              <w:t>汞</w:t>
            </w:r>
            <w:r>
              <w:rPr>
                <w:rFonts w:hint="default" w:ascii="Times New Roman" w:hAnsi="Times New Roman" w:eastAsia="宋体" w:cs="Times New Roman"/>
                <w:sz w:val="18"/>
                <w:szCs w:val="18"/>
                <w:lang w:val="en-US" w:eastAsia="zh-CN" w:bidi="ar-SA"/>
              </w:rPr>
              <w:t>：（</w:t>
            </w:r>
            <w:r>
              <w:rPr>
                <w:rFonts w:hint="eastAsia" w:ascii="Times New Roman" w:cs="Times New Roman"/>
                <w:bCs/>
                <w:color w:val="000000" w:themeColor="text1"/>
                <w:kern w:val="2"/>
                <w:sz w:val="18"/>
                <w:szCs w:val="18"/>
                <w:highlight w:val="none"/>
                <w:lang w:val="en-US" w:eastAsia="zh-CN"/>
                <w14:textFill>
                  <w14:solidFill>
                    <w14:schemeClr w14:val="tx1"/>
                  </w14:solidFill>
                </w14:textFill>
              </w:rPr>
              <w:t>6.37</w:t>
            </w:r>
            <w:r>
              <w:rPr>
                <w:rFonts w:hint="default" w:ascii="Times New Roman" w:hAnsi="Times New Roman" w:eastAsia="宋体" w:cs="Times New Roman"/>
                <w:bCs/>
                <w:color w:val="000000" w:themeColor="text1"/>
                <w:kern w:val="2"/>
                <w:sz w:val="18"/>
                <w:szCs w:val="18"/>
                <w:highlight w:val="none"/>
                <w:lang w:val="en-US" w:eastAsia="zh-CN"/>
                <w14:textFill>
                  <w14:solidFill>
                    <w14:schemeClr w14:val="tx1"/>
                  </w14:solidFill>
                </w14:textFill>
              </w:rPr>
              <w:t>×10</w:t>
            </w:r>
            <w:r>
              <w:rPr>
                <w:rFonts w:hint="default" w:ascii="Times New Roman" w:hAnsi="Times New Roman" w:eastAsia="宋体" w:cs="Times New Roman"/>
                <w:bCs/>
                <w:color w:val="000000" w:themeColor="text1"/>
                <w:kern w:val="2"/>
                <w:sz w:val="18"/>
                <w:szCs w:val="18"/>
                <w:highlight w:val="none"/>
                <w:vertAlign w:val="superscript"/>
                <w:lang w:val="en-US" w:eastAsia="zh-CN"/>
                <w14:textFill>
                  <w14:solidFill>
                    <w14:schemeClr w14:val="tx1"/>
                  </w14:solidFill>
                </w14:textFill>
              </w:rPr>
              <w:t>-6</w:t>
            </w:r>
            <w:r>
              <w:rPr>
                <w:rFonts w:hint="eastAsia" w:ascii="Times New Roman" w:cs="Times New Roman"/>
                <w:bCs/>
                <w:color w:val="000000" w:themeColor="text1"/>
                <w:kern w:val="2"/>
                <w:sz w:val="18"/>
                <w:szCs w:val="18"/>
                <w:highlight w:val="none"/>
                <w:lang w:val="en-US" w:eastAsia="zh-CN"/>
                <w14:textFill>
                  <w14:solidFill>
                    <w14:schemeClr w14:val="tx1"/>
                  </w14:solidFill>
                </w14:textFill>
              </w:rPr>
              <w:t xml:space="preserve"> </w:t>
            </w:r>
            <w:r>
              <w:rPr>
                <w:rFonts w:hint="default" w:ascii="Times New Roman" w:hAnsi="Times New Roman" w:eastAsia="宋体" w:cs="Times New Roman"/>
                <w:sz w:val="18"/>
                <w:szCs w:val="18"/>
                <w:lang w:val="en-US" w:eastAsia="zh-CN" w:bidi="ar-SA"/>
              </w:rPr>
              <w:t>）t/a</w:t>
            </w:r>
            <w:r>
              <w:rPr>
                <w:rFonts w:hint="eastAsia" w:ascii="Times New Roman" w:cs="Times New Roman"/>
                <w:sz w:val="18"/>
                <w:szCs w:val="18"/>
                <w:lang w:val="en-US" w:eastAsia="zh-CN" w:bidi="ar-SA"/>
              </w:rPr>
              <w:t>；CO</w:t>
            </w:r>
            <w:r>
              <w:rPr>
                <w:rFonts w:hint="default" w:ascii="Times New Roman" w:hAnsi="Times New Roman" w:eastAsia="宋体" w:cs="Times New Roman"/>
                <w:sz w:val="18"/>
                <w:szCs w:val="18"/>
                <w:lang w:val="en-US" w:eastAsia="zh-CN" w:bidi="ar-SA"/>
              </w:rPr>
              <w:t>：</w:t>
            </w:r>
            <w:r>
              <w:rPr>
                <w:rFonts w:hint="eastAsia" w:ascii="Times New Roman" w:cs="Times New Roman"/>
                <w:sz w:val="18"/>
                <w:szCs w:val="18"/>
                <w:lang w:val="en-US" w:eastAsia="zh-CN" w:bidi="ar-SA"/>
              </w:rPr>
              <w:t>（2.02）</w:t>
            </w:r>
            <w:r>
              <w:rPr>
                <w:rFonts w:hint="default" w:ascii="Times New Roman" w:hAnsi="Times New Roman" w:eastAsia="宋体" w:cs="Times New Roman"/>
                <w:sz w:val="18"/>
                <w:szCs w:val="18"/>
                <w:lang w:val="en-US" w:eastAsia="zh-CN" w:bidi="ar-SA"/>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47" w:type="dxa"/>
            <w:gridSpan w:val="17"/>
            <w:noWrap w:val="0"/>
            <w:vAlign w:val="center"/>
          </w:tcPr>
          <w:p>
            <w:pPr>
              <w:widowControl w:val="0"/>
              <w:autoSpaceDE w:val="0"/>
              <w:autoSpaceDN w:val="0"/>
              <w:adjustRightInd w:val="0"/>
              <w:spacing w:line="280" w:lineRule="exact"/>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注：“□”为勾选项，填“√”；“（）” 为内容填写项</w:t>
            </w:r>
          </w:p>
        </w:tc>
      </w:tr>
    </w:tbl>
    <w:p>
      <w:pPr>
        <w:widowControl/>
        <w:kinsoku w:val="0"/>
        <w:autoSpaceDE w:val="0"/>
        <w:autoSpaceDN w:val="0"/>
        <w:adjustRightInd w:val="0"/>
        <w:snapToGrid w:val="0"/>
        <w:spacing w:line="133" w:lineRule="exact"/>
        <w:jc w:val="left"/>
        <w:textAlignment w:val="baseline"/>
        <w:rPr>
          <w:rFonts w:ascii="Times New Roman" w:hAnsi="Times New Roman" w:eastAsia="Arial" w:cs="Times New Roman"/>
          <w:snapToGrid w:val="0"/>
          <w:color w:val="000000"/>
          <w:kern w:val="0"/>
          <w:sz w:val="21"/>
          <w:szCs w:val="21"/>
          <w:lang w:eastAsia="en-US"/>
        </w:rPr>
      </w:pPr>
    </w:p>
    <w:p>
      <w:pPr>
        <w:ind w:firstLine="0"/>
        <w:jc w:val="center"/>
        <w:rPr>
          <w:rFonts w:ascii="Times New Roman" w:cs="Times New Roman"/>
        </w:rPr>
        <w:sectPr>
          <w:footerReference r:id="rId9" w:type="default"/>
          <w:pgSz w:w="11905" w:h="16781"/>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rPr>
          <w:rFonts w:hint="default" w:ascii="Times New Roman" w:hAnsi="Times New Roman" w:cs="Times New Roman"/>
          <w:highlight w:val="green"/>
          <w:lang w:val="en-US" w:eastAsia="zh-CN"/>
        </w:rPr>
      </w:pPr>
    </w:p>
    <w:sectPr>
      <w:footerReference r:id="rId10" w:type="default"/>
      <w:pgSz w:w="11906" w:h="16838"/>
      <w:pgMar w:top="720" w:right="720" w:bottom="720" w:left="720" w:header="851" w:footer="850" w:gutter="0"/>
      <w:pgBorders>
        <w:top w:val="none" w:sz="0" w:space="0"/>
        <w:left w:val="none" w:sz="0" w:space="0"/>
        <w:bottom w:val="none" w:sz="0" w:space="0"/>
        <w:right w:val="none" w:sz="0" w:space="0"/>
      </w:pgBorders>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微软雅黑">
    <w:panose1 w:val="020B0503020204020204"/>
    <w:charset w:val="86"/>
    <w:family w:val="auto"/>
    <w:pitch w:val="default"/>
    <w:sig w:usb0="80000287" w:usb1="280F3C52" w:usb2="00000016" w:usb3="00000000" w:csb0="0004001F" w:csb1="00000000"/>
  </w:font>
  <w:font w:name="Georgia">
    <w:panose1 w:val="02040502050405020303"/>
    <w:charset w:val="00"/>
    <w:family w:val="roman"/>
    <w:pitch w:val="default"/>
    <w:sig w:usb0="00000287" w:usb1="00000000" w:usb2="00000000" w:usb3="00000000" w:csb0="2000009F" w:csb1="00000000"/>
  </w:font>
  <w:font w:name="仿宋_GB2312">
    <w:altName w:val="仿宋"/>
    <w:panose1 w:val="02010609030101010101"/>
    <w:charset w:val="86"/>
    <w:family w:val="modern"/>
    <w:pitch w:val="default"/>
    <w:sig w:usb0="00000000" w:usb1="00000000" w:usb2="00000000" w:usb3="00000000" w:csb0="00040000" w:csb1="00000000"/>
  </w:font>
  <w:font w:name="方正书宋简体">
    <w:altName w:val="宋体"/>
    <w:panose1 w:val="00000000000000000000"/>
    <w:charset w:val="86"/>
    <w:family w:val="auto"/>
    <w:pitch w:val="default"/>
    <w:sig w:usb0="00000000" w:usb1="00000000" w:usb2="00000000" w:usb3="00000000" w:csb0="00040000" w:csb1="00000000"/>
  </w:font>
  <w:font w:name="TimesNewRomanPSMT">
    <w:altName w:val="Times New Roman"/>
    <w:panose1 w:val="00000000000000000000"/>
    <w:charset w:val="80"/>
    <w:family w:val="auto"/>
    <w:pitch w:val="default"/>
    <w:sig w:usb0="00000000" w:usb1="00000000" w:usb2="00000000" w:usb3="00000000" w:csb0="00020000" w:csb1="00000000"/>
  </w:font>
  <w:font w:name="宋体u">
    <w:altName w:val="宋体"/>
    <w:panose1 w:val="00000000000000000000"/>
    <w:charset w:val="86"/>
    <w:family w:val="roman"/>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SimSun-ExtB">
    <w:panose1 w:val="02010609060101010101"/>
    <w:charset w:val="86"/>
    <w:family w:val="modern"/>
    <w:pitch w:val="default"/>
    <w:sig w:usb0="00000001" w:usb1="02000000" w:usb2="00000000"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rStyle w:val="42"/>
        <w:rFonts w:ascii="宋体" w:hAnsi="宋体"/>
        <w:sz w:val="28"/>
        <w:szCs w:val="28"/>
      </w:rPr>
    </w:pPr>
    <w:r>
      <w:rPr>
        <w:rStyle w:val="42"/>
        <w:rFonts w:hint="eastAsia" w:ascii="宋体" w:hAnsi="宋体"/>
        <w:sz w:val="20"/>
      </w:rPr>
      <w:t xml:space="preserve">  </w:t>
    </w:r>
  </w:p>
  <w:p>
    <w:pPr>
      <w:pStyle w:val="2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rFonts w:hint="default" w:ascii="Times New Roman" w:hAnsi="Times New Roman" w:eastAsia="宋体" w:cs="Times New Roman"/>
        <w:lang w:eastAsia="zh-CN"/>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rFonts w:hint="default" w:ascii="Times New Roman" w:hAnsi="Times New Roman" w:eastAsia="宋体" w:cs="Times New Roman"/>
        <w:lang w:eastAsia="zh-CN"/>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oJhw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R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oJhwzAgAAZQQAAA4AAAAAAAAAAQAgAAAAHwEAAGRycy9lMm9Eb2MueG1sUEsF&#10;BgAAAAAGAAYAWQEAAMQ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rFonts w:hint="eastAsia" w:eastAsia="宋体"/>
        <w:lang w:eastAsia="zh-CN"/>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right="360"/>
      <w:jc w:val="left"/>
      <w:rPr>
        <w:rFonts w:ascii="Times New Roman" w:hAnsi="Times New Roman" w:eastAsia="宋体" w:cs="Times New Roman"/>
        <w:kern w:val="0"/>
        <w:sz w:val="18"/>
        <w:szCs w:val="20"/>
        <w:lang w:val="en-US" w:eastAsia="zh-CN" w:bidi="ar-SA"/>
      </w:rPr>
    </w:pPr>
    <w:r>
      <w:rPr>
        <w:sz w:val="18"/>
      </w:rPr>
      <mc:AlternateContent>
        <mc:Choice Requires="wps">
          <w:drawing>
            <wp:anchor distT="0" distB="0" distL="114300" distR="114300" simplePos="0" relativeHeight="251672576" behindDoc="0" locked="0" layoutInCell="1" allowOverlap="1">
              <wp:simplePos x="0" y="0"/>
              <wp:positionH relativeFrom="margin">
                <wp:posOffset>2617470</wp:posOffset>
              </wp:positionH>
              <wp:positionV relativeFrom="paragraph">
                <wp:posOffset>-408305</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4"/>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51</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6.1pt;margin-top:-32.15pt;height:144pt;width:144pt;mso-position-horizontal-relative:margin;mso-wrap-style:none;z-index:251672576;mso-width-relative:page;mso-height-relative:page;" filled="f" stroked="f" coordsize="21600,21600" o:gfxdata="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a3ExNgAAAALAQAADwAAAAAAAAABACAAAAAiAAAAZHJzL2Rvd25yZXYu&#10;eG1sUEsBAhQAFAAAAAgAh07iQNJWav40AgAAZQQAAA4AAAAAAAAAAQAgAAAAJwEAAGRycy9lMm9E&#10;b2MueG1sUEsFBgAAAAAGAAYAWQEAAM0FAAAAAA==&#10;">
              <v:fill on="f" focussize="0,0"/>
              <v:stroke on="f" weight="0.5pt"/>
              <v:imagedata o:title=""/>
              <o:lock v:ext="edit" aspectratio="f"/>
              <v:textbox inset="0mm,0mm,0mm,0mm" style="mso-fit-shape-to-text:t;">
                <w:txbxContent>
                  <w:p>
                    <w:pPr>
                      <w:pStyle w:val="24"/>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51</w:t>
                    </w:r>
                    <w:r>
                      <w:rPr>
                        <w:rFonts w:hint="default" w:ascii="Times New Roman" w:hAnsi="Times New Roman" w:cs="Times New Roma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right="360" w:firstLine="360"/>
      <w:jc w:val="center"/>
      <w:rPr>
        <w:rFonts w:ascii="Times New Roman" w:hAnsi="Times New Roman" w:eastAsia="宋体" w:cs="Times New Roman"/>
        <w:kern w:val="0"/>
        <w:sz w:val="18"/>
        <w:szCs w:val="20"/>
        <w:lang w:val="en-US" w:eastAsia="zh-CN" w:bidi="ar-SA"/>
      </w:rPr>
    </w:pPr>
    <w:r>
      <w:rPr>
        <w:rFonts w:ascii="Times New Roman" w:hAnsi="Times New Roman" w:eastAsia="宋体" w:cs="Times New Roman"/>
        <w:kern w:val="0"/>
        <w:sz w:val="18"/>
        <w:szCs w:val="20"/>
        <w:lang w:val="en-US" w:eastAsia="zh-CN" w:bidi="ar-SA"/>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val="0"/>
                            <w:snapToGrid w:val="0"/>
                            <w:jc w:val="left"/>
                            <w:rPr>
                              <w:rFonts w:ascii="Times New Roman" w:hAnsi="Times New Roman" w:eastAsia="宋体" w:cs="Times New Roman"/>
                              <w:kern w:val="0"/>
                              <w:sz w:val="18"/>
                              <w:szCs w:val="20"/>
                              <w:lang w:val="en-US" w:eastAsia="zh-CN" w:bidi="ar-SA"/>
                            </w:rPr>
                          </w:pPr>
                          <w:r>
                            <w:rPr>
                              <w:rFonts w:ascii="Times New Roman" w:hAnsi="Times New Roman" w:eastAsia="宋体" w:cs="Times New Roman"/>
                              <w:kern w:val="0"/>
                              <w:sz w:val="18"/>
                              <w:szCs w:val="20"/>
                              <w:lang w:val="en-US" w:eastAsia="zh-CN" w:bidi="ar-SA"/>
                            </w:rPr>
                            <w:fldChar w:fldCharType="begin"/>
                          </w:r>
                          <w:r>
                            <w:rPr>
                              <w:rFonts w:ascii="Times New Roman" w:hAnsi="Times New Roman" w:eastAsia="宋体" w:cs="Times New Roman"/>
                              <w:kern w:val="0"/>
                              <w:sz w:val="18"/>
                              <w:szCs w:val="20"/>
                              <w:lang w:val="en-US" w:eastAsia="zh-CN" w:bidi="ar-SA"/>
                            </w:rPr>
                            <w:instrText xml:space="preserve"> PAGE  \* MERGEFORMAT </w:instrText>
                          </w:r>
                          <w:r>
                            <w:rPr>
                              <w:rFonts w:ascii="Times New Roman" w:hAnsi="Times New Roman" w:eastAsia="宋体" w:cs="Times New Roman"/>
                              <w:kern w:val="0"/>
                              <w:sz w:val="18"/>
                              <w:szCs w:val="20"/>
                              <w:lang w:val="en-US" w:eastAsia="zh-CN" w:bidi="ar-SA"/>
                            </w:rPr>
                            <w:fldChar w:fldCharType="separate"/>
                          </w:r>
                          <w:r>
                            <w:rPr>
                              <w:rFonts w:ascii="Times New Roman" w:hAnsi="Times New Roman" w:eastAsia="宋体" w:cs="Times New Roman"/>
                              <w:kern w:val="0"/>
                              <w:sz w:val="18"/>
                              <w:szCs w:val="20"/>
                              <w:lang w:val="en-US" w:eastAsia="zh-CN" w:bidi="ar-SA"/>
                            </w:rPr>
                            <w:t>60</w:t>
                          </w:r>
                          <w:r>
                            <w:rPr>
                              <w:rFonts w:ascii="Times New Roman" w:hAnsi="Times New Roman" w:eastAsia="宋体" w:cs="Times New Roman"/>
                              <w:kern w:val="0"/>
                              <w:sz w:val="18"/>
                              <w:szCs w:val="20"/>
                              <w:lang w:val="en-US" w:eastAsia="zh-CN"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cgStckBAACd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5xE5ZvKHHc4sgv379dfvy6/PxK&#10;shMl6gPUmPkQMDcNd37A9NkP6MzMBxVt/iIngnEU+HwVWA6JiPxovVqvKwwJjM0XxGePz0OE9FZ6&#10;S7LR0IgTLMLy03tIY+qckqs5f6+NKVM07i8HYmYPy72PPWYrDfthIrT37Rn59Dj8hjrcdUrMO4fa&#10;5j2ZjTgb+9k4hqgPXVmkXA/C7TFhE6W3XGGEnQrj1Aq7acPyWvx5L1mPf9X2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5yBK1yQEAAJ0DAAAOAAAAAAAAAAEAIAAAAB4BAABkcnMvZTJvRG9j&#10;LnhtbFBLBQYAAAAABgAGAFkBAABZBQAAAAA=&#10;">
              <v:fill on="f" focussize="0,0"/>
              <v:stroke on="f"/>
              <v:imagedata o:title=""/>
              <o:lock v:ext="edit" aspectratio="f"/>
              <v:textbox inset="0mm,0mm,0mm,0mm" style="mso-fit-shape-to-text:t;">
                <w:txbxContent>
                  <w:p>
                    <w:pPr>
                      <w:widowControl w:val="0"/>
                      <w:snapToGrid w:val="0"/>
                      <w:jc w:val="left"/>
                      <w:rPr>
                        <w:rFonts w:ascii="Times New Roman" w:hAnsi="Times New Roman" w:eastAsia="宋体" w:cs="Times New Roman"/>
                        <w:kern w:val="0"/>
                        <w:sz w:val="18"/>
                        <w:szCs w:val="20"/>
                        <w:lang w:val="en-US" w:eastAsia="zh-CN" w:bidi="ar-SA"/>
                      </w:rPr>
                    </w:pPr>
                    <w:r>
                      <w:rPr>
                        <w:rFonts w:ascii="Times New Roman" w:hAnsi="Times New Roman" w:eastAsia="宋体" w:cs="Times New Roman"/>
                        <w:kern w:val="0"/>
                        <w:sz w:val="18"/>
                        <w:szCs w:val="20"/>
                        <w:lang w:val="en-US" w:eastAsia="zh-CN" w:bidi="ar-SA"/>
                      </w:rPr>
                      <w:fldChar w:fldCharType="begin"/>
                    </w:r>
                    <w:r>
                      <w:rPr>
                        <w:rFonts w:ascii="Times New Roman" w:hAnsi="Times New Roman" w:eastAsia="宋体" w:cs="Times New Roman"/>
                        <w:kern w:val="0"/>
                        <w:sz w:val="18"/>
                        <w:szCs w:val="20"/>
                        <w:lang w:val="en-US" w:eastAsia="zh-CN" w:bidi="ar-SA"/>
                      </w:rPr>
                      <w:instrText xml:space="preserve"> PAGE  \* MERGEFORMAT </w:instrText>
                    </w:r>
                    <w:r>
                      <w:rPr>
                        <w:rFonts w:ascii="Times New Roman" w:hAnsi="Times New Roman" w:eastAsia="宋体" w:cs="Times New Roman"/>
                        <w:kern w:val="0"/>
                        <w:sz w:val="18"/>
                        <w:szCs w:val="20"/>
                        <w:lang w:val="en-US" w:eastAsia="zh-CN" w:bidi="ar-SA"/>
                      </w:rPr>
                      <w:fldChar w:fldCharType="separate"/>
                    </w:r>
                    <w:r>
                      <w:rPr>
                        <w:rFonts w:ascii="Times New Roman" w:hAnsi="Times New Roman" w:eastAsia="宋体" w:cs="Times New Roman"/>
                        <w:kern w:val="0"/>
                        <w:sz w:val="18"/>
                        <w:szCs w:val="20"/>
                        <w:lang w:val="en-US" w:eastAsia="zh-CN" w:bidi="ar-SA"/>
                      </w:rPr>
                      <w:t>60</w:t>
                    </w:r>
                    <w:r>
                      <w:rPr>
                        <w:rFonts w:ascii="Times New Roman" w:hAnsi="Times New Roman" w:eastAsia="宋体" w:cs="Times New Roman"/>
                        <w:kern w:val="0"/>
                        <w:sz w:val="18"/>
                        <w:szCs w:val="20"/>
                        <w:lang w:val="en-US" w:eastAsia="zh-CN" w:bidi="ar-S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jc w:val="right"/>
      <w:rPr>
        <w:rFonts w:ascii="宋体" w:hAnsi="宋体" w:eastAsia="宋体" w:cs="宋体"/>
        <w:sz w:val="28"/>
        <w:szCs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1"/>
      </w:pBdr>
      <w:tabs>
        <w:tab w:val="left" w:pos="8120"/>
      </w:tabs>
      <w:jc w:val="left"/>
      <w:rPr>
        <w:rFonts w:hint="eastAsia" w:eastAsia="宋体"/>
        <w:lang w:eastAsia="zh-CN"/>
      </w:rPr>
    </w:pPr>
    <w:r>
      <w:rPr>
        <w:rFonts w:hint="eastAsia"/>
        <w:lang w:eastAsia="zh-CN"/>
      </w:rPr>
      <w:tab/>
    </w: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C956EF"/>
    <w:multiLevelType w:val="multilevel"/>
    <w:tmpl w:val="1DC956EF"/>
    <w:lvl w:ilvl="0" w:tentative="0">
      <w:start w:val="1"/>
      <w:numFmt w:val="decimal"/>
      <w:pStyle w:val="118"/>
      <w:lvlText w:val="图%1 "/>
      <w:lvlJc w:val="left"/>
      <w:pPr>
        <w:ind w:left="3840" w:hanging="420"/>
      </w:pPr>
      <w:rPr>
        <w:rFonts w:hint="eastAsia"/>
        <w:b/>
        <w:sz w:val="21"/>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33EF1FC1"/>
    <w:multiLevelType w:val="multilevel"/>
    <w:tmpl w:val="33EF1FC1"/>
    <w:lvl w:ilvl="0" w:tentative="0">
      <w:start w:val="1"/>
      <w:numFmt w:val="decimal"/>
      <w:lvlText w:val="%1"/>
      <w:lvlJc w:val="left"/>
      <w:pPr>
        <w:ind w:left="0" w:firstLine="0"/>
      </w:pPr>
      <w:rPr>
        <w:rFonts w:hint="default" w:ascii="Times New Roman" w:hAnsi="Times New Roman" w:cs="Times New Roman"/>
      </w:rPr>
    </w:lvl>
    <w:lvl w:ilvl="1" w:tentative="0">
      <w:start w:val="1"/>
      <w:numFmt w:val="decimal"/>
      <w:pStyle w:val="115"/>
      <w:lvlText w:val="%1.%2"/>
      <w:lvlJc w:val="left"/>
      <w:pPr>
        <w:ind w:left="0" w:firstLine="0"/>
      </w:pPr>
      <w:rPr>
        <w:rFonts w:hint="eastAsia"/>
      </w:rPr>
    </w:lvl>
    <w:lvl w:ilvl="2" w:tentative="0">
      <w:start w:val="1"/>
      <w:numFmt w:val="decimal"/>
      <w:lvlText w:val="%1.%2.%3"/>
      <w:lvlJc w:val="left"/>
      <w:pPr>
        <w:ind w:left="0" w:firstLine="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34C45DA5"/>
    <w:multiLevelType w:val="singleLevel"/>
    <w:tmpl w:val="34C45DA5"/>
    <w:lvl w:ilvl="0" w:tentative="0">
      <w:start w:val="1"/>
      <w:numFmt w:val="bullet"/>
      <w:pStyle w:val="20"/>
      <w:lvlText w:val=""/>
      <w:lvlJc w:val="left"/>
      <w:pPr>
        <w:tabs>
          <w:tab w:val="left" w:pos="2040"/>
        </w:tabs>
        <w:ind w:left="2040" w:hanging="360"/>
      </w:pPr>
      <w:rPr>
        <w:rFonts w:hint="default" w:ascii="Wingdings" w:hAnsi="Wingdings"/>
      </w:rPr>
    </w:lvl>
  </w:abstractNum>
  <w:abstractNum w:abstractNumId="3">
    <w:nsid w:val="36970A70"/>
    <w:multiLevelType w:val="multilevel"/>
    <w:tmpl w:val="36970A70"/>
    <w:lvl w:ilvl="0" w:tentative="0">
      <w:start w:val="1"/>
      <w:numFmt w:val="decimal"/>
      <w:pStyle w:val="108"/>
      <w:lvlText w:val="表%1 "/>
      <w:lvlJc w:val="left"/>
      <w:pPr>
        <w:ind w:left="10206" w:hanging="420"/>
      </w:pPr>
      <w:rPr>
        <w:rFonts w:hint="default" w:ascii="Times New Roman" w:hAnsi="Times New Roman" w:cs="Times New Roman"/>
        <w:b/>
        <w:bCs w:val="0"/>
        <w:i w:val="0"/>
        <w:iCs w:val="0"/>
        <w:caps w:val="0"/>
        <w:smallCaps w:val="0"/>
        <w:strike w:val="0"/>
        <w:dstrike w:val="0"/>
        <w:vanish w:val="0"/>
        <w:color w:val="000000"/>
        <w:spacing w:val="0"/>
        <w:position w:val="0"/>
        <w:sz w:val="21"/>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ABE1E7E"/>
    <w:multiLevelType w:val="singleLevel"/>
    <w:tmpl w:val="6ABE1E7E"/>
    <w:lvl w:ilvl="0" w:tentative="0">
      <w:start w:val="1"/>
      <w:numFmt w:val="decimal"/>
      <w:suff w:val="nothing"/>
      <w:lvlText w:val="%1、"/>
      <w:lvlJc w:val="left"/>
      <w:pPr>
        <w:ind w:left="-4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YwNmFmMDEyMzM0MTNlM2IyZDM5YjdmMDg2ZTUyN2IifQ=="/>
    <w:docVar w:name="KSO_WPS_MARK_KEY" w:val="4b612e81-0a7b-4ddf-ac9f-0f1923d52dac"/>
  </w:docVars>
  <w:rsids>
    <w:rsidRoot w:val="00172A27"/>
    <w:rsid w:val="000060B3"/>
    <w:rsid w:val="0004364B"/>
    <w:rsid w:val="00056F0E"/>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6754"/>
    <w:rsid w:val="002B7B00"/>
    <w:rsid w:val="002B7C44"/>
    <w:rsid w:val="002C2B17"/>
    <w:rsid w:val="002D3DD0"/>
    <w:rsid w:val="002E1F3A"/>
    <w:rsid w:val="002E23A7"/>
    <w:rsid w:val="002E298A"/>
    <w:rsid w:val="00301978"/>
    <w:rsid w:val="0030332C"/>
    <w:rsid w:val="003051C2"/>
    <w:rsid w:val="00312296"/>
    <w:rsid w:val="00314F0E"/>
    <w:rsid w:val="00321D8E"/>
    <w:rsid w:val="003257D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43C"/>
    <w:rsid w:val="004855F6"/>
    <w:rsid w:val="0048661E"/>
    <w:rsid w:val="00494670"/>
    <w:rsid w:val="004A3823"/>
    <w:rsid w:val="004C33B4"/>
    <w:rsid w:val="004E6946"/>
    <w:rsid w:val="004F1AD8"/>
    <w:rsid w:val="005039CB"/>
    <w:rsid w:val="0050558F"/>
    <w:rsid w:val="00506286"/>
    <w:rsid w:val="00510813"/>
    <w:rsid w:val="00511990"/>
    <w:rsid w:val="00511DE0"/>
    <w:rsid w:val="00514870"/>
    <w:rsid w:val="00514B9B"/>
    <w:rsid w:val="00517F02"/>
    <w:rsid w:val="00524303"/>
    <w:rsid w:val="005258A2"/>
    <w:rsid w:val="00532FFD"/>
    <w:rsid w:val="005401AE"/>
    <w:rsid w:val="00542E07"/>
    <w:rsid w:val="00545424"/>
    <w:rsid w:val="00554A7B"/>
    <w:rsid w:val="0055572C"/>
    <w:rsid w:val="005565B2"/>
    <w:rsid w:val="0056106A"/>
    <w:rsid w:val="005720AE"/>
    <w:rsid w:val="00594D77"/>
    <w:rsid w:val="005969E4"/>
    <w:rsid w:val="005A06B7"/>
    <w:rsid w:val="005A1759"/>
    <w:rsid w:val="005A68A7"/>
    <w:rsid w:val="005A7FDF"/>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0E6C"/>
    <w:rsid w:val="0081293E"/>
    <w:rsid w:val="00815465"/>
    <w:rsid w:val="00817E9A"/>
    <w:rsid w:val="0082053A"/>
    <w:rsid w:val="008306BD"/>
    <w:rsid w:val="00831A80"/>
    <w:rsid w:val="00833743"/>
    <w:rsid w:val="008340A4"/>
    <w:rsid w:val="0087135F"/>
    <w:rsid w:val="00872D94"/>
    <w:rsid w:val="00872FE8"/>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5D66"/>
    <w:rsid w:val="00976328"/>
    <w:rsid w:val="0097680D"/>
    <w:rsid w:val="00982438"/>
    <w:rsid w:val="0098404C"/>
    <w:rsid w:val="00985283"/>
    <w:rsid w:val="00995992"/>
    <w:rsid w:val="009A03E5"/>
    <w:rsid w:val="009A0F3B"/>
    <w:rsid w:val="009A1BB4"/>
    <w:rsid w:val="009A2628"/>
    <w:rsid w:val="009A3200"/>
    <w:rsid w:val="009A4046"/>
    <w:rsid w:val="009A4FF5"/>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C7357"/>
    <w:rsid w:val="00AD055E"/>
    <w:rsid w:val="00AD47A7"/>
    <w:rsid w:val="00AF0CBF"/>
    <w:rsid w:val="00AF257F"/>
    <w:rsid w:val="00AF33CF"/>
    <w:rsid w:val="00AF4D50"/>
    <w:rsid w:val="00AF6179"/>
    <w:rsid w:val="00B1295A"/>
    <w:rsid w:val="00B20A45"/>
    <w:rsid w:val="00B22C5C"/>
    <w:rsid w:val="00B24F30"/>
    <w:rsid w:val="00B31ABF"/>
    <w:rsid w:val="00B33BE3"/>
    <w:rsid w:val="00B470C3"/>
    <w:rsid w:val="00B53B5D"/>
    <w:rsid w:val="00B6055E"/>
    <w:rsid w:val="00B6291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39C6"/>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43ED8"/>
    <w:rsid w:val="00D50A34"/>
    <w:rsid w:val="00D53EFA"/>
    <w:rsid w:val="00D94A7C"/>
    <w:rsid w:val="00D95896"/>
    <w:rsid w:val="00DB2983"/>
    <w:rsid w:val="00DC1257"/>
    <w:rsid w:val="00DC3DC0"/>
    <w:rsid w:val="00DC5B2B"/>
    <w:rsid w:val="00DD318D"/>
    <w:rsid w:val="00DD3B4A"/>
    <w:rsid w:val="00DF2E12"/>
    <w:rsid w:val="00DF514A"/>
    <w:rsid w:val="00DF6690"/>
    <w:rsid w:val="00DF6804"/>
    <w:rsid w:val="00E0358D"/>
    <w:rsid w:val="00E04323"/>
    <w:rsid w:val="00E070A2"/>
    <w:rsid w:val="00E13658"/>
    <w:rsid w:val="00E2656A"/>
    <w:rsid w:val="00E412D0"/>
    <w:rsid w:val="00E56322"/>
    <w:rsid w:val="00E60982"/>
    <w:rsid w:val="00E62C62"/>
    <w:rsid w:val="00E654C1"/>
    <w:rsid w:val="00E65D97"/>
    <w:rsid w:val="00E72A5A"/>
    <w:rsid w:val="00E73354"/>
    <w:rsid w:val="00E9242D"/>
    <w:rsid w:val="00EB5255"/>
    <w:rsid w:val="00EB5C47"/>
    <w:rsid w:val="00EB7533"/>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574D2"/>
    <w:rsid w:val="01057C9A"/>
    <w:rsid w:val="010A434D"/>
    <w:rsid w:val="010A478A"/>
    <w:rsid w:val="01160E54"/>
    <w:rsid w:val="011B3602"/>
    <w:rsid w:val="01290F7E"/>
    <w:rsid w:val="012D046E"/>
    <w:rsid w:val="01360030"/>
    <w:rsid w:val="01361389"/>
    <w:rsid w:val="01374272"/>
    <w:rsid w:val="013C50C9"/>
    <w:rsid w:val="01400A57"/>
    <w:rsid w:val="0144774E"/>
    <w:rsid w:val="015D1E09"/>
    <w:rsid w:val="015F266C"/>
    <w:rsid w:val="01632D5A"/>
    <w:rsid w:val="016375CE"/>
    <w:rsid w:val="016415A1"/>
    <w:rsid w:val="01671D3E"/>
    <w:rsid w:val="016F5649"/>
    <w:rsid w:val="01830E4E"/>
    <w:rsid w:val="018715B9"/>
    <w:rsid w:val="01883711"/>
    <w:rsid w:val="01890953"/>
    <w:rsid w:val="018D561B"/>
    <w:rsid w:val="018F2EE2"/>
    <w:rsid w:val="01A008FA"/>
    <w:rsid w:val="01A02059"/>
    <w:rsid w:val="01A60A42"/>
    <w:rsid w:val="01AD0CFA"/>
    <w:rsid w:val="01BC3C1A"/>
    <w:rsid w:val="01BC724C"/>
    <w:rsid w:val="01C32E7C"/>
    <w:rsid w:val="01D9569E"/>
    <w:rsid w:val="01DF4F20"/>
    <w:rsid w:val="01E21263"/>
    <w:rsid w:val="01EA0C58"/>
    <w:rsid w:val="01FD3324"/>
    <w:rsid w:val="0207285A"/>
    <w:rsid w:val="02082220"/>
    <w:rsid w:val="020C0965"/>
    <w:rsid w:val="02152260"/>
    <w:rsid w:val="021712C1"/>
    <w:rsid w:val="021901D5"/>
    <w:rsid w:val="02210767"/>
    <w:rsid w:val="02331ABF"/>
    <w:rsid w:val="024E4DA0"/>
    <w:rsid w:val="02660451"/>
    <w:rsid w:val="0269396C"/>
    <w:rsid w:val="02697903"/>
    <w:rsid w:val="026A7CF7"/>
    <w:rsid w:val="028D508B"/>
    <w:rsid w:val="029045F8"/>
    <w:rsid w:val="02A0696A"/>
    <w:rsid w:val="02AD4ED0"/>
    <w:rsid w:val="02B26729"/>
    <w:rsid w:val="02B54234"/>
    <w:rsid w:val="02C40969"/>
    <w:rsid w:val="02C7275D"/>
    <w:rsid w:val="02C76E84"/>
    <w:rsid w:val="02CB049A"/>
    <w:rsid w:val="02CE17E8"/>
    <w:rsid w:val="02D04841"/>
    <w:rsid w:val="02D209DC"/>
    <w:rsid w:val="02DC7DEA"/>
    <w:rsid w:val="02E1454A"/>
    <w:rsid w:val="02EE2FB8"/>
    <w:rsid w:val="02F15993"/>
    <w:rsid w:val="02F45E67"/>
    <w:rsid w:val="02F65CB6"/>
    <w:rsid w:val="02F96569"/>
    <w:rsid w:val="02FA4DAF"/>
    <w:rsid w:val="03166D3E"/>
    <w:rsid w:val="031D7C32"/>
    <w:rsid w:val="032B162C"/>
    <w:rsid w:val="033366B3"/>
    <w:rsid w:val="033F10F5"/>
    <w:rsid w:val="03400818"/>
    <w:rsid w:val="0357087B"/>
    <w:rsid w:val="03586306"/>
    <w:rsid w:val="0358645F"/>
    <w:rsid w:val="03595582"/>
    <w:rsid w:val="03660724"/>
    <w:rsid w:val="036A37BE"/>
    <w:rsid w:val="037234DA"/>
    <w:rsid w:val="037F1996"/>
    <w:rsid w:val="038269D7"/>
    <w:rsid w:val="03920D37"/>
    <w:rsid w:val="03947F2E"/>
    <w:rsid w:val="03AD2A09"/>
    <w:rsid w:val="03BB10C4"/>
    <w:rsid w:val="03BD2CA7"/>
    <w:rsid w:val="03C130E8"/>
    <w:rsid w:val="03C65CFD"/>
    <w:rsid w:val="03C74D14"/>
    <w:rsid w:val="03C852FE"/>
    <w:rsid w:val="03C97C6A"/>
    <w:rsid w:val="03CD5A5C"/>
    <w:rsid w:val="03E64243"/>
    <w:rsid w:val="03E81B77"/>
    <w:rsid w:val="03EA7B21"/>
    <w:rsid w:val="03EC28D3"/>
    <w:rsid w:val="03F62CB4"/>
    <w:rsid w:val="03F971D5"/>
    <w:rsid w:val="04061BCF"/>
    <w:rsid w:val="040D3127"/>
    <w:rsid w:val="041D263A"/>
    <w:rsid w:val="041F31ED"/>
    <w:rsid w:val="043B30AA"/>
    <w:rsid w:val="043E6EFB"/>
    <w:rsid w:val="04494AB4"/>
    <w:rsid w:val="04510922"/>
    <w:rsid w:val="04531FA4"/>
    <w:rsid w:val="045337FB"/>
    <w:rsid w:val="0474326C"/>
    <w:rsid w:val="047547FD"/>
    <w:rsid w:val="047E06D1"/>
    <w:rsid w:val="04811285"/>
    <w:rsid w:val="04892511"/>
    <w:rsid w:val="048A5581"/>
    <w:rsid w:val="04902A60"/>
    <w:rsid w:val="04952794"/>
    <w:rsid w:val="049871C8"/>
    <w:rsid w:val="049921FB"/>
    <w:rsid w:val="049E04FC"/>
    <w:rsid w:val="049F0A89"/>
    <w:rsid w:val="04A4706F"/>
    <w:rsid w:val="04B4692A"/>
    <w:rsid w:val="04B87E64"/>
    <w:rsid w:val="04CC0190"/>
    <w:rsid w:val="04DF4805"/>
    <w:rsid w:val="04E0470D"/>
    <w:rsid w:val="04E51AC2"/>
    <w:rsid w:val="04E84EC9"/>
    <w:rsid w:val="04EB1A77"/>
    <w:rsid w:val="04F3135D"/>
    <w:rsid w:val="04F42BE9"/>
    <w:rsid w:val="0511071F"/>
    <w:rsid w:val="051D560D"/>
    <w:rsid w:val="05234E03"/>
    <w:rsid w:val="054F7D40"/>
    <w:rsid w:val="055716E3"/>
    <w:rsid w:val="055908FC"/>
    <w:rsid w:val="056117F9"/>
    <w:rsid w:val="05666F61"/>
    <w:rsid w:val="05902BAE"/>
    <w:rsid w:val="05964998"/>
    <w:rsid w:val="05990BA4"/>
    <w:rsid w:val="059E2BC4"/>
    <w:rsid w:val="05A82B13"/>
    <w:rsid w:val="05C4429D"/>
    <w:rsid w:val="05C504FE"/>
    <w:rsid w:val="05CD098A"/>
    <w:rsid w:val="05D00D9E"/>
    <w:rsid w:val="05D5169F"/>
    <w:rsid w:val="05DE0AFF"/>
    <w:rsid w:val="05F13880"/>
    <w:rsid w:val="05F63407"/>
    <w:rsid w:val="05F8039C"/>
    <w:rsid w:val="05F83EAE"/>
    <w:rsid w:val="060A6FDB"/>
    <w:rsid w:val="060F2577"/>
    <w:rsid w:val="0615050E"/>
    <w:rsid w:val="062C5131"/>
    <w:rsid w:val="062E2CC9"/>
    <w:rsid w:val="06353583"/>
    <w:rsid w:val="063E7D85"/>
    <w:rsid w:val="0644571C"/>
    <w:rsid w:val="064552D9"/>
    <w:rsid w:val="064918B1"/>
    <w:rsid w:val="06497B03"/>
    <w:rsid w:val="064A5629"/>
    <w:rsid w:val="06502FF3"/>
    <w:rsid w:val="06520FB2"/>
    <w:rsid w:val="065D0319"/>
    <w:rsid w:val="065E72D9"/>
    <w:rsid w:val="06624E3F"/>
    <w:rsid w:val="06707780"/>
    <w:rsid w:val="067467CF"/>
    <w:rsid w:val="06763A43"/>
    <w:rsid w:val="0681731D"/>
    <w:rsid w:val="068B5869"/>
    <w:rsid w:val="069208B1"/>
    <w:rsid w:val="06946CCD"/>
    <w:rsid w:val="069A171E"/>
    <w:rsid w:val="069C74D3"/>
    <w:rsid w:val="069D7E4F"/>
    <w:rsid w:val="06A30E28"/>
    <w:rsid w:val="06A723DB"/>
    <w:rsid w:val="06AC3372"/>
    <w:rsid w:val="06AF67B8"/>
    <w:rsid w:val="06B0313F"/>
    <w:rsid w:val="06BE19F9"/>
    <w:rsid w:val="06D806C7"/>
    <w:rsid w:val="06D922FC"/>
    <w:rsid w:val="06E42BB6"/>
    <w:rsid w:val="06E52D43"/>
    <w:rsid w:val="06E730D7"/>
    <w:rsid w:val="06ED1D01"/>
    <w:rsid w:val="06F07788"/>
    <w:rsid w:val="06F22157"/>
    <w:rsid w:val="06F860EE"/>
    <w:rsid w:val="07113557"/>
    <w:rsid w:val="0721134C"/>
    <w:rsid w:val="0724301F"/>
    <w:rsid w:val="0725531D"/>
    <w:rsid w:val="07293586"/>
    <w:rsid w:val="07295285"/>
    <w:rsid w:val="072A4A44"/>
    <w:rsid w:val="0749066C"/>
    <w:rsid w:val="075F3658"/>
    <w:rsid w:val="0761464D"/>
    <w:rsid w:val="07636392"/>
    <w:rsid w:val="07646B9C"/>
    <w:rsid w:val="07682CD9"/>
    <w:rsid w:val="076B2230"/>
    <w:rsid w:val="076C26E0"/>
    <w:rsid w:val="07716ADF"/>
    <w:rsid w:val="07770C56"/>
    <w:rsid w:val="077D2F91"/>
    <w:rsid w:val="078A6863"/>
    <w:rsid w:val="07956347"/>
    <w:rsid w:val="07993444"/>
    <w:rsid w:val="079A1870"/>
    <w:rsid w:val="079D1E4D"/>
    <w:rsid w:val="079E185C"/>
    <w:rsid w:val="07AF4C1F"/>
    <w:rsid w:val="07B21C4A"/>
    <w:rsid w:val="07B46B78"/>
    <w:rsid w:val="07BE0AB9"/>
    <w:rsid w:val="07C1191B"/>
    <w:rsid w:val="07C65FCA"/>
    <w:rsid w:val="07D50615"/>
    <w:rsid w:val="07D84EEC"/>
    <w:rsid w:val="07E54555"/>
    <w:rsid w:val="07E76067"/>
    <w:rsid w:val="07EA2E61"/>
    <w:rsid w:val="07EA4B5E"/>
    <w:rsid w:val="07F0689F"/>
    <w:rsid w:val="08097777"/>
    <w:rsid w:val="081B55E6"/>
    <w:rsid w:val="081C5F9B"/>
    <w:rsid w:val="08227C47"/>
    <w:rsid w:val="08271B45"/>
    <w:rsid w:val="084364C3"/>
    <w:rsid w:val="085F33CA"/>
    <w:rsid w:val="08751876"/>
    <w:rsid w:val="087A7D4E"/>
    <w:rsid w:val="088222C8"/>
    <w:rsid w:val="088F2968"/>
    <w:rsid w:val="08956644"/>
    <w:rsid w:val="089C76BE"/>
    <w:rsid w:val="089D69AA"/>
    <w:rsid w:val="08B95862"/>
    <w:rsid w:val="08C67D5B"/>
    <w:rsid w:val="08C77405"/>
    <w:rsid w:val="08DC2854"/>
    <w:rsid w:val="08E666CB"/>
    <w:rsid w:val="08FC7E48"/>
    <w:rsid w:val="090434A6"/>
    <w:rsid w:val="09184E7B"/>
    <w:rsid w:val="09192756"/>
    <w:rsid w:val="092217DD"/>
    <w:rsid w:val="09352129"/>
    <w:rsid w:val="093A7294"/>
    <w:rsid w:val="093C1A41"/>
    <w:rsid w:val="0942537C"/>
    <w:rsid w:val="094577CC"/>
    <w:rsid w:val="09466999"/>
    <w:rsid w:val="094F6438"/>
    <w:rsid w:val="095768E9"/>
    <w:rsid w:val="095F11A6"/>
    <w:rsid w:val="09614259"/>
    <w:rsid w:val="097771E5"/>
    <w:rsid w:val="097A7E4C"/>
    <w:rsid w:val="09837C32"/>
    <w:rsid w:val="098759F8"/>
    <w:rsid w:val="098875C6"/>
    <w:rsid w:val="099530EA"/>
    <w:rsid w:val="09965F73"/>
    <w:rsid w:val="09A137B2"/>
    <w:rsid w:val="09A82EFF"/>
    <w:rsid w:val="09A9188A"/>
    <w:rsid w:val="09B63A79"/>
    <w:rsid w:val="09B857AD"/>
    <w:rsid w:val="09C8299C"/>
    <w:rsid w:val="09CC7FB3"/>
    <w:rsid w:val="09E314C3"/>
    <w:rsid w:val="09E45383"/>
    <w:rsid w:val="09E54A69"/>
    <w:rsid w:val="09FA336A"/>
    <w:rsid w:val="0A042A75"/>
    <w:rsid w:val="0A054343"/>
    <w:rsid w:val="0A066F50"/>
    <w:rsid w:val="0A0E4B58"/>
    <w:rsid w:val="0A16130F"/>
    <w:rsid w:val="0A1B6CF0"/>
    <w:rsid w:val="0A263993"/>
    <w:rsid w:val="0A2C5CC6"/>
    <w:rsid w:val="0A2D3AC2"/>
    <w:rsid w:val="0A34487F"/>
    <w:rsid w:val="0A374B21"/>
    <w:rsid w:val="0A3C4EDA"/>
    <w:rsid w:val="0A435C37"/>
    <w:rsid w:val="0A4776CC"/>
    <w:rsid w:val="0A524142"/>
    <w:rsid w:val="0A575703"/>
    <w:rsid w:val="0A59216B"/>
    <w:rsid w:val="0A6A4724"/>
    <w:rsid w:val="0A7230AF"/>
    <w:rsid w:val="0A7758EB"/>
    <w:rsid w:val="0A7B5A01"/>
    <w:rsid w:val="0A8E2AA6"/>
    <w:rsid w:val="0A8F29C2"/>
    <w:rsid w:val="0A9037A2"/>
    <w:rsid w:val="0A9E16FB"/>
    <w:rsid w:val="0AA755DF"/>
    <w:rsid w:val="0AB03C2A"/>
    <w:rsid w:val="0AB06515"/>
    <w:rsid w:val="0AB319EF"/>
    <w:rsid w:val="0ABE7207"/>
    <w:rsid w:val="0AC95567"/>
    <w:rsid w:val="0ACA0D27"/>
    <w:rsid w:val="0AD11E75"/>
    <w:rsid w:val="0AD33551"/>
    <w:rsid w:val="0AD57BB7"/>
    <w:rsid w:val="0ADA341F"/>
    <w:rsid w:val="0ADE1F50"/>
    <w:rsid w:val="0ADF66D1"/>
    <w:rsid w:val="0AE71764"/>
    <w:rsid w:val="0AE72F16"/>
    <w:rsid w:val="0AF168D1"/>
    <w:rsid w:val="0AF32D02"/>
    <w:rsid w:val="0AF50915"/>
    <w:rsid w:val="0AFA5800"/>
    <w:rsid w:val="0B017ED6"/>
    <w:rsid w:val="0B072115"/>
    <w:rsid w:val="0B0B3626"/>
    <w:rsid w:val="0B0D650E"/>
    <w:rsid w:val="0B120D44"/>
    <w:rsid w:val="0B1E1C49"/>
    <w:rsid w:val="0B257454"/>
    <w:rsid w:val="0B2810CA"/>
    <w:rsid w:val="0B30787B"/>
    <w:rsid w:val="0B382447"/>
    <w:rsid w:val="0B382BBA"/>
    <w:rsid w:val="0B3907BB"/>
    <w:rsid w:val="0B3C75C9"/>
    <w:rsid w:val="0B3E31E9"/>
    <w:rsid w:val="0B4844DA"/>
    <w:rsid w:val="0B5142D0"/>
    <w:rsid w:val="0B542C78"/>
    <w:rsid w:val="0B5A4692"/>
    <w:rsid w:val="0B5A6758"/>
    <w:rsid w:val="0B681AC4"/>
    <w:rsid w:val="0B6B4077"/>
    <w:rsid w:val="0B715670"/>
    <w:rsid w:val="0B732561"/>
    <w:rsid w:val="0B7A3061"/>
    <w:rsid w:val="0B7D6431"/>
    <w:rsid w:val="0B834D56"/>
    <w:rsid w:val="0B8542E8"/>
    <w:rsid w:val="0B9054CD"/>
    <w:rsid w:val="0B91714A"/>
    <w:rsid w:val="0B944A82"/>
    <w:rsid w:val="0B9C5E8D"/>
    <w:rsid w:val="0B9F7F10"/>
    <w:rsid w:val="0BA82E2F"/>
    <w:rsid w:val="0BAA52EB"/>
    <w:rsid w:val="0BAB4DBC"/>
    <w:rsid w:val="0BB2233B"/>
    <w:rsid w:val="0BC84CC6"/>
    <w:rsid w:val="0BCF1B73"/>
    <w:rsid w:val="0BCF5D5A"/>
    <w:rsid w:val="0BD016E7"/>
    <w:rsid w:val="0BD02715"/>
    <w:rsid w:val="0BD27BF6"/>
    <w:rsid w:val="0BD44C4C"/>
    <w:rsid w:val="0BE6732B"/>
    <w:rsid w:val="0BF22A76"/>
    <w:rsid w:val="0BF32F26"/>
    <w:rsid w:val="0BF7536C"/>
    <w:rsid w:val="0C063B77"/>
    <w:rsid w:val="0C0722AD"/>
    <w:rsid w:val="0C0F18DA"/>
    <w:rsid w:val="0C1119D9"/>
    <w:rsid w:val="0C1B657A"/>
    <w:rsid w:val="0C261018"/>
    <w:rsid w:val="0C2D4DEB"/>
    <w:rsid w:val="0C300E1D"/>
    <w:rsid w:val="0C36598C"/>
    <w:rsid w:val="0C3B3C7D"/>
    <w:rsid w:val="0C3C5199"/>
    <w:rsid w:val="0C406F11"/>
    <w:rsid w:val="0C443037"/>
    <w:rsid w:val="0C475E64"/>
    <w:rsid w:val="0C496645"/>
    <w:rsid w:val="0C572706"/>
    <w:rsid w:val="0C6436D2"/>
    <w:rsid w:val="0C740124"/>
    <w:rsid w:val="0C7A660C"/>
    <w:rsid w:val="0C7B478E"/>
    <w:rsid w:val="0C861DA9"/>
    <w:rsid w:val="0C923886"/>
    <w:rsid w:val="0C997624"/>
    <w:rsid w:val="0CA34097"/>
    <w:rsid w:val="0CA43CE5"/>
    <w:rsid w:val="0CAB2EAE"/>
    <w:rsid w:val="0CB4275B"/>
    <w:rsid w:val="0CBF07DA"/>
    <w:rsid w:val="0CC75415"/>
    <w:rsid w:val="0CCD74EE"/>
    <w:rsid w:val="0CCE43E9"/>
    <w:rsid w:val="0CD6695C"/>
    <w:rsid w:val="0CD971AA"/>
    <w:rsid w:val="0CDF772F"/>
    <w:rsid w:val="0CEB7501"/>
    <w:rsid w:val="0CEE07A7"/>
    <w:rsid w:val="0CF34DDE"/>
    <w:rsid w:val="0CF544B1"/>
    <w:rsid w:val="0CF752ED"/>
    <w:rsid w:val="0CFA1295"/>
    <w:rsid w:val="0CFE35CF"/>
    <w:rsid w:val="0D071F87"/>
    <w:rsid w:val="0D1B3C76"/>
    <w:rsid w:val="0D2B087A"/>
    <w:rsid w:val="0D2B7150"/>
    <w:rsid w:val="0D304DDD"/>
    <w:rsid w:val="0D3D2152"/>
    <w:rsid w:val="0D480AC0"/>
    <w:rsid w:val="0D591416"/>
    <w:rsid w:val="0D595042"/>
    <w:rsid w:val="0D621C7D"/>
    <w:rsid w:val="0D691B6A"/>
    <w:rsid w:val="0D69480E"/>
    <w:rsid w:val="0D6A1939"/>
    <w:rsid w:val="0D764D13"/>
    <w:rsid w:val="0D8F2F65"/>
    <w:rsid w:val="0D961154"/>
    <w:rsid w:val="0D98330E"/>
    <w:rsid w:val="0D9A717B"/>
    <w:rsid w:val="0D9B3D09"/>
    <w:rsid w:val="0D9D30FD"/>
    <w:rsid w:val="0DA03808"/>
    <w:rsid w:val="0DA32561"/>
    <w:rsid w:val="0DA616C5"/>
    <w:rsid w:val="0DAD5F41"/>
    <w:rsid w:val="0DBE5D38"/>
    <w:rsid w:val="0DE23A56"/>
    <w:rsid w:val="0DF3479A"/>
    <w:rsid w:val="0E007546"/>
    <w:rsid w:val="0E0358BB"/>
    <w:rsid w:val="0E046A95"/>
    <w:rsid w:val="0E0D57A4"/>
    <w:rsid w:val="0E191852"/>
    <w:rsid w:val="0E255E7E"/>
    <w:rsid w:val="0E27694F"/>
    <w:rsid w:val="0E292281"/>
    <w:rsid w:val="0E3A6855"/>
    <w:rsid w:val="0E452DCB"/>
    <w:rsid w:val="0E4861A3"/>
    <w:rsid w:val="0E540133"/>
    <w:rsid w:val="0E5650FF"/>
    <w:rsid w:val="0E606168"/>
    <w:rsid w:val="0E651E8C"/>
    <w:rsid w:val="0E73034D"/>
    <w:rsid w:val="0E7A61EE"/>
    <w:rsid w:val="0E874546"/>
    <w:rsid w:val="0E9865DA"/>
    <w:rsid w:val="0E987D80"/>
    <w:rsid w:val="0E993E8A"/>
    <w:rsid w:val="0E9F2602"/>
    <w:rsid w:val="0EA01159"/>
    <w:rsid w:val="0EA21BED"/>
    <w:rsid w:val="0EAE0E4B"/>
    <w:rsid w:val="0EB1615D"/>
    <w:rsid w:val="0EBB4510"/>
    <w:rsid w:val="0EBD6D0A"/>
    <w:rsid w:val="0EBE7CA1"/>
    <w:rsid w:val="0EDB18E3"/>
    <w:rsid w:val="0EDD2830"/>
    <w:rsid w:val="0F017A3E"/>
    <w:rsid w:val="0F085ED5"/>
    <w:rsid w:val="0F0D55ED"/>
    <w:rsid w:val="0F13775A"/>
    <w:rsid w:val="0F1A5E0D"/>
    <w:rsid w:val="0F232198"/>
    <w:rsid w:val="0F232348"/>
    <w:rsid w:val="0F294FD2"/>
    <w:rsid w:val="0F2972B5"/>
    <w:rsid w:val="0F2D47FF"/>
    <w:rsid w:val="0F2D55AE"/>
    <w:rsid w:val="0F311DBD"/>
    <w:rsid w:val="0F432ED7"/>
    <w:rsid w:val="0F452E31"/>
    <w:rsid w:val="0F4A3B69"/>
    <w:rsid w:val="0F4E3FAD"/>
    <w:rsid w:val="0F5F45FE"/>
    <w:rsid w:val="0F681D8B"/>
    <w:rsid w:val="0F722CAE"/>
    <w:rsid w:val="0F732F86"/>
    <w:rsid w:val="0F77263A"/>
    <w:rsid w:val="0F7742EB"/>
    <w:rsid w:val="0F7D4443"/>
    <w:rsid w:val="0F8C278D"/>
    <w:rsid w:val="0F8D31B1"/>
    <w:rsid w:val="0F952BE5"/>
    <w:rsid w:val="0F9A112B"/>
    <w:rsid w:val="0F9D0EBF"/>
    <w:rsid w:val="0FAC6382"/>
    <w:rsid w:val="0FB95690"/>
    <w:rsid w:val="0FBA3368"/>
    <w:rsid w:val="0FC56F03"/>
    <w:rsid w:val="0FCD070F"/>
    <w:rsid w:val="0FD05CFA"/>
    <w:rsid w:val="0FD12380"/>
    <w:rsid w:val="0FD52407"/>
    <w:rsid w:val="0FD541B5"/>
    <w:rsid w:val="0FDD32C2"/>
    <w:rsid w:val="0FDD4A36"/>
    <w:rsid w:val="0FE80D2E"/>
    <w:rsid w:val="0FEB59E5"/>
    <w:rsid w:val="0FFE354E"/>
    <w:rsid w:val="1001075C"/>
    <w:rsid w:val="10102E2E"/>
    <w:rsid w:val="10335554"/>
    <w:rsid w:val="103933DC"/>
    <w:rsid w:val="10461248"/>
    <w:rsid w:val="10477507"/>
    <w:rsid w:val="104A1A9C"/>
    <w:rsid w:val="104C3B78"/>
    <w:rsid w:val="10556B72"/>
    <w:rsid w:val="1060774A"/>
    <w:rsid w:val="10677C5B"/>
    <w:rsid w:val="10695BA1"/>
    <w:rsid w:val="10697D02"/>
    <w:rsid w:val="106D2F64"/>
    <w:rsid w:val="106F1BA7"/>
    <w:rsid w:val="10730070"/>
    <w:rsid w:val="107D521F"/>
    <w:rsid w:val="10865F9B"/>
    <w:rsid w:val="10991C3A"/>
    <w:rsid w:val="10A72299"/>
    <w:rsid w:val="10A87B1C"/>
    <w:rsid w:val="10B3242D"/>
    <w:rsid w:val="10B63710"/>
    <w:rsid w:val="10B77ADA"/>
    <w:rsid w:val="10C218E1"/>
    <w:rsid w:val="10E10CCB"/>
    <w:rsid w:val="10E220F9"/>
    <w:rsid w:val="10E977E3"/>
    <w:rsid w:val="10F10820"/>
    <w:rsid w:val="10F334D4"/>
    <w:rsid w:val="10F51D5F"/>
    <w:rsid w:val="1102616A"/>
    <w:rsid w:val="110C53C5"/>
    <w:rsid w:val="11196A9C"/>
    <w:rsid w:val="111B720A"/>
    <w:rsid w:val="111C2F7A"/>
    <w:rsid w:val="11232018"/>
    <w:rsid w:val="112A662C"/>
    <w:rsid w:val="113A623D"/>
    <w:rsid w:val="114175FB"/>
    <w:rsid w:val="11460813"/>
    <w:rsid w:val="114A487D"/>
    <w:rsid w:val="11526EC5"/>
    <w:rsid w:val="115A034A"/>
    <w:rsid w:val="11665CA1"/>
    <w:rsid w:val="11690433"/>
    <w:rsid w:val="117513B4"/>
    <w:rsid w:val="11776DB7"/>
    <w:rsid w:val="117E4242"/>
    <w:rsid w:val="1181088F"/>
    <w:rsid w:val="11814DE5"/>
    <w:rsid w:val="11832E0C"/>
    <w:rsid w:val="118E7F3E"/>
    <w:rsid w:val="11910CE0"/>
    <w:rsid w:val="119D07FE"/>
    <w:rsid w:val="11AA0B5C"/>
    <w:rsid w:val="11B56C0E"/>
    <w:rsid w:val="11B971EC"/>
    <w:rsid w:val="11C17334"/>
    <w:rsid w:val="11D20B9B"/>
    <w:rsid w:val="11D230A2"/>
    <w:rsid w:val="11E12877"/>
    <w:rsid w:val="11E903F3"/>
    <w:rsid w:val="11EF021E"/>
    <w:rsid w:val="11F84CDB"/>
    <w:rsid w:val="11FC441D"/>
    <w:rsid w:val="12150BE9"/>
    <w:rsid w:val="1217409B"/>
    <w:rsid w:val="121B302B"/>
    <w:rsid w:val="121C2CF3"/>
    <w:rsid w:val="1222710A"/>
    <w:rsid w:val="12317ADF"/>
    <w:rsid w:val="12492C39"/>
    <w:rsid w:val="124C4EE4"/>
    <w:rsid w:val="12625008"/>
    <w:rsid w:val="1264323B"/>
    <w:rsid w:val="126668BC"/>
    <w:rsid w:val="127B2E60"/>
    <w:rsid w:val="127D6F89"/>
    <w:rsid w:val="12821EEF"/>
    <w:rsid w:val="128706C8"/>
    <w:rsid w:val="128A0CDE"/>
    <w:rsid w:val="128C660F"/>
    <w:rsid w:val="128C79B1"/>
    <w:rsid w:val="128C7F51"/>
    <w:rsid w:val="12BB70E5"/>
    <w:rsid w:val="12C85C7B"/>
    <w:rsid w:val="12D547F3"/>
    <w:rsid w:val="12E1036D"/>
    <w:rsid w:val="12E47870"/>
    <w:rsid w:val="12E8791C"/>
    <w:rsid w:val="12E94387"/>
    <w:rsid w:val="12EE6BE5"/>
    <w:rsid w:val="12EF38AA"/>
    <w:rsid w:val="12F069DC"/>
    <w:rsid w:val="12F2272F"/>
    <w:rsid w:val="130C12A6"/>
    <w:rsid w:val="13242F4E"/>
    <w:rsid w:val="132E4DF9"/>
    <w:rsid w:val="133100A8"/>
    <w:rsid w:val="133567EE"/>
    <w:rsid w:val="13474577"/>
    <w:rsid w:val="134B3791"/>
    <w:rsid w:val="13556D20"/>
    <w:rsid w:val="13617194"/>
    <w:rsid w:val="13681B04"/>
    <w:rsid w:val="13697552"/>
    <w:rsid w:val="13764716"/>
    <w:rsid w:val="13775C89"/>
    <w:rsid w:val="137B2A03"/>
    <w:rsid w:val="137B5FCA"/>
    <w:rsid w:val="13951726"/>
    <w:rsid w:val="13A26AA4"/>
    <w:rsid w:val="13B22B04"/>
    <w:rsid w:val="13B23681"/>
    <w:rsid w:val="13BC6D3C"/>
    <w:rsid w:val="13BF0534"/>
    <w:rsid w:val="13BF4EB6"/>
    <w:rsid w:val="13C4348A"/>
    <w:rsid w:val="13D8747F"/>
    <w:rsid w:val="13EF6631"/>
    <w:rsid w:val="13F230CE"/>
    <w:rsid w:val="13F31882"/>
    <w:rsid w:val="13F87CA8"/>
    <w:rsid w:val="13FC0364"/>
    <w:rsid w:val="140343F0"/>
    <w:rsid w:val="140C1063"/>
    <w:rsid w:val="140E1F95"/>
    <w:rsid w:val="14126200"/>
    <w:rsid w:val="143567FE"/>
    <w:rsid w:val="14396509"/>
    <w:rsid w:val="143C4622"/>
    <w:rsid w:val="14405889"/>
    <w:rsid w:val="14495172"/>
    <w:rsid w:val="14521847"/>
    <w:rsid w:val="145514C6"/>
    <w:rsid w:val="145F6743"/>
    <w:rsid w:val="14612683"/>
    <w:rsid w:val="146A7258"/>
    <w:rsid w:val="14846C16"/>
    <w:rsid w:val="14907869"/>
    <w:rsid w:val="14A04983"/>
    <w:rsid w:val="14B70E1D"/>
    <w:rsid w:val="14BF4D49"/>
    <w:rsid w:val="14CF02F8"/>
    <w:rsid w:val="14DD2C3C"/>
    <w:rsid w:val="14E52725"/>
    <w:rsid w:val="14FB512F"/>
    <w:rsid w:val="15052AF0"/>
    <w:rsid w:val="15087AEB"/>
    <w:rsid w:val="15140E04"/>
    <w:rsid w:val="151F7E54"/>
    <w:rsid w:val="152A1AFE"/>
    <w:rsid w:val="15405173"/>
    <w:rsid w:val="155516F3"/>
    <w:rsid w:val="155A3ADB"/>
    <w:rsid w:val="157C7F3F"/>
    <w:rsid w:val="157E0BCD"/>
    <w:rsid w:val="15822FBD"/>
    <w:rsid w:val="158C7873"/>
    <w:rsid w:val="1590340D"/>
    <w:rsid w:val="15917211"/>
    <w:rsid w:val="15973175"/>
    <w:rsid w:val="159B6280"/>
    <w:rsid w:val="15B77499"/>
    <w:rsid w:val="15BB3E4D"/>
    <w:rsid w:val="15BE05D3"/>
    <w:rsid w:val="15C22A7F"/>
    <w:rsid w:val="15C73AA2"/>
    <w:rsid w:val="15D540BB"/>
    <w:rsid w:val="15E50252"/>
    <w:rsid w:val="15EE39EC"/>
    <w:rsid w:val="15FC04AF"/>
    <w:rsid w:val="15FC6AEF"/>
    <w:rsid w:val="15FD4521"/>
    <w:rsid w:val="16024864"/>
    <w:rsid w:val="16087E1D"/>
    <w:rsid w:val="16163F55"/>
    <w:rsid w:val="1629044C"/>
    <w:rsid w:val="162B0FD3"/>
    <w:rsid w:val="162B21B8"/>
    <w:rsid w:val="162B220D"/>
    <w:rsid w:val="16345040"/>
    <w:rsid w:val="164128AB"/>
    <w:rsid w:val="16462D9B"/>
    <w:rsid w:val="16540B55"/>
    <w:rsid w:val="16581F4E"/>
    <w:rsid w:val="16597938"/>
    <w:rsid w:val="165B1A9F"/>
    <w:rsid w:val="165B2F3A"/>
    <w:rsid w:val="1662223A"/>
    <w:rsid w:val="16753FAA"/>
    <w:rsid w:val="167636A0"/>
    <w:rsid w:val="16782057"/>
    <w:rsid w:val="168D72CC"/>
    <w:rsid w:val="16AF0370"/>
    <w:rsid w:val="16C16063"/>
    <w:rsid w:val="16C621F4"/>
    <w:rsid w:val="16C950A4"/>
    <w:rsid w:val="16D02202"/>
    <w:rsid w:val="16E265F5"/>
    <w:rsid w:val="16E37BDC"/>
    <w:rsid w:val="16F529D1"/>
    <w:rsid w:val="16F855F4"/>
    <w:rsid w:val="16FB2CF3"/>
    <w:rsid w:val="16FC5218"/>
    <w:rsid w:val="170651A8"/>
    <w:rsid w:val="17091CDA"/>
    <w:rsid w:val="170C63DC"/>
    <w:rsid w:val="17143815"/>
    <w:rsid w:val="1714697C"/>
    <w:rsid w:val="17177DC7"/>
    <w:rsid w:val="1719672F"/>
    <w:rsid w:val="1728610E"/>
    <w:rsid w:val="172A2A40"/>
    <w:rsid w:val="172A3039"/>
    <w:rsid w:val="17475EAE"/>
    <w:rsid w:val="174F15E4"/>
    <w:rsid w:val="17514A69"/>
    <w:rsid w:val="175760A1"/>
    <w:rsid w:val="175D05A4"/>
    <w:rsid w:val="175D1B68"/>
    <w:rsid w:val="17604CBE"/>
    <w:rsid w:val="176061CE"/>
    <w:rsid w:val="17691F4F"/>
    <w:rsid w:val="176A27B1"/>
    <w:rsid w:val="17701D14"/>
    <w:rsid w:val="17735226"/>
    <w:rsid w:val="1774119B"/>
    <w:rsid w:val="177955F9"/>
    <w:rsid w:val="177F2A56"/>
    <w:rsid w:val="17851BD8"/>
    <w:rsid w:val="17885FB1"/>
    <w:rsid w:val="179A6F54"/>
    <w:rsid w:val="179D7AB8"/>
    <w:rsid w:val="179E39C4"/>
    <w:rsid w:val="17A304CA"/>
    <w:rsid w:val="17AF3BBF"/>
    <w:rsid w:val="17B1612E"/>
    <w:rsid w:val="17B430CF"/>
    <w:rsid w:val="17B76A56"/>
    <w:rsid w:val="17BA3273"/>
    <w:rsid w:val="17BC598B"/>
    <w:rsid w:val="17CF7297"/>
    <w:rsid w:val="17D10471"/>
    <w:rsid w:val="17DE18E7"/>
    <w:rsid w:val="17F40606"/>
    <w:rsid w:val="17F85A56"/>
    <w:rsid w:val="17FC2FAC"/>
    <w:rsid w:val="18081707"/>
    <w:rsid w:val="18122A25"/>
    <w:rsid w:val="181B3377"/>
    <w:rsid w:val="181E6054"/>
    <w:rsid w:val="18203CF8"/>
    <w:rsid w:val="18230639"/>
    <w:rsid w:val="183112BA"/>
    <w:rsid w:val="183B18CA"/>
    <w:rsid w:val="1841264D"/>
    <w:rsid w:val="185B256C"/>
    <w:rsid w:val="18665C97"/>
    <w:rsid w:val="18685436"/>
    <w:rsid w:val="186E7E6A"/>
    <w:rsid w:val="187A33FB"/>
    <w:rsid w:val="187B65CD"/>
    <w:rsid w:val="188130D9"/>
    <w:rsid w:val="188A0607"/>
    <w:rsid w:val="188B43D5"/>
    <w:rsid w:val="188D727F"/>
    <w:rsid w:val="188F2A94"/>
    <w:rsid w:val="18947056"/>
    <w:rsid w:val="189F624C"/>
    <w:rsid w:val="18AA7FCE"/>
    <w:rsid w:val="18AD0A0F"/>
    <w:rsid w:val="18B17138"/>
    <w:rsid w:val="18C1523D"/>
    <w:rsid w:val="18C93862"/>
    <w:rsid w:val="18CA59C9"/>
    <w:rsid w:val="18D4208B"/>
    <w:rsid w:val="18DD5CBE"/>
    <w:rsid w:val="18E2174F"/>
    <w:rsid w:val="18E45F38"/>
    <w:rsid w:val="18E637EA"/>
    <w:rsid w:val="18EF57BD"/>
    <w:rsid w:val="18F83704"/>
    <w:rsid w:val="18F959CA"/>
    <w:rsid w:val="18FF7660"/>
    <w:rsid w:val="190575C7"/>
    <w:rsid w:val="190D3D82"/>
    <w:rsid w:val="19140AAC"/>
    <w:rsid w:val="192D3891"/>
    <w:rsid w:val="193568CE"/>
    <w:rsid w:val="193874DA"/>
    <w:rsid w:val="193E36B1"/>
    <w:rsid w:val="1940495C"/>
    <w:rsid w:val="19493DA1"/>
    <w:rsid w:val="19497FCB"/>
    <w:rsid w:val="19511C6E"/>
    <w:rsid w:val="19520DF2"/>
    <w:rsid w:val="195369C0"/>
    <w:rsid w:val="19564475"/>
    <w:rsid w:val="19580840"/>
    <w:rsid w:val="19745960"/>
    <w:rsid w:val="197A7F64"/>
    <w:rsid w:val="197C2406"/>
    <w:rsid w:val="19855A23"/>
    <w:rsid w:val="19855E4D"/>
    <w:rsid w:val="19A63E0B"/>
    <w:rsid w:val="19AC410D"/>
    <w:rsid w:val="19AD535A"/>
    <w:rsid w:val="19B40249"/>
    <w:rsid w:val="19B5018E"/>
    <w:rsid w:val="19B77A90"/>
    <w:rsid w:val="19C04F1E"/>
    <w:rsid w:val="19C21CEF"/>
    <w:rsid w:val="19CE3267"/>
    <w:rsid w:val="19E20541"/>
    <w:rsid w:val="19E8300C"/>
    <w:rsid w:val="19E94E9E"/>
    <w:rsid w:val="19EB1BA2"/>
    <w:rsid w:val="19EB3687"/>
    <w:rsid w:val="19EC37DD"/>
    <w:rsid w:val="19FC0C49"/>
    <w:rsid w:val="19FC3D49"/>
    <w:rsid w:val="1A0B1327"/>
    <w:rsid w:val="1A0C082E"/>
    <w:rsid w:val="1A104D0B"/>
    <w:rsid w:val="1A1C66C0"/>
    <w:rsid w:val="1A1E7057"/>
    <w:rsid w:val="1A1E7380"/>
    <w:rsid w:val="1A204BC7"/>
    <w:rsid w:val="1A2359CD"/>
    <w:rsid w:val="1A2A5EED"/>
    <w:rsid w:val="1A2A60FA"/>
    <w:rsid w:val="1A2E6111"/>
    <w:rsid w:val="1A351281"/>
    <w:rsid w:val="1A42393B"/>
    <w:rsid w:val="1A5225DD"/>
    <w:rsid w:val="1A553C9B"/>
    <w:rsid w:val="1A6D10D2"/>
    <w:rsid w:val="1A7B77DB"/>
    <w:rsid w:val="1A8656C4"/>
    <w:rsid w:val="1A865BD8"/>
    <w:rsid w:val="1A9346F2"/>
    <w:rsid w:val="1A955FF2"/>
    <w:rsid w:val="1A960006"/>
    <w:rsid w:val="1A9956E7"/>
    <w:rsid w:val="1A9C3DB4"/>
    <w:rsid w:val="1AA35056"/>
    <w:rsid w:val="1AAD45DE"/>
    <w:rsid w:val="1AAE6EA6"/>
    <w:rsid w:val="1AB1474E"/>
    <w:rsid w:val="1AB772D9"/>
    <w:rsid w:val="1AB82DB1"/>
    <w:rsid w:val="1ABA677E"/>
    <w:rsid w:val="1AC97E31"/>
    <w:rsid w:val="1ACE2145"/>
    <w:rsid w:val="1AD4630D"/>
    <w:rsid w:val="1ADC7834"/>
    <w:rsid w:val="1AE3754F"/>
    <w:rsid w:val="1AE56C30"/>
    <w:rsid w:val="1AE773D4"/>
    <w:rsid w:val="1AFD0780"/>
    <w:rsid w:val="1B046F80"/>
    <w:rsid w:val="1B0E08A0"/>
    <w:rsid w:val="1B11111C"/>
    <w:rsid w:val="1B1173A2"/>
    <w:rsid w:val="1B193939"/>
    <w:rsid w:val="1B1B1715"/>
    <w:rsid w:val="1B1E7C86"/>
    <w:rsid w:val="1B236056"/>
    <w:rsid w:val="1B29510D"/>
    <w:rsid w:val="1B2A2C05"/>
    <w:rsid w:val="1B2B6B61"/>
    <w:rsid w:val="1B303921"/>
    <w:rsid w:val="1B316B7E"/>
    <w:rsid w:val="1B3267B5"/>
    <w:rsid w:val="1B373F76"/>
    <w:rsid w:val="1B3F37CC"/>
    <w:rsid w:val="1B40161D"/>
    <w:rsid w:val="1B441859"/>
    <w:rsid w:val="1B4D0017"/>
    <w:rsid w:val="1B546AFC"/>
    <w:rsid w:val="1B5543FC"/>
    <w:rsid w:val="1B5E64BF"/>
    <w:rsid w:val="1B6260FC"/>
    <w:rsid w:val="1B6606B1"/>
    <w:rsid w:val="1B676915"/>
    <w:rsid w:val="1B6B1E72"/>
    <w:rsid w:val="1B704EA2"/>
    <w:rsid w:val="1B726396"/>
    <w:rsid w:val="1B771B8E"/>
    <w:rsid w:val="1B802055"/>
    <w:rsid w:val="1B900DA2"/>
    <w:rsid w:val="1B9033D5"/>
    <w:rsid w:val="1B9D20E9"/>
    <w:rsid w:val="1BAB6165"/>
    <w:rsid w:val="1BAF0F86"/>
    <w:rsid w:val="1BB03EA9"/>
    <w:rsid w:val="1BB129A5"/>
    <w:rsid w:val="1BB30C29"/>
    <w:rsid w:val="1BB842E4"/>
    <w:rsid w:val="1BBB7A8F"/>
    <w:rsid w:val="1BCF38BF"/>
    <w:rsid w:val="1BD223DA"/>
    <w:rsid w:val="1BD436AF"/>
    <w:rsid w:val="1BD55778"/>
    <w:rsid w:val="1BDE685C"/>
    <w:rsid w:val="1BE1091E"/>
    <w:rsid w:val="1BF241B1"/>
    <w:rsid w:val="1BFD0505"/>
    <w:rsid w:val="1C0074AB"/>
    <w:rsid w:val="1C042CFE"/>
    <w:rsid w:val="1C0A38EF"/>
    <w:rsid w:val="1C0D47D2"/>
    <w:rsid w:val="1C0F2A48"/>
    <w:rsid w:val="1C123AF2"/>
    <w:rsid w:val="1C124C1B"/>
    <w:rsid w:val="1C154787"/>
    <w:rsid w:val="1C164132"/>
    <w:rsid w:val="1C197E29"/>
    <w:rsid w:val="1C1F4DEA"/>
    <w:rsid w:val="1C2702FA"/>
    <w:rsid w:val="1C2D5D10"/>
    <w:rsid w:val="1C2F225A"/>
    <w:rsid w:val="1C32791A"/>
    <w:rsid w:val="1C3705C7"/>
    <w:rsid w:val="1C3767C6"/>
    <w:rsid w:val="1C432E0B"/>
    <w:rsid w:val="1C494252"/>
    <w:rsid w:val="1C5009DF"/>
    <w:rsid w:val="1C591B79"/>
    <w:rsid w:val="1C5E7925"/>
    <w:rsid w:val="1C626DD1"/>
    <w:rsid w:val="1C643C96"/>
    <w:rsid w:val="1C682E9F"/>
    <w:rsid w:val="1C7C2E8C"/>
    <w:rsid w:val="1C7D3258"/>
    <w:rsid w:val="1C9A61BB"/>
    <w:rsid w:val="1CA16D20"/>
    <w:rsid w:val="1CA56271"/>
    <w:rsid w:val="1CA74ED1"/>
    <w:rsid w:val="1CAC33FF"/>
    <w:rsid w:val="1CAD289B"/>
    <w:rsid w:val="1CBE09ED"/>
    <w:rsid w:val="1CC57E86"/>
    <w:rsid w:val="1CC654CE"/>
    <w:rsid w:val="1CC9054B"/>
    <w:rsid w:val="1CCD2235"/>
    <w:rsid w:val="1CD45008"/>
    <w:rsid w:val="1CD74BB0"/>
    <w:rsid w:val="1CD97187"/>
    <w:rsid w:val="1CDE0A58"/>
    <w:rsid w:val="1CF92516"/>
    <w:rsid w:val="1CFB2963"/>
    <w:rsid w:val="1CFD070F"/>
    <w:rsid w:val="1CFD1E9F"/>
    <w:rsid w:val="1CFD4AEF"/>
    <w:rsid w:val="1D0C2311"/>
    <w:rsid w:val="1D2C395B"/>
    <w:rsid w:val="1D427949"/>
    <w:rsid w:val="1D4656BD"/>
    <w:rsid w:val="1D536D6C"/>
    <w:rsid w:val="1D5932B5"/>
    <w:rsid w:val="1D5D36C9"/>
    <w:rsid w:val="1D5F6196"/>
    <w:rsid w:val="1D6132A5"/>
    <w:rsid w:val="1D654818"/>
    <w:rsid w:val="1D6C2777"/>
    <w:rsid w:val="1D75013C"/>
    <w:rsid w:val="1D757EC1"/>
    <w:rsid w:val="1D823108"/>
    <w:rsid w:val="1D8E56D5"/>
    <w:rsid w:val="1D9127C7"/>
    <w:rsid w:val="1DAB4D3C"/>
    <w:rsid w:val="1DBA3CD2"/>
    <w:rsid w:val="1DD605F3"/>
    <w:rsid w:val="1DDC74AE"/>
    <w:rsid w:val="1DDD5064"/>
    <w:rsid w:val="1DDD7D78"/>
    <w:rsid w:val="1DE02B0B"/>
    <w:rsid w:val="1DE06B47"/>
    <w:rsid w:val="1DE50360"/>
    <w:rsid w:val="1DEA4389"/>
    <w:rsid w:val="1DF075C2"/>
    <w:rsid w:val="1DFA2DDB"/>
    <w:rsid w:val="1DFB6450"/>
    <w:rsid w:val="1DFB68EE"/>
    <w:rsid w:val="1E110290"/>
    <w:rsid w:val="1E11548A"/>
    <w:rsid w:val="1E195DED"/>
    <w:rsid w:val="1E344382"/>
    <w:rsid w:val="1E353009"/>
    <w:rsid w:val="1E356F5D"/>
    <w:rsid w:val="1E447858"/>
    <w:rsid w:val="1E5D3241"/>
    <w:rsid w:val="1E5F0102"/>
    <w:rsid w:val="1E604B1B"/>
    <w:rsid w:val="1E7560CB"/>
    <w:rsid w:val="1E757466"/>
    <w:rsid w:val="1E764F0E"/>
    <w:rsid w:val="1E7768B6"/>
    <w:rsid w:val="1E7A43DA"/>
    <w:rsid w:val="1E7C7613"/>
    <w:rsid w:val="1E7E0819"/>
    <w:rsid w:val="1E89177E"/>
    <w:rsid w:val="1E8B27EB"/>
    <w:rsid w:val="1E8C4CC7"/>
    <w:rsid w:val="1E987A5C"/>
    <w:rsid w:val="1E9C7B48"/>
    <w:rsid w:val="1EA70563"/>
    <w:rsid w:val="1EB674E6"/>
    <w:rsid w:val="1EBD0CBF"/>
    <w:rsid w:val="1EC144A7"/>
    <w:rsid w:val="1ED95324"/>
    <w:rsid w:val="1EE323EB"/>
    <w:rsid w:val="1EE91159"/>
    <w:rsid w:val="1EFC0D35"/>
    <w:rsid w:val="1EFE2F32"/>
    <w:rsid w:val="1F0376F5"/>
    <w:rsid w:val="1F05164C"/>
    <w:rsid w:val="1F0D353F"/>
    <w:rsid w:val="1F0F0D26"/>
    <w:rsid w:val="1F0F1CB0"/>
    <w:rsid w:val="1F12788A"/>
    <w:rsid w:val="1F167C3B"/>
    <w:rsid w:val="1F19689D"/>
    <w:rsid w:val="1F1E4516"/>
    <w:rsid w:val="1F1F084F"/>
    <w:rsid w:val="1F3C450B"/>
    <w:rsid w:val="1F3E5A84"/>
    <w:rsid w:val="1F4242DC"/>
    <w:rsid w:val="1F4678A1"/>
    <w:rsid w:val="1F4E346F"/>
    <w:rsid w:val="1F542020"/>
    <w:rsid w:val="1F5423A8"/>
    <w:rsid w:val="1F557D3C"/>
    <w:rsid w:val="1F585CFC"/>
    <w:rsid w:val="1F5F107D"/>
    <w:rsid w:val="1F613F70"/>
    <w:rsid w:val="1F692B6D"/>
    <w:rsid w:val="1F6C2990"/>
    <w:rsid w:val="1F782BC3"/>
    <w:rsid w:val="1F7E7F2B"/>
    <w:rsid w:val="1F7F52D7"/>
    <w:rsid w:val="1F833704"/>
    <w:rsid w:val="1F836194"/>
    <w:rsid w:val="1F8F2596"/>
    <w:rsid w:val="1F9A31C1"/>
    <w:rsid w:val="1FA0562B"/>
    <w:rsid w:val="1FB27A15"/>
    <w:rsid w:val="1FE04E47"/>
    <w:rsid w:val="1FE7539E"/>
    <w:rsid w:val="1FEE2DE8"/>
    <w:rsid w:val="1FF502FB"/>
    <w:rsid w:val="1FFB480D"/>
    <w:rsid w:val="1FFC15EE"/>
    <w:rsid w:val="20016031"/>
    <w:rsid w:val="20057C1A"/>
    <w:rsid w:val="20082AC9"/>
    <w:rsid w:val="2013386A"/>
    <w:rsid w:val="20154141"/>
    <w:rsid w:val="20177BFC"/>
    <w:rsid w:val="20306B9C"/>
    <w:rsid w:val="203466E3"/>
    <w:rsid w:val="203835D1"/>
    <w:rsid w:val="20386D9D"/>
    <w:rsid w:val="20445877"/>
    <w:rsid w:val="20474300"/>
    <w:rsid w:val="204C5AA5"/>
    <w:rsid w:val="205A5836"/>
    <w:rsid w:val="206375BB"/>
    <w:rsid w:val="20671BE0"/>
    <w:rsid w:val="206921BD"/>
    <w:rsid w:val="2078579F"/>
    <w:rsid w:val="20963CB8"/>
    <w:rsid w:val="20975384"/>
    <w:rsid w:val="209B3E4B"/>
    <w:rsid w:val="209B7264"/>
    <w:rsid w:val="20A77731"/>
    <w:rsid w:val="20A81A1B"/>
    <w:rsid w:val="20A9485C"/>
    <w:rsid w:val="20AC1752"/>
    <w:rsid w:val="20B07FB6"/>
    <w:rsid w:val="20B646FB"/>
    <w:rsid w:val="20CA50A8"/>
    <w:rsid w:val="20DF5C62"/>
    <w:rsid w:val="20E773CB"/>
    <w:rsid w:val="21000D75"/>
    <w:rsid w:val="21087ABE"/>
    <w:rsid w:val="210C0C4D"/>
    <w:rsid w:val="211E6C91"/>
    <w:rsid w:val="213B74B1"/>
    <w:rsid w:val="213C374B"/>
    <w:rsid w:val="213F4186"/>
    <w:rsid w:val="2145307B"/>
    <w:rsid w:val="214A06AB"/>
    <w:rsid w:val="214C4748"/>
    <w:rsid w:val="214F3F44"/>
    <w:rsid w:val="215025B4"/>
    <w:rsid w:val="21523EBD"/>
    <w:rsid w:val="215A2310"/>
    <w:rsid w:val="215A4089"/>
    <w:rsid w:val="216521AC"/>
    <w:rsid w:val="216A7E90"/>
    <w:rsid w:val="216B4033"/>
    <w:rsid w:val="216C766C"/>
    <w:rsid w:val="2172387F"/>
    <w:rsid w:val="2176515B"/>
    <w:rsid w:val="21813844"/>
    <w:rsid w:val="21880E58"/>
    <w:rsid w:val="218873B6"/>
    <w:rsid w:val="21940A89"/>
    <w:rsid w:val="21A3249F"/>
    <w:rsid w:val="21AD4F92"/>
    <w:rsid w:val="21BD4E57"/>
    <w:rsid w:val="21CC30C9"/>
    <w:rsid w:val="21CC5A37"/>
    <w:rsid w:val="21CE381F"/>
    <w:rsid w:val="21D572CA"/>
    <w:rsid w:val="21D913AC"/>
    <w:rsid w:val="21DE318A"/>
    <w:rsid w:val="21DF1932"/>
    <w:rsid w:val="21E311E1"/>
    <w:rsid w:val="21EF5B80"/>
    <w:rsid w:val="21F366E4"/>
    <w:rsid w:val="22096465"/>
    <w:rsid w:val="22113F2F"/>
    <w:rsid w:val="221F5492"/>
    <w:rsid w:val="22214E8B"/>
    <w:rsid w:val="22272717"/>
    <w:rsid w:val="222C7470"/>
    <w:rsid w:val="22416256"/>
    <w:rsid w:val="22470FB2"/>
    <w:rsid w:val="224E6DF3"/>
    <w:rsid w:val="225233A5"/>
    <w:rsid w:val="22535E04"/>
    <w:rsid w:val="22576990"/>
    <w:rsid w:val="225823EF"/>
    <w:rsid w:val="225824D9"/>
    <w:rsid w:val="225A76DC"/>
    <w:rsid w:val="225C75D0"/>
    <w:rsid w:val="226056AF"/>
    <w:rsid w:val="22651067"/>
    <w:rsid w:val="22682802"/>
    <w:rsid w:val="226A7D59"/>
    <w:rsid w:val="22755EA0"/>
    <w:rsid w:val="2288170C"/>
    <w:rsid w:val="22883267"/>
    <w:rsid w:val="229B18DE"/>
    <w:rsid w:val="229F200B"/>
    <w:rsid w:val="22A04570"/>
    <w:rsid w:val="22B456FE"/>
    <w:rsid w:val="22C31232"/>
    <w:rsid w:val="22C37628"/>
    <w:rsid w:val="22C37655"/>
    <w:rsid w:val="22C715A7"/>
    <w:rsid w:val="22D14CB0"/>
    <w:rsid w:val="22D45B98"/>
    <w:rsid w:val="22D64BB8"/>
    <w:rsid w:val="22DD37AB"/>
    <w:rsid w:val="22DE73F6"/>
    <w:rsid w:val="22DE780D"/>
    <w:rsid w:val="22E928E6"/>
    <w:rsid w:val="22EB1661"/>
    <w:rsid w:val="22F47480"/>
    <w:rsid w:val="23072FE5"/>
    <w:rsid w:val="2313422A"/>
    <w:rsid w:val="23151418"/>
    <w:rsid w:val="231B727B"/>
    <w:rsid w:val="23200420"/>
    <w:rsid w:val="2320358E"/>
    <w:rsid w:val="23227611"/>
    <w:rsid w:val="23353491"/>
    <w:rsid w:val="23355646"/>
    <w:rsid w:val="233B46DE"/>
    <w:rsid w:val="23424069"/>
    <w:rsid w:val="234E7AAB"/>
    <w:rsid w:val="234F429B"/>
    <w:rsid w:val="235608EB"/>
    <w:rsid w:val="235B2532"/>
    <w:rsid w:val="235E0116"/>
    <w:rsid w:val="23615E8A"/>
    <w:rsid w:val="23685681"/>
    <w:rsid w:val="236E76C8"/>
    <w:rsid w:val="2370297B"/>
    <w:rsid w:val="23751E4B"/>
    <w:rsid w:val="23846CEE"/>
    <w:rsid w:val="238A7620"/>
    <w:rsid w:val="238C1B54"/>
    <w:rsid w:val="238C5C45"/>
    <w:rsid w:val="23986CC9"/>
    <w:rsid w:val="23A56AFD"/>
    <w:rsid w:val="23A66CB3"/>
    <w:rsid w:val="23A83C63"/>
    <w:rsid w:val="23AA669D"/>
    <w:rsid w:val="23AB2B8A"/>
    <w:rsid w:val="23AF630B"/>
    <w:rsid w:val="23B20B91"/>
    <w:rsid w:val="23B30EB7"/>
    <w:rsid w:val="23B831B0"/>
    <w:rsid w:val="23B84EFA"/>
    <w:rsid w:val="23BF3CA7"/>
    <w:rsid w:val="23BF591E"/>
    <w:rsid w:val="23CD70D8"/>
    <w:rsid w:val="23D207E8"/>
    <w:rsid w:val="23D87B36"/>
    <w:rsid w:val="23DE1C48"/>
    <w:rsid w:val="23F360E0"/>
    <w:rsid w:val="23F9376A"/>
    <w:rsid w:val="23FD79DA"/>
    <w:rsid w:val="23FD7ECC"/>
    <w:rsid w:val="240210CD"/>
    <w:rsid w:val="24080450"/>
    <w:rsid w:val="240A3AE1"/>
    <w:rsid w:val="24166268"/>
    <w:rsid w:val="241E194C"/>
    <w:rsid w:val="2420513F"/>
    <w:rsid w:val="24257A51"/>
    <w:rsid w:val="2426571D"/>
    <w:rsid w:val="242C5E5E"/>
    <w:rsid w:val="242C72C2"/>
    <w:rsid w:val="243361B8"/>
    <w:rsid w:val="243A0F4D"/>
    <w:rsid w:val="243B3D67"/>
    <w:rsid w:val="24402CAE"/>
    <w:rsid w:val="24485EAF"/>
    <w:rsid w:val="244955B8"/>
    <w:rsid w:val="244E065E"/>
    <w:rsid w:val="24534B15"/>
    <w:rsid w:val="24575689"/>
    <w:rsid w:val="245E487A"/>
    <w:rsid w:val="246C7E4D"/>
    <w:rsid w:val="247526C2"/>
    <w:rsid w:val="247B3B96"/>
    <w:rsid w:val="247F55CF"/>
    <w:rsid w:val="24805C6F"/>
    <w:rsid w:val="249555D5"/>
    <w:rsid w:val="249B1DEC"/>
    <w:rsid w:val="24A96A79"/>
    <w:rsid w:val="24AA4107"/>
    <w:rsid w:val="24BF09F7"/>
    <w:rsid w:val="24CC7095"/>
    <w:rsid w:val="24CE0E4C"/>
    <w:rsid w:val="24D156CC"/>
    <w:rsid w:val="24D97F96"/>
    <w:rsid w:val="24E7147B"/>
    <w:rsid w:val="24E75F33"/>
    <w:rsid w:val="24EF3AE2"/>
    <w:rsid w:val="24F7526A"/>
    <w:rsid w:val="24FE34F7"/>
    <w:rsid w:val="250B5853"/>
    <w:rsid w:val="2511668C"/>
    <w:rsid w:val="252021D3"/>
    <w:rsid w:val="25202A5A"/>
    <w:rsid w:val="25227E53"/>
    <w:rsid w:val="252A52EB"/>
    <w:rsid w:val="252B148B"/>
    <w:rsid w:val="252D53FE"/>
    <w:rsid w:val="2537258C"/>
    <w:rsid w:val="253E07FD"/>
    <w:rsid w:val="25407ECB"/>
    <w:rsid w:val="25416830"/>
    <w:rsid w:val="25460A34"/>
    <w:rsid w:val="254C08F9"/>
    <w:rsid w:val="255002C9"/>
    <w:rsid w:val="25577378"/>
    <w:rsid w:val="255E2691"/>
    <w:rsid w:val="256024AB"/>
    <w:rsid w:val="257C40DF"/>
    <w:rsid w:val="25901FEA"/>
    <w:rsid w:val="25910BA7"/>
    <w:rsid w:val="259721E8"/>
    <w:rsid w:val="25975DBF"/>
    <w:rsid w:val="259C7894"/>
    <w:rsid w:val="25A44727"/>
    <w:rsid w:val="25A57FCF"/>
    <w:rsid w:val="25B171D9"/>
    <w:rsid w:val="25BA7C7E"/>
    <w:rsid w:val="25C6777E"/>
    <w:rsid w:val="25C81F68"/>
    <w:rsid w:val="25CC7E8F"/>
    <w:rsid w:val="25D0379E"/>
    <w:rsid w:val="25D06F40"/>
    <w:rsid w:val="25DF1492"/>
    <w:rsid w:val="25E012D0"/>
    <w:rsid w:val="25E2253F"/>
    <w:rsid w:val="25EB1697"/>
    <w:rsid w:val="25EC2D81"/>
    <w:rsid w:val="25F001FC"/>
    <w:rsid w:val="260E403B"/>
    <w:rsid w:val="260F621B"/>
    <w:rsid w:val="261310D6"/>
    <w:rsid w:val="26140B60"/>
    <w:rsid w:val="26193E6B"/>
    <w:rsid w:val="261D59DF"/>
    <w:rsid w:val="261F1FD8"/>
    <w:rsid w:val="262224AA"/>
    <w:rsid w:val="26265F9D"/>
    <w:rsid w:val="262E0190"/>
    <w:rsid w:val="263041BC"/>
    <w:rsid w:val="263D5284"/>
    <w:rsid w:val="26485289"/>
    <w:rsid w:val="26555022"/>
    <w:rsid w:val="26564249"/>
    <w:rsid w:val="265E4D41"/>
    <w:rsid w:val="26630315"/>
    <w:rsid w:val="266D4FBE"/>
    <w:rsid w:val="26733B89"/>
    <w:rsid w:val="26742AC9"/>
    <w:rsid w:val="26753BA5"/>
    <w:rsid w:val="26774F6A"/>
    <w:rsid w:val="26811B1A"/>
    <w:rsid w:val="26891E94"/>
    <w:rsid w:val="268D2393"/>
    <w:rsid w:val="269522AD"/>
    <w:rsid w:val="26A24038"/>
    <w:rsid w:val="26AB4D20"/>
    <w:rsid w:val="26AD374A"/>
    <w:rsid w:val="26B0217E"/>
    <w:rsid w:val="26B96783"/>
    <w:rsid w:val="26B9714B"/>
    <w:rsid w:val="26C955B2"/>
    <w:rsid w:val="26D8294B"/>
    <w:rsid w:val="26D9237C"/>
    <w:rsid w:val="26E75939"/>
    <w:rsid w:val="26E96E2F"/>
    <w:rsid w:val="26EA6568"/>
    <w:rsid w:val="26EB3E67"/>
    <w:rsid w:val="26ED4998"/>
    <w:rsid w:val="26FB37B6"/>
    <w:rsid w:val="270165A5"/>
    <w:rsid w:val="270A6E8A"/>
    <w:rsid w:val="270E1706"/>
    <w:rsid w:val="271316AA"/>
    <w:rsid w:val="27132460"/>
    <w:rsid w:val="27155A84"/>
    <w:rsid w:val="271B34AB"/>
    <w:rsid w:val="2728014B"/>
    <w:rsid w:val="272D5589"/>
    <w:rsid w:val="272D76F0"/>
    <w:rsid w:val="273A03D5"/>
    <w:rsid w:val="27456810"/>
    <w:rsid w:val="275D37CC"/>
    <w:rsid w:val="27632FF5"/>
    <w:rsid w:val="27644D1D"/>
    <w:rsid w:val="2769078D"/>
    <w:rsid w:val="277057A2"/>
    <w:rsid w:val="2771689A"/>
    <w:rsid w:val="27720D64"/>
    <w:rsid w:val="27725CF1"/>
    <w:rsid w:val="27757834"/>
    <w:rsid w:val="277B7241"/>
    <w:rsid w:val="278D3F10"/>
    <w:rsid w:val="27901FD6"/>
    <w:rsid w:val="27903C4C"/>
    <w:rsid w:val="27936BFE"/>
    <w:rsid w:val="27BC14A8"/>
    <w:rsid w:val="27C56ECD"/>
    <w:rsid w:val="27D43FA9"/>
    <w:rsid w:val="27D83E56"/>
    <w:rsid w:val="27DE45DC"/>
    <w:rsid w:val="27DF69F9"/>
    <w:rsid w:val="27E10CEC"/>
    <w:rsid w:val="27E34C28"/>
    <w:rsid w:val="27E902E0"/>
    <w:rsid w:val="27FB6CA3"/>
    <w:rsid w:val="281778A7"/>
    <w:rsid w:val="281D1FD8"/>
    <w:rsid w:val="28285C2F"/>
    <w:rsid w:val="28357ED5"/>
    <w:rsid w:val="28371D3B"/>
    <w:rsid w:val="284A4CA6"/>
    <w:rsid w:val="284E6F8A"/>
    <w:rsid w:val="28562A2B"/>
    <w:rsid w:val="2869729B"/>
    <w:rsid w:val="28751E4A"/>
    <w:rsid w:val="28842CD1"/>
    <w:rsid w:val="28845497"/>
    <w:rsid w:val="288F704A"/>
    <w:rsid w:val="28927E43"/>
    <w:rsid w:val="28941FC3"/>
    <w:rsid w:val="289B4DFF"/>
    <w:rsid w:val="289F1CC8"/>
    <w:rsid w:val="28A064CA"/>
    <w:rsid w:val="28A24AD1"/>
    <w:rsid w:val="28A8678B"/>
    <w:rsid w:val="28B4686E"/>
    <w:rsid w:val="28BD23B4"/>
    <w:rsid w:val="28BD6D3E"/>
    <w:rsid w:val="28C175EE"/>
    <w:rsid w:val="28D032CB"/>
    <w:rsid w:val="28D46437"/>
    <w:rsid w:val="28D5099C"/>
    <w:rsid w:val="28D52034"/>
    <w:rsid w:val="28DA2014"/>
    <w:rsid w:val="28DF086E"/>
    <w:rsid w:val="28E3111E"/>
    <w:rsid w:val="28EB7A78"/>
    <w:rsid w:val="28EC58F3"/>
    <w:rsid w:val="28EF1377"/>
    <w:rsid w:val="28F03695"/>
    <w:rsid w:val="28F638B6"/>
    <w:rsid w:val="28FA0047"/>
    <w:rsid w:val="29084AED"/>
    <w:rsid w:val="290B5778"/>
    <w:rsid w:val="290D7067"/>
    <w:rsid w:val="29181178"/>
    <w:rsid w:val="291958F4"/>
    <w:rsid w:val="29206EB8"/>
    <w:rsid w:val="292C50B4"/>
    <w:rsid w:val="294311A1"/>
    <w:rsid w:val="29472106"/>
    <w:rsid w:val="295550BF"/>
    <w:rsid w:val="295715C4"/>
    <w:rsid w:val="29595666"/>
    <w:rsid w:val="295C23E8"/>
    <w:rsid w:val="29600B3C"/>
    <w:rsid w:val="29655173"/>
    <w:rsid w:val="296712BB"/>
    <w:rsid w:val="29717DA8"/>
    <w:rsid w:val="29804248"/>
    <w:rsid w:val="29845CD3"/>
    <w:rsid w:val="29874881"/>
    <w:rsid w:val="298A0499"/>
    <w:rsid w:val="29A03C45"/>
    <w:rsid w:val="29AC7E0E"/>
    <w:rsid w:val="29BA5F09"/>
    <w:rsid w:val="29BD7D3C"/>
    <w:rsid w:val="29C36B29"/>
    <w:rsid w:val="29CE4A1B"/>
    <w:rsid w:val="29DE0A7D"/>
    <w:rsid w:val="29E20C48"/>
    <w:rsid w:val="29E325E0"/>
    <w:rsid w:val="29E61BA0"/>
    <w:rsid w:val="29EB76CB"/>
    <w:rsid w:val="29F13D11"/>
    <w:rsid w:val="29F407BC"/>
    <w:rsid w:val="29F667D0"/>
    <w:rsid w:val="29FA2D3E"/>
    <w:rsid w:val="2A0D1A99"/>
    <w:rsid w:val="2A155EAE"/>
    <w:rsid w:val="2A3D32EF"/>
    <w:rsid w:val="2A452503"/>
    <w:rsid w:val="2A4D08CE"/>
    <w:rsid w:val="2A595BB3"/>
    <w:rsid w:val="2A6469D2"/>
    <w:rsid w:val="2A6C55F8"/>
    <w:rsid w:val="2A7319B4"/>
    <w:rsid w:val="2A74733B"/>
    <w:rsid w:val="2A7A1811"/>
    <w:rsid w:val="2A7D6C65"/>
    <w:rsid w:val="2A806AB1"/>
    <w:rsid w:val="2A825BBB"/>
    <w:rsid w:val="2A9437ED"/>
    <w:rsid w:val="2A9D2107"/>
    <w:rsid w:val="2A9F1174"/>
    <w:rsid w:val="2AAD00B1"/>
    <w:rsid w:val="2ABF6B6A"/>
    <w:rsid w:val="2AC009AC"/>
    <w:rsid w:val="2AC73AFB"/>
    <w:rsid w:val="2ACC3A02"/>
    <w:rsid w:val="2ACE4A20"/>
    <w:rsid w:val="2AD4783A"/>
    <w:rsid w:val="2AD5493D"/>
    <w:rsid w:val="2AE505F2"/>
    <w:rsid w:val="2AE92C44"/>
    <w:rsid w:val="2AEB002D"/>
    <w:rsid w:val="2AF01676"/>
    <w:rsid w:val="2B037F02"/>
    <w:rsid w:val="2B060BDD"/>
    <w:rsid w:val="2B0F0A98"/>
    <w:rsid w:val="2B0F1CB0"/>
    <w:rsid w:val="2B210799"/>
    <w:rsid w:val="2B320F6B"/>
    <w:rsid w:val="2B3C3D54"/>
    <w:rsid w:val="2B492CA6"/>
    <w:rsid w:val="2B4B7481"/>
    <w:rsid w:val="2B4E33FE"/>
    <w:rsid w:val="2B543046"/>
    <w:rsid w:val="2B564F16"/>
    <w:rsid w:val="2B5E5541"/>
    <w:rsid w:val="2B6E56D3"/>
    <w:rsid w:val="2B71770A"/>
    <w:rsid w:val="2B7B430F"/>
    <w:rsid w:val="2B86321A"/>
    <w:rsid w:val="2B884E13"/>
    <w:rsid w:val="2B9A3695"/>
    <w:rsid w:val="2BA8214E"/>
    <w:rsid w:val="2BA936A8"/>
    <w:rsid w:val="2BC37408"/>
    <w:rsid w:val="2BCD7CC0"/>
    <w:rsid w:val="2BE575DA"/>
    <w:rsid w:val="2BF531F5"/>
    <w:rsid w:val="2BF744F5"/>
    <w:rsid w:val="2BFA0838"/>
    <w:rsid w:val="2C002162"/>
    <w:rsid w:val="2C0915A3"/>
    <w:rsid w:val="2C0B1342"/>
    <w:rsid w:val="2C155A70"/>
    <w:rsid w:val="2C1C1F01"/>
    <w:rsid w:val="2C23213A"/>
    <w:rsid w:val="2C2D4326"/>
    <w:rsid w:val="2C315A5A"/>
    <w:rsid w:val="2C363DD6"/>
    <w:rsid w:val="2C3D7668"/>
    <w:rsid w:val="2C400CB8"/>
    <w:rsid w:val="2C442205"/>
    <w:rsid w:val="2C4B1C25"/>
    <w:rsid w:val="2C545002"/>
    <w:rsid w:val="2C601D4D"/>
    <w:rsid w:val="2C614FC0"/>
    <w:rsid w:val="2C6828F1"/>
    <w:rsid w:val="2C6F2782"/>
    <w:rsid w:val="2C716A3C"/>
    <w:rsid w:val="2C745FE6"/>
    <w:rsid w:val="2C7A7FC2"/>
    <w:rsid w:val="2C942D0F"/>
    <w:rsid w:val="2C951BFA"/>
    <w:rsid w:val="2C9F2AFC"/>
    <w:rsid w:val="2CA0663D"/>
    <w:rsid w:val="2CA1514C"/>
    <w:rsid w:val="2CA52783"/>
    <w:rsid w:val="2CA90E8A"/>
    <w:rsid w:val="2CAF12D1"/>
    <w:rsid w:val="2CAF29E2"/>
    <w:rsid w:val="2CB67F51"/>
    <w:rsid w:val="2CB87557"/>
    <w:rsid w:val="2CB97A01"/>
    <w:rsid w:val="2CC450EB"/>
    <w:rsid w:val="2CC61673"/>
    <w:rsid w:val="2CCF533F"/>
    <w:rsid w:val="2CDC70AA"/>
    <w:rsid w:val="2CDE06F5"/>
    <w:rsid w:val="2CDE5260"/>
    <w:rsid w:val="2CE23AC6"/>
    <w:rsid w:val="2CE35DA2"/>
    <w:rsid w:val="2CE74209"/>
    <w:rsid w:val="2CE80E4B"/>
    <w:rsid w:val="2CF61655"/>
    <w:rsid w:val="2CF9448E"/>
    <w:rsid w:val="2CFB18C2"/>
    <w:rsid w:val="2D063A5D"/>
    <w:rsid w:val="2D070B4E"/>
    <w:rsid w:val="2D09294C"/>
    <w:rsid w:val="2D0F240A"/>
    <w:rsid w:val="2D1233A9"/>
    <w:rsid w:val="2D1542AF"/>
    <w:rsid w:val="2D1A5144"/>
    <w:rsid w:val="2D1C0C48"/>
    <w:rsid w:val="2D534490"/>
    <w:rsid w:val="2D547E1A"/>
    <w:rsid w:val="2D5C609F"/>
    <w:rsid w:val="2D727EA9"/>
    <w:rsid w:val="2D77091F"/>
    <w:rsid w:val="2D895713"/>
    <w:rsid w:val="2D9010B1"/>
    <w:rsid w:val="2D990EC6"/>
    <w:rsid w:val="2D9E56F5"/>
    <w:rsid w:val="2DA0157C"/>
    <w:rsid w:val="2DA92A29"/>
    <w:rsid w:val="2DAB15FC"/>
    <w:rsid w:val="2DAB1B90"/>
    <w:rsid w:val="2DB24B95"/>
    <w:rsid w:val="2DC4411F"/>
    <w:rsid w:val="2DC63C06"/>
    <w:rsid w:val="2DD650D4"/>
    <w:rsid w:val="2DDD4C32"/>
    <w:rsid w:val="2DDF4A3E"/>
    <w:rsid w:val="2DE5473E"/>
    <w:rsid w:val="2DF217D0"/>
    <w:rsid w:val="2DF50DA4"/>
    <w:rsid w:val="2DF57BB6"/>
    <w:rsid w:val="2E041F46"/>
    <w:rsid w:val="2E057D3A"/>
    <w:rsid w:val="2E06458B"/>
    <w:rsid w:val="2E180D2E"/>
    <w:rsid w:val="2E2C63E6"/>
    <w:rsid w:val="2E345E34"/>
    <w:rsid w:val="2E450300"/>
    <w:rsid w:val="2E4516FE"/>
    <w:rsid w:val="2E4F236D"/>
    <w:rsid w:val="2E667F96"/>
    <w:rsid w:val="2E6770FC"/>
    <w:rsid w:val="2E7F4F02"/>
    <w:rsid w:val="2E8226AB"/>
    <w:rsid w:val="2E8A26C0"/>
    <w:rsid w:val="2E9852DD"/>
    <w:rsid w:val="2EA962C1"/>
    <w:rsid w:val="2EAF25B7"/>
    <w:rsid w:val="2EBB5DC1"/>
    <w:rsid w:val="2EBC05C2"/>
    <w:rsid w:val="2EC76147"/>
    <w:rsid w:val="2ECA778C"/>
    <w:rsid w:val="2ECB0C78"/>
    <w:rsid w:val="2ED45302"/>
    <w:rsid w:val="2ED724EA"/>
    <w:rsid w:val="2EE83DC6"/>
    <w:rsid w:val="2EED5907"/>
    <w:rsid w:val="2F0E3CD1"/>
    <w:rsid w:val="2F1E5F3B"/>
    <w:rsid w:val="2F262CBD"/>
    <w:rsid w:val="2F287311"/>
    <w:rsid w:val="2F315C97"/>
    <w:rsid w:val="2F3C5D3E"/>
    <w:rsid w:val="2F414F96"/>
    <w:rsid w:val="2F46100F"/>
    <w:rsid w:val="2F504B02"/>
    <w:rsid w:val="2F521EBA"/>
    <w:rsid w:val="2F541395"/>
    <w:rsid w:val="2F59133A"/>
    <w:rsid w:val="2F5B1A1B"/>
    <w:rsid w:val="2F622169"/>
    <w:rsid w:val="2F661C98"/>
    <w:rsid w:val="2F83081F"/>
    <w:rsid w:val="2F8D3B56"/>
    <w:rsid w:val="2F902154"/>
    <w:rsid w:val="2F940F17"/>
    <w:rsid w:val="2F9764E3"/>
    <w:rsid w:val="2F9A42F9"/>
    <w:rsid w:val="2F9C2696"/>
    <w:rsid w:val="2F9D630E"/>
    <w:rsid w:val="2FA12D88"/>
    <w:rsid w:val="2FA31E44"/>
    <w:rsid w:val="2FA84FEB"/>
    <w:rsid w:val="2FC852AA"/>
    <w:rsid w:val="2FC971FA"/>
    <w:rsid w:val="2FCF05F7"/>
    <w:rsid w:val="2FD065E6"/>
    <w:rsid w:val="2FD76E74"/>
    <w:rsid w:val="2FD96870"/>
    <w:rsid w:val="2FDE1A72"/>
    <w:rsid w:val="2FF005B4"/>
    <w:rsid w:val="2FF344B8"/>
    <w:rsid w:val="30154ED8"/>
    <w:rsid w:val="30225965"/>
    <w:rsid w:val="3024402D"/>
    <w:rsid w:val="3028070E"/>
    <w:rsid w:val="303929D5"/>
    <w:rsid w:val="3046196B"/>
    <w:rsid w:val="30534F57"/>
    <w:rsid w:val="30580BC9"/>
    <w:rsid w:val="305D7B83"/>
    <w:rsid w:val="306378F7"/>
    <w:rsid w:val="30654871"/>
    <w:rsid w:val="30690A0D"/>
    <w:rsid w:val="30783FCB"/>
    <w:rsid w:val="308455A5"/>
    <w:rsid w:val="308731A1"/>
    <w:rsid w:val="30883F98"/>
    <w:rsid w:val="308949BA"/>
    <w:rsid w:val="308B2FD8"/>
    <w:rsid w:val="30935DE3"/>
    <w:rsid w:val="309759BC"/>
    <w:rsid w:val="30A43ABC"/>
    <w:rsid w:val="30A605DE"/>
    <w:rsid w:val="30A60E3F"/>
    <w:rsid w:val="30AD1C94"/>
    <w:rsid w:val="30B74E98"/>
    <w:rsid w:val="30BA120A"/>
    <w:rsid w:val="30BA3195"/>
    <w:rsid w:val="30BC19C5"/>
    <w:rsid w:val="30BD036C"/>
    <w:rsid w:val="30C1217E"/>
    <w:rsid w:val="30C95432"/>
    <w:rsid w:val="30CE028F"/>
    <w:rsid w:val="30D14E70"/>
    <w:rsid w:val="30D61EAF"/>
    <w:rsid w:val="30E12562"/>
    <w:rsid w:val="30E24890"/>
    <w:rsid w:val="30E80E6F"/>
    <w:rsid w:val="30E94A34"/>
    <w:rsid w:val="30F53D9B"/>
    <w:rsid w:val="30F772DC"/>
    <w:rsid w:val="30F936A7"/>
    <w:rsid w:val="31040A86"/>
    <w:rsid w:val="311279A6"/>
    <w:rsid w:val="311E2ED7"/>
    <w:rsid w:val="31200CA6"/>
    <w:rsid w:val="312929F0"/>
    <w:rsid w:val="312F235A"/>
    <w:rsid w:val="3132054F"/>
    <w:rsid w:val="314069F5"/>
    <w:rsid w:val="314414B4"/>
    <w:rsid w:val="314458EB"/>
    <w:rsid w:val="3146038F"/>
    <w:rsid w:val="315149D3"/>
    <w:rsid w:val="315619EE"/>
    <w:rsid w:val="31593BBA"/>
    <w:rsid w:val="315C449C"/>
    <w:rsid w:val="315F6A0B"/>
    <w:rsid w:val="316B4593"/>
    <w:rsid w:val="316E6C76"/>
    <w:rsid w:val="3177443F"/>
    <w:rsid w:val="31837158"/>
    <w:rsid w:val="318C0373"/>
    <w:rsid w:val="31912914"/>
    <w:rsid w:val="3192246D"/>
    <w:rsid w:val="3197193E"/>
    <w:rsid w:val="319958A2"/>
    <w:rsid w:val="319C58A6"/>
    <w:rsid w:val="31A212C2"/>
    <w:rsid w:val="31AB0E42"/>
    <w:rsid w:val="31B3151A"/>
    <w:rsid w:val="31B82709"/>
    <w:rsid w:val="31CC2A3F"/>
    <w:rsid w:val="31D05482"/>
    <w:rsid w:val="31D43085"/>
    <w:rsid w:val="31EE4C36"/>
    <w:rsid w:val="3212499D"/>
    <w:rsid w:val="321E12D4"/>
    <w:rsid w:val="32304289"/>
    <w:rsid w:val="32331939"/>
    <w:rsid w:val="32336AE2"/>
    <w:rsid w:val="32376260"/>
    <w:rsid w:val="323E4394"/>
    <w:rsid w:val="32400B34"/>
    <w:rsid w:val="32405C42"/>
    <w:rsid w:val="32460A89"/>
    <w:rsid w:val="324F1CBC"/>
    <w:rsid w:val="32564E5F"/>
    <w:rsid w:val="32586854"/>
    <w:rsid w:val="326C1643"/>
    <w:rsid w:val="326C5600"/>
    <w:rsid w:val="328B0FD7"/>
    <w:rsid w:val="328F080D"/>
    <w:rsid w:val="328F240A"/>
    <w:rsid w:val="329E6876"/>
    <w:rsid w:val="329F4B87"/>
    <w:rsid w:val="32A84D0C"/>
    <w:rsid w:val="32AA07AD"/>
    <w:rsid w:val="32BC3C7C"/>
    <w:rsid w:val="32BF4973"/>
    <w:rsid w:val="32C750C7"/>
    <w:rsid w:val="32C81D55"/>
    <w:rsid w:val="32D829EE"/>
    <w:rsid w:val="32DA55F0"/>
    <w:rsid w:val="32DD3B60"/>
    <w:rsid w:val="32E1066A"/>
    <w:rsid w:val="32E54998"/>
    <w:rsid w:val="32EB1D57"/>
    <w:rsid w:val="32F136D9"/>
    <w:rsid w:val="32F42E60"/>
    <w:rsid w:val="32F817B4"/>
    <w:rsid w:val="32FA1831"/>
    <w:rsid w:val="32FD564D"/>
    <w:rsid w:val="330372F8"/>
    <w:rsid w:val="330519E4"/>
    <w:rsid w:val="3309098D"/>
    <w:rsid w:val="331224FA"/>
    <w:rsid w:val="3316094E"/>
    <w:rsid w:val="331B54FE"/>
    <w:rsid w:val="33243334"/>
    <w:rsid w:val="333015F2"/>
    <w:rsid w:val="33397939"/>
    <w:rsid w:val="33462796"/>
    <w:rsid w:val="334B6320"/>
    <w:rsid w:val="33504297"/>
    <w:rsid w:val="335A5861"/>
    <w:rsid w:val="335E1379"/>
    <w:rsid w:val="33681E65"/>
    <w:rsid w:val="33701927"/>
    <w:rsid w:val="337A3396"/>
    <w:rsid w:val="337A3435"/>
    <w:rsid w:val="337A793C"/>
    <w:rsid w:val="337B569E"/>
    <w:rsid w:val="338720F4"/>
    <w:rsid w:val="33937986"/>
    <w:rsid w:val="3394632B"/>
    <w:rsid w:val="33A42818"/>
    <w:rsid w:val="33C521FE"/>
    <w:rsid w:val="33C76AEE"/>
    <w:rsid w:val="33CF48B7"/>
    <w:rsid w:val="33D33552"/>
    <w:rsid w:val="33D377B8"/>
    <w:rsid w:val="33D934D4"/>
    <w:rsid w:val="33E665B4"/>
    <w:rsid w:val="33EB26A4"/>
    <w:rsid w:val="33F02D74"/>
    <w:rsid w:val="33FA3970"/>
    <w:rsid w:val="33FE2F6A"/>
    <w:rsid w:val="34031D2F"/>
    <w:rsid w:val="340E07E5"/>
    <w:rsid w:val="34146104"/>
    <w:rsid w:val="34235BF7"/>
    <w:rsid w:val="34246588"/>
    <w:rsid w:val="342933E6"/>
    <w:rsid w:val="342E1590"/>
    <w:rsid w:val="34371239"/>
    <w:rsid w:val="343C3874"/>
    <w:rsid w:val="343D4AAA"/>
    <w:rsid w:val="34467F64"/>
    <w:rsid w:val="34495A20"/>
    <w:rsid w:val="344B40A8"/>
    <w:rsid w:val="34634F11"/>
    <w:rsid w:val="346B7D35"/>
    <w:rsid w:val="346E6CC4"/>
    <w:rsid w:val="34726AE6"/>
    <w:rsid w:val="347E15BD"/>
    <w:rsid w:val="348C7E4A"/>
    <w:rsid w:val="348F0D77"/>
    <w:rsid w:val="348F45A8"/>
    <w:rsid w:val="34A029E4"/>
    <w:rsid w:val="34A02DBB"/>
    <w:rsid w:val="34A0310B"/>
    <w:rsid w:val="34BA35EC"/>
    <w:rsid w:val="34BA5F8F"/>
    <w:rsid w:val="34BC68A8"/>
    <w:rsid w:val="34C64712"/>
    <w:rsid w:val="34CE05D3"/>
    <w:rsid w:val="34D670AE"/>
    <w:rsid w:val="34DD0975"/>
    <w:rsid w:val="34EA38FF"/>
    <w:rsid w:val="34F25146"/>
    <w:rsid w:val="34F453B9"/>
    <w:rsid w:val="34FE3200"/>
    <w:rsid w:val="35005FA6"/>
    <w:rsid w:val="351077A3"/>
    <w:rsid w:val="351F14A9"/>
    <w:rsid w:val="352A3454"/>
    <w:rsid w:val="352C7E46"/>
    <w:rsid w:val="353A5F86"/>
    <w:rsid w:val="35492D24"/>
    <w:rsid w:val="354A70F1"/>
    <w:rsid w:val="354C5C0C"/>
    <w:rsid w:val="354E6723"/>
    <w:rsid w:val="355C30E5"/>
    <w:rsid w:val="355C364F"/>
    <w:rsid w:val="35643DDF"/>
    <w:rsid w:val="35657D0F"/>
    <w:rsid w:val="35687D17"/>
    <w:rsid w:val="35846962"/>
    <w:rsid w:val="3589541E"/>
    <w:rsid w:val="358C5FA8"/>
    <w:rsid w:val="35976267"/>
    <w:rsid w:val="359A5F52"/>
    <w:rsid w:val="359B5B7D"/>
    <w:rsid w:val="35A60C59"/>
    <w:rsid w:val="35A85239"/>
    <w:rsid w:val="35B70250"/>
    <w:rsid w:val="35C15DF1"/>
    <w:rsid w:val="35C16F69"/>
    <w:rsid w:val="35C661CB"/>
    <w:rsid w:val="35C943A9"/>
    <w:rsid w:val="35DB74D3"/>
    <w:rsid w:val="35DC6F64"/>
    <w:rsid w:val="35E76C6E"/>
    <w:rsid w:val="36033B4B"/>
    <w:rsid w:val="36071651"/>
    <w:rsid w:val="36074A7F"/>
    <w:rsid w:val="360C1204"/>
    <w:rsid w:val="360D020C"/>
    <w:rsid w:val="361F7D1C"/>
    <w:rsid w:val="3627737A"/>
    <w:rsid w:val="362D26D7"/>
    <w:rsid w:val="362D2E51"/>
    <w:rsid w:val="36303742"/>
    <w:rsid w:val="363E082E"/>
    <w:rsid w:val="363F05B7"/>
    <w:rsid w:val="364150DD"/>
    <w:rsid w:val="36460EBB"/>
    <w:rsid w:val="36551247"/>
    <w:rsid w:val="36591810"/>
    <w:rsid w:val="36600FFD"/>
    <w:rsid w:val="36602284"/>
    <w:rsid w:val="36636FAE"/>
    <w:rsid w:val="366559E4"/>
    <w:rsid w:val="36696744"/>
    <w:rsid w:val="366C7711"/>
    <w:rsid w:val="366E70BA"/>
    <w:rsid w:val="36751AE8"/>
    <w:rsid w:val="367839F1"/>
    <w:rsid w:val="36892969"/>
    <w:rsid w:val="3689596E"/>
    <w:rsid w:val="368C5E8A"/>
    <w:rsid w:val="368E4572"/>
    <w:rsid w:val="36923549"/>
    <w:rsid w:val="36941D2E"/>
    <w:rsid w:val="36945626"/>
    <w:rsid w:val="36971504"/>
    <w:rsid w:val="36A007CA"/>
    <w:rsid w:val="36A250E1"/>
    <w:rsid w:val="36A26AB8"/>
    <w:rsid w:val="36A46745"/>
    <w:rsid w:val="36A927C1"/>
    <w:rsid w:val="36AF2CD9"/>
    <w:rsid w:val="36B07587"/>
    <w:rsid w:val="36B75FBF"/>
    <w:rsid w:val="36BD0C45"/>
    <w:rsid w:val="36BD4858"/>
    <w:rsid w:val="36C41867"/>
    <w:rsid w:val="36E105D1"/>
    <w:rsid w:val="36E22EC5"/>
    <w:rsid w:val="36E3399C"/>
    <w:rsid w:val="36F00C97"/>
    <w:rsid w:val="36F03699"/>
    <w:rsid w:val="37020658"/>
    <w:rsid w:val="370738AE"/>
    <w:rsid w:val="370F2A87"/>
    <w:rsid w:val="371931C9"/>
    <w:rsid w:val="37244754"/>
    <w:rsid w:val="3727057D"/>
    <w:rsid w:val="3733619D"/>
    <w:rsid w:val="37356E41"/>
    <w:rsid w:val="37377B13"/>
    <w:rsid w:val="37424747"/>
    <w:rsid w:val="37501759"/>
    <w:rsid w:val="37534F8E"/>
    <w:rsid w:val="37576D69"/>
    <w:rsid w:val="375F6CF9"/>
    <w:rsid w:val="37636034"/>
    <w:rsid w:val="376A2971"/>
    <w:rsid w:val="377F7E20"/>
    <w:rsid w:val="37830B4E"/>
    <w:rsid w:val="37831F2B"/>
    <w:rsid w:val="379A4711"/>
    <w:rsid w:val="37A5648B"/>
    <w:rsid w:val="37A8122E"/>
    <w:rsid w:val="37A90E01"/>
    <w:rsid w:val="37AA0057"/>
    <w:rsid w:val="37B151E3"/>
    <w:rsid w:val="37BA2EB7"/>
    <w:rsid w:val="37C2178A"/>
    <w:rsid w:val="37CC7945"/>
    <w:rsid w:val="37D15A0A"/>
    <w:rsid w:val="37E00298"/>
    <w:rsid w:val="37EE644C"/>
    <w:rsid w:val="37F4477C"/>
    <w:rsid w:val="37F6766F"/>
    <w:rsid w:val="37F93FFA"/>
    <w:rsid w:val="380251C5"/>
    <w:rsid w:val="3803572C"/>
    <w:rsid w:val="38063178"/>
    <w:rsid w:val="380B25BB"/>
    <w:rsid w:val="380E46D0"/>
    <w:rsid w:val="3815221B"/>
    <w:rsid w:val="381C2FE5"/>
    <w:rsid w:val="382376CA"/>
    <w:rsid w:val="382953B9"/>
    <w:rsid w:val="382A4B94"/>
    <w:rsid w:val="382F015D"/>
    <w:rsid w:val="38357912"/>
    <w:rsid w:val="383B73FE"/>
    <w:rsid w:val="384E5BF8"/>
    <w:rsid w:val="38573F95"/>
    <w:rsid w:val="38677AB1"/>
    <w:rsid w:val="387463B2"/>
    <w:rsid w:val="38761599"/>
    <w:rsid w:val="38795776"/>
    <w:rsid w:val="38796E36"/>
    <w:rsid w:val="387A6406"/>
    <w:rsid w:val="389511CA"/>
    <w:rsid w:val="38B302F9"/>
    <w:rsid w:val="38B3379E"/>
    <w:rsid w:val="38B376D4"/>
    <w:rsid w:val="38C074FD"/>
    <w:rsid w:val="38D25379"/>
    <w:rsid w:val="38D56AB7"/>
    <w:rsid w:val="38E5315D"/>
    <w:rsid w:val="38EC4CD7"/>
    <w:rsid w:val="38EE4178"/>
    <w:rsid w:val="38EF0028"/>
    <w:rsid w:val="38F12CD3"/>
    <w:rsid w:val="38F20880"/>
    <w:rsid w:val="38F419B2"/>
    <w:rsid w:val="38F62031"/>
    <w:rsid w:val="38F94775"/>
    <w:rsid w:val="390053EC"/>
    <w:rsid w:val="39007906"/>
    <w:rsid w:val="39026A26"/>
    <w:rsid w:val="39246EA0"/>
    <w:rsid w:val="392971ED"/>
    <w:rsid w:val="39325651"/>
    <w:rsid w:val="3939227C"/>
    <w:rsid w:val="393A40F3"/>
    <w:rsid w:val="39421AEB"/>
    <w:rsid w:val="39466554"/>
    <w:rsid w:val="394A3EAD"/>
    <w:rsid w:val="395D5BD0"/>
    <w:rsid w:val="396106E4"/>
    <w:rsid w:val="39693A3D"/>
    <w:rsid w:val="396F5E79"/>
    <w:rsid w:val="397620A3"/>
    <w:rsid w:val="397A13EA"/>
    <w:rsid w:val="397A22F3"/>
    <w:rsid w:val="397E7A8A"/>
    <w:rsid w:val="39983FDE"/>
    <w:rsid w:val="399C7344"/>
    <w:rsid w:val="39A02FA9"/>
    <w:rsid w:val="39A17E9A"/>
    <w:rsid w:val="39A32BC7"/>
    <w:rsid w:val="39A47E6A"/>
    <w:rsid w:val="39B01457"/>
    <w:rsid w:val="39B62EBE"/>
    <w:rsid w:val="39B977C4"/>
    <w:rsid w:val="39BB42B2"/>
    <w:rsid w:val="39C9085A"/>
    <w:rsid w:val="39CB0B08"/>
    <w:rsid w:val="39CB21C3"/>
    <w:rsid w:val="39CB2D18"/>
    <w:rsid w:val="39CE489D"/>
    <w:rsid w:val="39E14104"/>
    <w:rsid w:val="3A02191F"/>
    <w:rsid w:val="3A05108E"/>
    <w:rsid w:val="3A076B84"/>
    <w:rsid w:val="3A0905A1"/>
    <w:rsid w:val="3A1E1FE3"/>
    <w:rsid w:val="3A1E523B"/>
    <w:rsid w:val="3A257582"/>
    <w:rsid w:val="3A370BD9"/>
    <w:rsid w:val="3A394516"/>
    <w:rsid w:val="3A4E7C9E"/>
    <w:rsid w:val="3A500759"/>
    <w:rsid w:val="3A527D8C"/>
    <w:rsid w:val="3A651D5D"/>
    <w:rsid w:val="3A6B426C"/>
    <w:rsid w:val="3A720384"/>
    <w:rsid w:val="3A7B7D24"/>
    <w:rsid w:val="3A7D72CF"/>
    <w:rsid w:val="3A872856"/>
    <w:rsid w:val="3A94128F"/>
    <w:rsid w:val="3AA64146"/>
    <w:rsid w:val="3AB14D5B"/>
    <w:rsid w:val="3AB2752D"/>
    <w:rsid w:val="3AC16F61"/>
    <w:rsid w:val="3AC3592F"/>
    <w:rsid w:val="3AC84D53"/>
    <w:rsid w:val="3ACF0389"/>
    <w:rsid w:val="3AD2781C"/>
    <w:rsid w:val="3AD672B6"/>
    <w:rsid w:val="3AD83EB2"/>
    <w:rsid w:val="3ADA22C6"/>
    <w:rsid w:val="3AEE3E3D"/>
    <w:rsid w:val="3AF41DA4"/>
    <w:rsid w:val="3AF85C8A"/>
    <w:rsid w:val="3B0B419B"/>
    <w:rsid w:val="3B136A8D"/>
    <w:rsid w:val="3B182A95"/>
    <w:rsid w:val="3B186FEE"/>
    <w:rsid w:val="3B1F2EB0"/>
    <w:rsid w:val="3B286CC9"/>
    <w:rsid w:val="3B2D2D3C"/>
    <w:rsid w:val="3B2E2C57"/>
    <w:rsid w:val="3B300DFB"/>
    <w:rsid w:val="3B3763D1"/>
    <w:rsid w:val="3B48454E"/>
    <w:rsid w:val="3B486F74"/>
    <w:rsid w:val="3B585B0B"/>
    <w:rsid w:val="3B691AD2"/>
    <w:rsid w:val="3B7255C9"/>
    <w:rsid w:val="3B764715"/>
    <w:rsid w:val="3B79734D"/>
    <w:rsid w:val="3B7B44CC"/>
    <w:rsid w:val="3B7C1525"/>
    <w:rsid w:val="3B836925"/>
    <w:rsid w:val="3B8A1BDB"/>
    <w:rsid w:val="3B920B66"/>
    <w:rsid w:val="3B9224B1"/>
    <w:rsid w:val="3B9E693E"/>
    <w:rsid w:val="3BA2694A"/>
    <w:rsid w:val="3BA44C68"/>
    <w:rsid w:val="3BA62ECC"/>
    <w:rsid w:val="3BB02C79"/>
    <w:rsid w:val="3BB31802"/>
    <w:rsid w:val="3BB31CE7"/>
    <w:rsid w:val="3BC53C13"/>
    <w:rsid w:val="3BC7289E"/>
    <w:rsid w:val="3BC9035E"/>
    <w:rsid w:val="3BCC0F7C"/>
    <w:rsid w:val="3BD4116A"/>
    <w:rsid w:val="3BDD1AEB"/>
    <w:rsid w:val="3BFF3BBC"/>
    <w:rsid w:val="3C032A97"/>
    <w:rsid w:val="3C064BEF"/>
    <w:rsid w:val="3C11121A"/>
    <w:rsid w:val="3C146849"/>
    <w:rsid w:val="3C1F3E9E"/>
    <w:rsid w:val="3C200413"/>
    <w:rsid w:val="3C2C2204"/>
    <w:rsid w:val="3C2F6E1E"/>
    <w:rsid w:val="3C3319EF"/>
    <w:rsid w:val="3C4F64BA"/>
    <w:rsid w:val="3C5008C9"/>
    <w:rsid w:val="3C545324"/>
    <w:rsid w:val="3C56016B"/>
    <w:rsid w:val="3C625A26"/>
    <w:rsid w:val="3C684A62"/>
    <w:rsid w:val="3C8866AF"/>
    <w:rsid w:val="3C907984"/>
    <w:rsid w:val="3C944F6D"/>
    <w:rsid w:val="3CA014F2"/>
    <w:rsid w:val="3CA737D7"/>
    <w:rsid w:val="3CA86489"/>
    <w:rsid w:val="3CBA75D1"/>
    <w:rsid w:val="3CBB7A02"/>
    <w:rsid w:val="3CBF2A51"/>
    <w:rsid w:val="3CC64BD3"/>
    <w:rsid w:val="3CC863B4"/>
    <w:rsid w:val="3CCA01FA"/>
    <w:rsid w:val="3CD13E5F"/>
    <w:rsid w:val="3CDA245A"/>
    <w:rsid w:val="3CDD7C7D"/>
    <w:rsid w:val="3CF969AC"/>
    <w:rsid w:val="3D0704C0"/>
    <w:rsid w:val="3D085546"/>
    <w:rsid w:val="3D0D2931"/>
    <w:rsid w:val="3D104DDF"/>
    <w:rsid w:val="3D174B6E"/>
    <w:rsid w:val="3D1E06B7"/>
    <w:rsid w:val="3D281519"/>
    <w:rsid w:val="3D307D2B"/>
    <w:rsid w:val="3D3B0C90"/>
    <w:rsid w:val="3D3B3190"/>
    <w:rsid w:val="3D40219E"/>
    <w:rsid w:val="3D4323F8"/>
    <w:rsid w:val="3D43580C"/>
    <w:rsid w:val="3D575C77"/>
    <w:rsid w:val="3D697BF0"/>
    <w:rsid w:val="3D6C4579"/>
    <w:rsid w:val="3D762284"/>
    <w:rsid w:val="3D7C02BD"/>
    <w:rsid w:val="3D7D4A56"/>
    <w:rsid w:val="3D820C29"/>
    <w:rsid w:val="3D8D4BFC"/>
    <w:rsid w:val="3DA476D6"/>
    <w:rsid w:val="3DA541C6"/>
    <w:rsid w:val="3DA71BDA"/>
    <w:rsid w:val="3DAF6097"/>
    <w:rsid w:val="3DB15D74"/>
    <w:rsid w:val="3DB928CE"/>
    <w:rsid w:val="3DBF2A59"/>
    <w:rsid w:val="3DC3226B"/>
    <w:rsid w:val="3DC80877"/>
    <w:rsid w:val="3DDC2A9D"/>
    <w:rsid w:val="3DE35566"/>
    <w:rsid w:val="3DF66AE2"/>
    <w:rsid w:val="3E02162D"/>
    <w:rsid w:val="3E0353ED"/>
    <w:rsid w:val="3E040482"/>
    <w:rsid w:val="3E0D7C92"/>
    <w:rsid w:val="3E0E3C7D"/>
    <w:rsid w:val="3E0F1049"/>
    <w:rsid w:val="3E1451A0"/>
    <w:rsid w:val="3E246EA8"/>
    <w:rsid w:val="3E2C5F8A"/>
    <w:rsid w:val="3E2D4397"/>
    <w:rsid w:val="3E3876E6"/>
    <w:rsid w:val="3E3D0BC6"/>
    <w:rsid w:val="3E472A00"/>
    <w:rsid w:val="3E494AB2"/>
    <w:rsid w:val="3E5124E6"/>
    <w:rsid w:val="3E5416F2"/>
    <w:rsid w:val="3E54353E"/>
    <w:rsid w:val="3E673E8D"/>
    <w:rsid w:val="3E6B64C5"/>
    <w:rsid w:val="3E7137F2"/>
    <w:rsid w:val="3E761E74"/>
    <w:rsid w:val="3E783F0A"/>
    <w:rsid w:val="3E7A6423"/>
    <w:rsid w:val="3E8045E9"/>
    <w:rsid w:val="3E844D20"/>
    <w:rsid w:val="3E855B6F"/>
    <w:rsid w:val="3E88387C"/>
    <w:rsid w:val="3E90381A"/>
    <w:rsid w:val="3E962D2E"/>
    <w:rsid w:val="3E9A4051"/>
    <w:rsid w:val="3E9E6DBF"/>
    <w:rsid w:val="3EA11583"/>
    <w:rsid w:val="3EA65B53"/>
    <w:rsid w:val="3EAB45EF"/>
    <w:rsid w:val="3EAB4BB5"/>
    <w:rsid w:val="3EB7637F"/>
    <w:rsid w:val="3EC43173"/>
    <w:rsid w:val="3EC7548D"/>
    <w:rsid w:val="3ECB665C"/>
    <w:rsid w:val="3ECE1975"/>
    <w:rsid w:val="3EDA0523"/>
    <w:rsid w:val="3EDF114F"/>
    <w:rsid w:val="3EDF6527"/>
    <w:rsid w:val="3EE3242F"/>
    <w:rsid w:val="3EE60180"/>
    <w:rsid w:val="3EE9387D"/>
    <w:rsid w:val="3EF91F0A"/>
    <w:rsid w:val="3F061603"/>
    <w:rsid w:val="3F073D71"/>
    <w:rsid w:val="3F0D1CE6"/>
    <w:rsid w:val="3F166E8C"/>
    <w:rsid w:val="3F1D2C31"/>
    <w:rsid w:val="3F245CBE"/>
    <w:rsid w:val="3F261A45"/>
    <w:rsid w:val="3F345D80"/>
    <w:rsid w:val="3F407918"/>
    <w:rsid w:val="3F4A7DCA"/>
    <w:rsid w:val="3F4E392C"/>
    <w:rsid w:val="3F52251D"/>
    <w:rsid w:val="3F555D97"/>
    <w:rsid w:val="3F58429F"/>
    <w:rsid w:val="3F5E0753"/>
    <w:rsid w:val="3F645169"/>
    <w:rsid w:val="3F6638E0"/>
    <w:rsid w:val="3F6902F3"/>
    <w:rsid w:val="3F6911E2"/>
    <w:rsid w:val="3F90147C"/>
    <w:rsid w:val="3F986038"/>
    <w:rsid w:val="3F9C3433"/>
    <w:rsid w:val="3F9E4CEF"/>
    <w:rsid w:val="3F9F2EEF"/>
    <w:rsid w:val="3FA2693A"/>
    <w:rsid w:val="3FAD4CB7"/>
    <w:rsid w:val="3FB2668C"/>
    <w:rsid w:val="3FBD02A0"/>
    <w:rsid w:val="3FC656E0"/>
    <w:rsid w:val="3FCD3383"/>
    <w:rsid w:val="3FD65F56"/>
    <w:rsid w:val="3FE91614"/>
    <w:rsid w:val="3FEC32A4"/>
    <w:rsid w:val="3FF16127"/>
    <w:rsid w:val="3FFB5D22"/>
    <w:rsid w:val="40024B78"/>
    <w:rsid w:val="40084217"/>
    <w:rsid w:val="400F2976"/>
    <w:rsid w:val="40124433"/>
    <w:rsid w:val="401937B8"/>
    <w:rsid w:val="402751BF"/>
    <w:rsid w:val="402D1859"/>
    <w:rsid w:val="402E5098"/>
    <w:rsid w:val="40344BE5"/>
    <w:rsid w:val="40362B2C"/>
    <w:rsid w:val="4043127C"/>
    <w:rsid w:val="404534AE"/>
    <w:rsid w:val="404F303D"/>
    <w:rsid w:val="405802AC"/>
    <w:rsid w:val="40693C77"/>
    <w:rsid w:val="407110CB"/>
    <w:rsid w:val="407374BD"/>
    <w:rsid w:val="4079618D"/>
    <w:rsid w:val="407A6407"/>
    <w:rsid w:val="407C4502"/>
    <w:rsid w:val="407D6812"/>
    <w:rsid w:val="407F119F"/>
    <w:rsid w:val="40922F67"/>
    <w:rsid w:val="40983E20"/>
    <w:rsid w:val="409962F6"/>
    <w:rsid w:val="409C3769"/>
    <w:rsid w:val="40A03917"/>
    <w:rsid w:val="40A47C65"/>
    <w:rsid w:val="40AC19D6"/>
    <w:rsid w:val="40AD0D96"/>
    <w:rsid w:val="40AE4934"/>
    <w:rsid w:val="40AE59CC"/>
    <w:rsid w:val="40B9378B"/>
    <w:rsid w:val="40C90EAA"/>
    <w:rsid w:val="40CB5E7F"/>
    <w:rsid w:val="40CD3961"/>
    <w:rsid w:val="40CF1541"/>
    <w:rsid w:val="40D06F4B"/>
    <w:rsid w:val="40D2378F"/>
    <w:rsid w:val="40D4300A"/>
    <w:rsid w:val="40D63DBD"/>
    <w:rsid w:val="40D9313D"/>
    <w:rsid w:val="40DC12CC"/>
    <w:rsid w:val="40DC15A1"/>
    <w:rsid w:val="40E65973"/>
    <w:rsid w:val="40E70C87"/>
    <w:rsid w:val="40FA6617"/>
    <w:rsid w:val="40FA7B4F"/>
    <w:rsid w:val="40FE4B98"/>
    <w:rsid w:val="41030B40"/>
    <w:rsid w:val="4105404B"/>
    <w:rsid w:val="4109298D"/>
    <w:rsid w:val="410D13DD"/>
    <w:rsid w:val="410F1202"/>
    <w:rsid w:val="411335C1"/>
    <w:rsid w:val="41264819"/>
    <w:rsid w:val="41282ADD"/>
    <w:rsid w:val="412C6E0B"/>
    <w:rsid w:val="412D08E1"/>
    <w:rsid w:val="4154216F"/>
    <w:rsid w:val="41555A07"/>
    <w:rsid w:val="417E2828"/>
    <w:rsid w:val="41840FE2"/>
    <w:rsid w:val="4199579D"/>
    <w:rsid w:val="419E7FFC"/>
    <w:rsid w:val="41B7527B"/>
    <w:rsid w:val="41B95FBD"/>
    <w:rsid w:val="41BC41E4"/>
    <w:rsid w:val="41BF4747"/>
    <w:rsid w:val="41C32995"/>
    <w:rsid w:val="41C66314"/>
    <w:rsid w:val="41C70AFE"/>
    <w:rsid w:val="41DB646A"/>
    <w:rsid w:val="41FF5BEC"/>
    <w:rsid w:val="4200449D"/>
    <w:rsid w:val="4205007B"/>
    <w:rsid w:val="42072045"/>
    <w:rsid w:val="420D268E"/>
    <w:rsid w:val="421E4AB5"/>
    <w:rsid w:val="42222D56"/>
    <w:rsid w:val="422415C3"/>
    <w:rsid w:val="422D73F9"/>
    <w:rsid w:val="422F38CD"/>
    <w:rsid w:val="42301AC7"/>
    <w:rsid w:val="42343D74"/>
    <w:rsid w:val="423563AB"/>
    <w:rsid w:val="423A3BCC"/>
    <w:rsid w:val="424849BF"/>
    <w:rsid w:val="424E57D2"/>
    <w:rsid w:val="425865B1"/>
    <w:rsid w:val="425E13E4"/>
    <w:rsid w:val="42621702"/>
    <w:rsid w:val="426C6DEA"/>
    <w:rsid w:val="4270528E"/>
    <w:rsid w:val="42793431"/>
    <w:rsid w:val="4281471A"/>
    <w:rsid w:val="428A78C1"/>
    <w:rsid w:val="42901458"/>
    <w:rsid w:val="4291686D"/>
    <w:rsid w:val="42943C55"/>
    <w:rsid w:val="42A54029"/>
    <w:rsid w:val="42AC02DB"/>
    <w:rsid w:val="42AF24F9"/>
    <w:rsid w:val="42B26C49"/>
    <w:rsid w:val="42BE3DCA"/>
    <w:rsid w:val="42C006E6"/>
    <w:rsid w:val="42CB787B"/>
    <w:rsid w:val="42CE14BF"/>
    <w:rsid w:val="42D06AAB"/>
    <w:rsid w:val="42EC092C"/>
    <w:rsid w:val="42EC2299"/>
    <w:rsid w:val="42ED4682"/>
    <w:rsid w:val="42ED7A90"/>
    <w:rsid w:val="42EE35DB"/>
    <w:rsid w:val="42EF1D2A"/>
    <w:rsid w:val="42F64DF5"/>
    <w:rsid w:val="42FE2F9B"/>
    <w:rsid w:val="42FE38A4"/>
    <w:rsid w:val="431953C5"/>
    <w:rsid w:val="432339BF"/>
    <w:rsid w:val="43257C3F"/>
    <w:rsid w:val="4339745C"/>
    <w:rsid w:val="433A6FE6"/>
    <w:rsid w:val="433C3F68"/>
    <w:rsid w:val="434415E1"/>
    <w:rsid w:val="43480868"/>
    <w:rsid w:val="4350713C"/>
    <w:rsid w:val="435479E8"/>
    <w:rsid w:val="43587B76"/>
    <w:rsid w:val="435A0BA6"/>
    <w:rsid w:val="43625946"/>
    <w:rsid w:val="436653E0"/>
    <w:rsid w:val="437012B3"/>
    <w:rsid w:val="43731527"/>
    <w:rsid w:val="437916F4"/>
    <w:rsid w:val="437958FD"/>
    <w:rsid w:val="437D38F5"/>
    <w:rsid w:val="438020AF"/>
    <w:rsid w:val="438D7A4F"/>
    <w:rsid w:val="438F69E7"/>
    <w:rsid w:val="43904D57"/>
    <w:rsid w:val="43981BBA"/>
    <w:rsid w:val="439C49F8"/>
    <w:rsid w:val="43AC7EAD"/>
    <w:rsid w:val="43AD0658"/>
    <w:rsid w:val="43C0015A"/>
    <w:rsid w:val="43C25F4C"/>
    <w:rsid w:val="43C4431A"/>
    <w:rsid w:val="43C90B43"/>
    <w:rsid w:val="43C94174"/>
    <w:rsid w:val="43D33D56"/>
    <w:rsid w:val="43D718A8"/>
    <w:rsid w:val="43DA7395"/>
    <w:rsid w:val="43E828F9"/>
    <w:rsid w:val="43EF30B2"/>
    <w:rsid w:val="43FB1735"/>
    <w:rsid w:val="43FB2DAF"/>
    <w:rsid w:val="44086C6D"/>
    <w:rsid w:val="44164A62"/>
    <w:rsid w:val="4425103D"/>
    <w:rsid w:val="44276865"/>
    <w:rsid w:val="44286708"/>
    <w:rsid w:val="442B6547"/>
    <w:rsid w:val="44395167"/>
    <w:rsid w:val="443B32C3"/>
    <w:rsid w:val="44424D9E"/>
    <w:rsid w:val="444D0640"/>
    <w:rsid w:val="444F104C"/>
    <w:rsid w:val="44567434"/>
    <w:rsid w:val="446D3224"/>
    <w:rsid w:val="44975C57"/>
    <w:rsid w:val="449D72FA"/>
    <w:rsid w:val="449D7720"/>
    <w:rsid w:val="44A2776D"/>
    <w:rsid w:val="44AB699A"/>
    <w:rsid w:val="44B678D6"/>
    <w:rsid w:val="44B951CC"/>
    <w:rsid w:val="44C372FD"/>
    <w:rsid w:val="44C43D05"/>
    <w:rsid w:val="44CD14E0"/>
    <w:rsid w:val="44CF70E9"/>
    <w:rsid w:val="44D26FA6"/>
    <w:rsid w:val="44D72754"/>
    <w:rsid w:val="44DB1389"/>
    <w:rsid w:val="44DF1CFB"/>
    <w:rsid w:val="44E11D03"/>
    <w:rsid w:val="44E62FB8"/>
    <w:rsid w:val="44E66872"/>
    <w:rsid w:val="44EE0B22"/>
    <w:rsid w:val="44EE10C1"/>
    <w:rsid w:val="44F20B0B"/>
    <w:rsid w:val="45023856"/>
    <w:rsid w:val="45067A1F"/>
    <w:rsid w:val="45094D9A"/>
    <w:rsid w:val="450D216D"/>
    <w:rsid w:val="451422F9"/>
    <w:rsid w:val="452E5F4C"/>
    <w:rsid w:val="4534011E"/>
    <w:rsid w:val="453C5DF1"/>
    <w:rsid w:val="45416BC6"/>
    <w:rsid w:val="454B3E10"/>
    <w:rsid w:val="454F1D39"/>
    <w:rsid w:val="45513D6F"/>
    <w:rsid w:val="455A631E"/>
    <w:rsid w:val="455A6C57"/>
    <w:rsid w:val="45606A71"/>
    <w:rsid w:val="45606BA0"/>
    <w:rsid w:val="45612018"/>
    <w:rsid w:val="45713BE7"/>
    <w:rsid w:val="457163A9"/>
    <w:rsid w:val="45893115"/>
    <w:rsid w:val="458946E9"/>
    <w:rsid w:val="458A2890"/>
    <w:rsid w:val="45A47C0E"/>
    <w:rsid w:val="45AE22C0"/>
    <w:rsid w:val="45AF70F7"/>
    <w:rsid w:val="45BA35BE"/>
    <w:rsid w:val="45C10D70"/>
    <w:rsid w:val="45C32964"/>
    <w:rsid w:val="45CE4AFD"/>
    <w:rsid w:val="45D229D9"/>
    <w:rsid w:val="45D97AD1"/>
    <w:rsid w:val="45DF1F82"/>
    <w:rsid w:val="45DF29BD"/>
    <w:rsid w:val="45E85CE9"/>
    <w:rsid w:val="45F70132"/>
    <w:rsid w:val="4605689B"/>
    <w:rsid w:val="46081169"/>
    <w:rsid w:val="461222D5"/>
    <w:rsid w:val="46174AEA"/>
    <w:rsid w:val="461C05CF"/>
    <w:rsid w:val="46234623"/>
    <w:rsid w:val="4624312C"/>
    <w:rsid w:val="46295D27"/>
    <w:rsid w:val="46390DB4"/>
    <w:rsid w:val="463B0D87"/>
    <w:rsid w:val="463B72C6"/>
    <w:rsid w:val="464F02A0"/>
    <w:rsid w:val="46577FD6"/>
    <w:rsid w:val="466B480E"/>
    <w:rsid w:val="466C3579"/>
    <w:rsid w:val="46714096"/>
    <w:rsid w:val="46732BFC"/>
    <w:rsid w:val="46776292"/>
    <w:rsid w:val="46800FA9"/>
    <w:rsid w:val="46806A8C"/>
    <w:rsid w:val="468C3D89"/>
    <w:rsid w:val="468D5F2C"/>
    <w:rsid w:val="4692176B"/>
    <w:rsid w:val="46AA7668"/>
    <w:rsid w:val="46C04A63"/>
    <w:rsid w:val="46D62388"/>
    <w:rsid w:val="46D955A7"/>
    <w:rsid w:val="46E2487F"/>
    <w:rsid w:val="46E26D17"/>
    <w:rsid w:val="46EE104F"/>
    <w:rsid w:val="46FC5BDF"/>
    <w:rsid w:val="46FD385B"/>
    <w:rsid w:val="47133957"/>
    <w:rsid w:val="47154451"/>
    <w:rsid w:val="471E2283"/>
    <w:rsid w:val="472D26D6"/>
    <w:rsid w:val="472D6B69"/>
    <w:rsid w:val="47310745"/>
    <w:rsid w:val="47382897"/>
    <w:rsid w:val="473839AE"/>
    <w:rsid w:val="47421565"/>
    <w:rsid w:val="47463AA2"/>
    <w:rsid w:val="474A5674"/>
    <w:rsid w:val="474B117D"/>
    <w:rsid w:val="474C3E61"/>
    <w:rsid w:val="4770525F"/>
    <w:rsid w:val="47723ABC"/>
    <w:rsid w:val="47780365"/>
    <w:rsid w:val="478016F1"/>
    <w:rsid w:val="47883CE9"/>
    <w:rsid w:val="4790729D"/>
    <w:rsid w:val="47934F33"/>
    <w:rsid w:val="479753FF"/>
    <w:rsid w:val="47A07E0C"/>
    <w:rsid w:val="47AB298B"/>
    <w:rsid w:val="47B4366B"/>
    <w:rsid w:val="47B5108C"/>
    <w:rsid w:val="47B67161"/>
    <w:rsid w:val="47B8225D"/>
    <w:rsid w:val="47C464F3"/>
    <w:rsid w:val="47C60E58"/>
    <w:rsid w:val="47CF57E8"/>
    <w:rsid w:val="47D9785A"/>
    <w:rsid w:val="47DB60DF"/>
    <w:rsid w:val="47DF72DD"/>
    <w:rsid w:val="47E464C4"/>
    <w:rsid w:val="47E739D1"/>
    <w:rsid w:val="47EF021B"/>
    <w:rsid w:val="47F06AEA"/>
    <w:rsid w:val="47F4636B"/>
    <w:rsid w:val="47F60613"/>
    <w:rsid w:val="48016461"/>
    <w:rsid w:val="480606B0"/>
    <w:rsid w:val="480D1E6C"/>
    <w:rsid w:val="4813072A"/>
    <w:rsid w:val="481E41DD"/>
    <w:rsid w:val="482078A2"/>
    <w:rsid w:val="483E7B09"/>
    <w:rsid w:val="484D05AF"/>
    <w:rsid w:val="4853630C"/>
    <w:rsid w:val="486240CF"/>
    <w:rsid w:val="4870272E"/>
    <w:rsid w:val="48796059"/>
    <w:rsid w:val="487D22FF"/>
    <w:rsid w:val="487F440D"/>
    <w:rsid w:val="48834F64"/>
    <w:rsid w:val="488552A7"/>
    <w:rsid w:val="48861FD6"/>
    <w:rsid w:val="489F6781"/>
    <w:rsid w:val="48A028AB"/>
    <w:rsid w:val="48A17BE1"/>
    <w:rsid w:val="48D53DF6"/>
    <w:rsid w:val="48E15136"/>
    <w:rsid w:val="48E2475B"/>
    <w:rsid w:val="48E850D8"/>
    <w:rsid w:val="48E9561A"/>
    <w:rsid w:val="48EE7ABB"/>
    <w:rsid w:val="48F71D9A"/>
    <w:rsid w:val="48FB099F"/>
    <w:rsid w:val="49047032"/>
    <w:rsid w:val="491164A8"/>
    <w:rsid w:val="49173855"/>
    <w:rsid w:val="49200EE4"/>
    <w:rsid w:val="492165F0"/>
    <w:rsid w:val="4927075D"/>
    <w:rsid w:val="492B6B28"/>
    <w:rsid w:val="493772D9"/>
    <w:rsid w:val="49490D0A"/>
    <w:rsid w:val="49516B58"/>
    <w:rsid w:val="4973344A"/>
    <w:rsid w:val="49821FF7"/>
    <w:rsid w:val="49831F68"/>
    <w:rsid w:val="498332D6"/>
    <w:rsid w:val="498D00D5"/>
    <w:rsid w:val="49980448"/>
    <w:rsid w:val="49986DE0"/>
    <w:rsid w:val="49A3785C"/>
    <w:rsid w:val="49A74A11"/>
    <w:rsid w:val="49A820FF"/>
    <w:rsid w:val="49BA7D60"/>
    <w:rsid w:val="49C16CDC"/>
    <w:rsid w:val="49CF169A"/>
    <w:rsid w:val="49D64D93"/>
    <w:rsid w:val="49DC7715"/>
    <w:rsid w:val="49E2427C"/>
    <w:rsid w:val="49E6009F"/>
    <w:rsid w:val="49E66FA6"/>
    <w:rsid w:val="49E81CE5"/>
    <w:rsid w:val="49EE50A5"/>
    <w:rsid w:val="49F20EE5"/>
    <w:rsid w:val="49FC191B"/>
    <w:rsid w:val="49FC2D6B"/>
    <w:rsid w:val="49FC4254"/>
    <w:rsid w:val="4A023139"/>
    <w:rsid w:val="4A103B07"/>
    <w:rsid w:val="4A1761DB"/>
    <w:rsid w:val="4A215875"/>
    <w:rsid w:val="4A25206A"/>
    <w:rsid w:val="4A2F1F94"/>
    <w:rsid w:val="4A3944A9"/>
    <w:rsid w:val="4A3D2387"/>
    <w:rsid w:val="4A3E121B"/>
    <w:rsid w:val="4A414DB7"/>
    <w:rsid w:val="4A432B6A"/>
    <w:rsid w:val="4A557797"/>
    <w:rsid w:val="4A653E40"/>
    <w:rsid w:val="4A7069BE"/>
    <w:rsid w:val="4A7B576F"/>
    <w:rsid w:val="4A827B47"/>
    <w:rsid w:val="4A831791"/>
    <w:rsid w:val="4A8923B4"/>
    <w:rsid w:val="4A91368D"/>
    <w:rsid w:val="4A9270C1"/>
    <w:rsid w:val="4A9C243A"/>
    <w:rsid w:val="4A9C4631"/>
    <w:rsid w:val="4A9E30A4"/>
    <w:rsid w:val="4AA42188"/>
    <w:rsid w:val="4AA46257"/>
    <w:rsid w:val="4AAE0949"/>
    <w:rsid w:val="4AAF5EFE"/>
    <w:rsid w:val="4AB06628"/>
    <w:rsid w:val="4AB71189"/>
    <w:rsid w:val="4AB91C69"/>
    <w:rsid w:val="4ABC46FA"/>
    <w:rsid w:val="4ABD7119"/>
    <w:rsid w:val="4ABE0396"/>
    <w:rsid w:val="4AC41116"/>
    <w:rsid w:val="4ACC4A74"/>
    <w:rsid w:val="4ACF1FE6"/>
    <w:rsid w:val="4AD01ECF"/>
    <w:rsid w:val="4AD166FC"/>
    <w:rsid w:val="4AD350E2"/>
    <w:rsid w:val="4AD82A68"/>
    <w:rsid w:val="4ADB2FE9"/>
    <w:rsid w:val="4ADB4F4B"/>
    <w:rsid w:val="4AE9495C"/>
    <w:rsid w:val="4AF561A9"/>
    <w:rsid w:val="4AFC5E5B"/>
    <w:rsid w:val="4AFF5FAF"/>
    <w:rsid w:val="4AFF7B15"/>
    <w:rsid w:val="4B10666E"/>
    <w:rsid w:val="4B164E5D"/>
    <w:rsid w:val="4B1E284E"/>
    <w:rsid w:val="4B292D6E"/>
    <w:rsid w:val="4B2B4286"/>
    <w:rsid w:val="4B3D4B2C"/>
    <w:rsid w:val="4B463076"/>
    <w:rsid w:val="4B540ACC"/>
    <w:rsid w:val="4B562D66"/>
    <w:rsid w:val="4B5F18CD"/>
    <w:rsid w:val="4B674538"/>
    <w:rsid w:val="4B6808CA"/>
    <w:rsid w:val="4B6834E6"/>
    <w:rsid w:val="4B792206"/>
    <w:rsid w:val="4B941221"/>
    <w:rsid w:val="4B9C0CBD"/>
    <w:rsid w:val="4B9E2CE6"/>
    <w:rsid w:val="4BAB033D"/>
    <w:rsid w:val="4BC61729"/>
    <w:rsid w:val="4BD11CF5"/>
    <w:rsid w:val="4BDB71C8"/>
    <w:rsid w:val="4BDF4940"/>
    <w:rsid w:val="4BE36E6E"/>
    <w:rsid w:val="4BEC2C5A"/>
    <w:rsid w:val="4BED33D6"/>
    <w:rsid w:val="4BF2326E"/>
    <w:rsid w:val="4BF4363A"/>
    <w:rsid w:val="4C08407D"/>
    <w:rsid w:val="4C0D716B"/>
    <w:rsid w:val="4C1C4A6D"/>
    <w:rsid w:val="4C20422D"/>
    <w:rsid w:val="4C236058"/>
    <w:rsid w:val="4C3B3017"/>
    <w:rsid w:val="4C3E41B3"/>
    <w:rsid w:val="4C42730A"/>
    <w:rsid w:val="4C4800D1"/>
    <w:rsid w:val="4C4A0649"/>
    <w:rsid w:val="4C5B304B"/>
    <w:rsid w:val="4C611872"/>
    <w:rsid w:val="4C64086E"/>
    <w:rsid w:val="4C64295D"/>
    <w:rsid w:val="4C65098B"/>
    <w:rsid w:val="4C6660C2"/>
    <w:rsid w:val="4C6C540D"/>
    <w:rsid w:val="4C7E5ECA"/>
    <w:rsid w:val="4C856E65"/>
    <w:rsid w:val="4C876AA5"/>
    <w:rsid w:val="4C8966D4"/>
    <w:rsid w:val="4C8F1AD1"/>
    <w:rsid w:val="4CA2384A"/>
    <w:rsid w:val="4CAA4B92"/>
    <w:rsid w:val="4CC52437"/>
    <w:rsid w:val="4CC80765"/>
    <w:rsid w:val="4CCC6E0F"/>
    <w:rsid w:val="4CCF67D1"/>
    <w:rsid w:val="4CD06B7A"/>
    <w:rsid w:val="4CD31958"/>
    <w:rsid w:val="4CD86AB8"/>
    <w:rsid w:val="4CE70CD4"/>
    <w:rsid w:val="4CEA708E"/>
    <w:rsid w:val="4CF70F08"/>
    <w:rsid w:val="4CFC4157"/>
    <w:rsid w:val="4D012083"/>
    <w:rsid w:val="4D05052A"/>
    <w:rsid w:val="4D090A1F"/>
    <w:rsid w:val="4D0D32BF"/>
    <w:rsid w:val="4D0E00FB"/>
    <w:rsid w:val="4D0F7FFF"/>
    <w:rsid w:val="4D176606"/>
    <w:rsid w:val="4D194414"/>
    <w:rsid w:val="4D240D6C"/>
    <w:rsid w:val="4D356FD0"/>
    <w:rsid w:val="4D3A0B92"/>
    <w:rsid w:val="4D431A7D"/>
    <w:rsid w:val="4D444BAD"/>
    <w:rsid w:val="4D542FAB"/>
    <w:rsid w:val="4D583170"/>
    <w:rsid w:val="4D657A15"/>
    <w:rsid w:val="4D6C059A"/>
    <w:rsid w:val="4D770B79"/>
    <w:rsid w:val="4D8558D7"/>
    <w:rsid w:val="4D8A3EB7"/>
    <w:rsid w:val="4D8D5AAF"/>
    <w:rsid w:val="4D9E07FD"/>
    <w:rsid w:val="4D9F3736"/>
    <w:rsid w:val="4DA47242"/>
    <w:rsid w:val="4DA57322"/>
    <w:rsid w:val="4DA922A1"/>
    <w:rsid w:val="4DB53E30"/>
    <w:rsid w:val="4DB87D11"/>
    <w:rsid w:val="4DBF2450"/>
    <w:rsid w:val="4DCC5701"/>
    <w:rsid w:val="4DD140ED"/>
    <w:rsid w:val="4DD34CBC"/>
    <w:rsid w:val="4DE007E5"/>
    <w:rsid w:val="4DE327F5"/>
    <w:rsid w:val="4DE67798"/>
    <w:rsid w:val="4DE82754"/>
    <w:rsid w:val="4DE84142"/>
    <w:rsid w:val="4DEC4FB0"/>
    <w:rsid w:val="4DF542F3"/>
    <w:rsid w:val="4DFD69FF"/>
    <w:rsid w:val="4E002804"/>
    <w:rsid w:val="4E052FDD"/>
    <w:rsid w:val="4E075D8A"/>
    <w:rsid w:val="4E0A4026"/>
    <w:rsid w:val="4E122694"/>
    <w:rsid w:val="4E1411B1"/>
    <w:rsid w:val="4E152001"/>
    <w:rsid w:val="4E19538C"/>
    <w:rsid w:val="4E1D17DB"/>
    <w:rsid w:val="4E1F4C93"/>
    <w:rsid w:val="4E326BF0"/>
    <w:rsid w:val="4E33196A"/>
    <w:rsid w:val="4E346327"/>
    <w:rsid w:val="4E3A1984"/>
    <w:rsid w:val="4E3C1FA0"/>
    <w:rsid w:val="4E3D6414"/>
    <w:rsid w:val="4E4710FB"/>
    <w:rsid w:val="4E495E8E"/>
    <w:rsid w:val="4E4C150B"/>
    <w:rsid w:val="4E4F0A74"/>
    <w:rsid w:val="4E5D208C"/>
    <w:rsid w:val="4E5D6736"/>
    <w:rsid w:val="4E5F45AC"/>
    <w:rsid w:val="4E61631E"/>
    <w:rsid w:val="4E621DAB"/>
    <w:rsid w:val="4E6301AA"/>
    <w:rsid w:val="4E732E57"/>
    <w:rsid w:val="4E7C5DE1"/>
    <w:rsid w:val="4E8745F7"/>
    <w:rsid w:val="4EA36EEE"/>
    <w:rsid w:val="4EA57EB3"/>
    <w:rsid w:val="4EBF559F"/>
    <w:rsid w:val="4EC00FAD"/>
    <w:rsid w:val="4EC2522F"/>
    <w:rsid w:val="4EC34FD5"/>
    <w:rsid w:val="4EDA518F"/>
    <w:rsid w:val="4EE724D5"/>
    <w:rsid w:val="4EF113BD"/>
    <w:rsid w:val="4EF50EF4"/>
    <w:rsid w:val="4EFA17D4"/>
    <w:rsid w:val="4F0010CC"/>
    <w:rsid w:val="4F140C9B"/>
    <w:rsid w:val="4F1A2EB9"/>
    <w:rsid w:val="4F1B2E28"/>
    <w:rsid w:val="4F1B74BF"/>
    <w:rsid w:val="4F1F7042"/>
    <w:rsid w:val="4F2346E5"/>
    <w:rsid w:val="4F28106D"/>
    <w:rsid w:val="4F393065"/>
    <w:rsid w:val="4F3C208C"/>
    <w:rsid w:val="4F3E0C37"/>
    <w:rsid w:val="4F416142"/>
    <w:rsid w:val="4F454CF5"/>
    <w:rsid w:val="4F454F34"/>
    <w:rsid w:val="4F547A75"/>
    <w:rsid w:val="4F5A4C43"/>
    <w:rsid w:val="4F767282"/>
    <w:rsid w:val="4F7C1223"/>
    <w:rsid w:val="4F88152A"/>
    <w:rsid w:val="4F8E686F"/>
    <w:rsid w:val="4F8F34AF"/>
    <w:rsid w:val="4F9843DC"/>
    <w:rsid w:val="4FA276FE"/>
    <w:rsid w:val="4FA60C3B"/>
    <w:rsid w:val="4FB46E05"/>
    <w:rsid w:val="4FB605BA"/>
    <w:rsid w:val="4FB65688"/>
    <w:rsid w:val="4FC62A8C"/>
    <w:rsid w:val="4FD61BE2"/>
    <w:rsid w:val="4FE20F0D"/>
    <w:rsid w:val="4FE25C6A"/>
    <w:rsid w:val="4FE51552"/>
    <w:rsid w:val="4FF053B2"/>
    <w:rsid w:val="4FFC57CD"/>
    <w:rsid w:val="4FFD48C7"/>
    <w:rsid w:val="500A47FD"/>
    <w:rsid w:val="500A4B59"/>
    <w:rsid w:val="50114CF8"/>
    <w:rsid w:val="5015384A"/>
    <w:rsid w:val="501E290C"/>
    <w:rsid w:val="50240A0B"/>
    <w:rsid w:val="502E7D5E"/>
    <w:rsid w:val="50330274"/>
    <w:rsid w:val="503B4F98"/>
    <w:rsid w:val="503D15A3"/>
    <w:rsid w:val="50493828"/>
    <w:rsid w:val="504A2EF1"/>
    <w:rsid w:val="504E2C4F"/>
    <w:rsid w:val="50504C4B"/>
    <w:rsid w:val="50514152"/>
    <w:rsid w:val="50514E80"/>
    <w:rsid w:val="505226DD"/>
    <w:rsid w:val="50526071"/>
    <w:rsid w:val="50530E34"/>
    <w:rsid w:val="50540AB2"/>
    <w:rsid w:val="50615C69"/>
    <w:rsid w:val="5069323B"/>
    <w:rsid w:val="506D37FE"/>
    <w:rsid w:val="506D540C"/>
    <w:rsid w:val="50740891"/>
    <w:rsid w:val="50766F17"/>
    <w:rsid w:val="507809BA"/>
    <w:rsid w:val="507F54DF"/>
    <w:rsid w:val="509C6E7C"/>
    <w:rsid w:val="50A25DAB"/>
    <w:rsid w:val="50AA2D11"/>
    <w:rsid w:val="50AE7424"/>
    <w:rsid w:val="50B6517B"/>
    <w:rsid w:val="50C54C1D"/>
    <w:rsid w:val="50CB59F5"/>
    <w:rsid w:val="50D547D5"/>
    <w:rsid w:val="50E00754"/>
    <w:rsid w:val="50E164B0"/>
    <w:rsid w:val="50E45F32"/>
    <w:rsid w:val="50F54F81"/>
    <w:rsid w:val="50F92A5F"/>
    <w:rsid w:val="51083C63"/>
    <w:rsid w:val="51091CEC"/>
    <w:rsid w:val="510A13BB"/>
    <w:rsid w:val="510E04A5"/>
    <w:rsid w:val="51125D69"/>
    <w:rsid w:val="51191F76"/>
    <w:rsid w:val="513425C6"/>
    <w:rsid w:val="513613AB"/>
    <w:rsid w:val="513E74A0"/>
    <w:rsid w:val="51417C67"/>
    <w:rsid w:val="5143416E"/>
    <w:rsid w:val="5144066F"/>
    <w:rsid w:val="51473B35"/>
    <w:rsid w:val="5162104E"/>
    <w:rsid w:val="51710705"/>
    <w:rsid w:val="51750AA6"/>
    <w:rsid w:val="517A0DDF"/>
    <w:rsid w:val="5180013F"/>
    <w:rsid w:val="518446B7"/>
    <w:rsid w:val="518F4BE2"/>
    <w:rsid w:val="51906D50"/>
    <w:rsid w:val="51A35496"/>
    <w:rsid w:val="51B318A1"/>
    <w:rsid w:val="51CA458E"/>
    <w:rsid w:val="51D261C8"/>
    <w:rsid w:val="51D40BC7"/>
    <w:rsid w:val="51D9377E"/>
    <w:rsid w:val="51DD7910"/>
    <w:rsid w:val="51E368EB"/>
    <w:rsid w:val="51E46AE7"/>
    <w:rsid w:val="51ED2C7A"/>
    <w:rsid w:val="51F27696"/>
    <w:rsid w:val="51FA101C"/>
    <w:rsid w:val="52173383"/>
    <w:rsid w:val="521C7B80"/>
    <w:rsid w:val="522378D0"/>
    <w:rsid w:val="522D3DB2"/>
    <w:rsid w:val="522D57E8"/>
    <w:rsid w:val="523B24B3"/>
    <w:rsid w:val="524101EA"/>
    <w:rsid w:val="5241558B"/>
    <w:rsid w:val="524415AF"/>
    <w:rsid w:val="5244456D"/>
    <w:rsid w:val="5253098E"/>
    <w:rsid w:val="52571024"/>
    <w:rsid w:val="5265077A"/>
    <w:rsid w:val="52672D38"/>
    <w:rsid w:val="5279021C"/>
    <w:rsid w:val="528A2478"/>
    <w:rsid w:val="528D2EAA"/>
    <w:rsid w:val="528E49EA"/>
    <w:rsid w:val="52932A25"/>
    <w:rsid w:val="529B3897"/>
    <w:rsid w:val="52A421FA"/>
    <w:rsid w:val="52A561E4"/>
    <w:rsid w:val="52B73C12"/>
    <w:rsid w:val="52B8279C"/>
    <w:rsid w:val="52C61A4F"/>
    <w:rsid w:val="52C744F9"/>
    <w:rsid w:val="52CC2A63"/>
    <w:rsid w:val="52CD6BA1"/>
    <w:rsid w:val="52CF4350"/>
    <w:rsid w:val="52CF6D45"/>
    <w:rsid w:val="52D7439A"/>
    <w:rsid w:val="52E2243E"/>
    <w:rsid w:val="52E3570B"/>
    <w:rsid w:val="52E77FFA"/>
    <w:rsid w:val="52EB3A96"/>
    <w:rsid w:val="53047B5D"/>
    <w:rsid w:val="530A618C"/>
    <w:rsid w:val="530E0FC0"/>
    <w:rsid w:val="532F0055"/>
    <w:rsid w:val="53302C91"/>
    <w:rsid w:val="533611B6"/>
    <w:rsid w:val="53545271"/>
    <w:rsid w:val="53580EA3"/>
    <w:rsid w:val="53590A30"/>
    <w:rsid w:val="5363368F"/>
    <w:rsid w:val="536740A3"/>
    <w:rsid w:val="536F406F"/>
    <w:rsid w:val="53770C52"/>
    <w:rsid w:val="537C45D6"/>
    <w:rsid w:val="538242F2"/>
    <w:rsid w:val="53851400"/>
    <w:rsid w:val="53871FD0"/>
    <w:rsid w:val="53972FEE"/>
    <w:rsid w:val="5399320A"/>
    <w:rsid w:val="539D3024"/>
    <w:rsid w:val="539E7A30"/>
    <w:rsid w:val="53A039CC"/>
    <w:rsid w:val="53A1505A"/>
    <w:rsid w:val="53B87444"/>
    <w:rsid w:val="53BE2EB9"/>
    <w:rsid w:val="53C20A3C"/>
    <w:rsid w:val="53CD12A0"/>
    <w:rsid w:val="53D0009D"/>
    <w:rsid w:val="53EE7355"/>
    <w:rsid w:val="53F428D8"/>
    <w:rsid w:val="54007155"/>
    <w:rsid w:val="54007C1B"/>
    <w:rsid w:val="54032652"/>
    <w:rsid w:val="540370B5"/>
    <w:rsid w:val="54041F40"/>
    <w:rsid w:val="54063E08"/>
    <w:rsid w:val="541D2883"/>
    <w:rsid w:val="542D3DF3"/>
    <w:rsid w:val="543346DE"/>
    <w:rsid w:val="543437E8"/>
    <w:rsid w:val="543B5568"/>
    <w:rsid w:val="544C16AE"/>
    <w:rsid w:val="544F6DB7"/>
    <w:rsid w:val="54520A64"/>
    <w:rsid w:val="54550089"/>
    <w:rsid w:val="54632EEA"/>
    <w:rsid w:val="5463511A"/>
    <w:rsid w:val="546463D8"/>
    <w:rsid w:val="546F61C2"/>
    <w:rsid w:val="54867179"/>
    <w:rsid w:val="549015DE"/>
    <w:rsid w:val="54AB2D04"/>
    <w:rsid w:val="54C66B59"/>
    <w:rsid w:val="54C94A1A"/>
    <w:rsid w:val="54CB0CB0"/>
    <w:rsid w:val="54D14032"/>
    <w:rsid w:val="54D614C0"/>
    <w:rsid w:val="54F06809"/>
    <w:rsid w:val="54F73313"/>
    <w:rsid w:val="54F80955"/>
    <w:rsid w:val="54FD0D48"/>
    <w:rsid w:val="550F7A79"/>
    <w:rsid w:val="5516776E"/>
    <w:rsid w:val="55187D42"/>
    <w:rsid w:val="551B00B8"/>
    <w:rsid w:val="551E199D"/>
    <w:rsid w:val="552D7C2C"/>
    <w:rsid w:val="5533180F"/>
    <w:rsid w:val="55363122"/>
    <w:rsid w:val="553C5FE7"/>
    <w:rsid w:val="554501B9"/>
    <w:rsid w:val="554F6C78"/>
    <w:rsid w:val="55504FF7"/>
    <w:rsid w:val="555170A7"/>
    <w:rsid w:val="55622AFF"/>
    <w:rsid w:val="557821B9"/>
    <w:rsid w:val="55844B06"/>
    <w:rsid w:val="5587536D"/>
    <w:rsid w:val="55923D7E"/>
    <w:rsid w:val="559304F1"/>
    <w:rsid w:val="559A23BE"/>
    <w:rsid w:val="559B174B"/>
    <w:rsid w:val="559B7744"/>
    <w:rsid w:val="559E2B3C"/>
    <w:rsid w:val="55A33FE8"/>
    <w:rsid w:val="55A4204A"/>
    <w:rsid w:val="55B80731"/>
    <w:rsid w:val="55B90637"/>
    <w:rsid w:val="55C165F9"/>
    <w:rsid w:val="55C83036"/>
    <w:rsid w:val="55C95013"/>
    <w:rsid w:val="55CA019D"/>
    <w:rsid w:val="55CE0CF4"/>
    <w:rsid w:val="55DC156D"/>
    <w:rsid w:val="55DD0638"/>
    <w:rsid w:val="55DE7025"/>
    <w:rsid w:val="55F031B8"/>
    <w:rsid w:val="55F569DE"/>
    <w:rsid w:val="55F94250"/>
    <w:rsid w:val="56085164"/>
    <w:rsid w:val="560C1C05"/>
    <w:rsid w:val="560E246D"/>
    <w:rsid w:val="56105DBE"/>
    <w:rsid w:val="561A3C9D"/>
    <w:rsid w:val="562B62B2"/>
    <w:rsid w:val="562D64BE"/>
    <w:rsid w:val="56315A57"/>
    <w:rsid w:val="563F0F0C"/>
    <w:rsid w:val="56520EA1"/>
    <w:rsid w:val="56541076"/>
    <w:rsid w:val="565A3DD1"/>
    <w:rsid w:val="565A519B"/>
    <w:rsid w:val="565B067F"/>
    <w:rsid w:val="566B5444"/>
    <w:rsid w:val="56785EE3"/>
    <w:rsid w:val="56862083"/>
    <w:rsid w:val="56881E7B"/>
    <w:rsid w:val="568A4857"/>
    <w:rsid w:val="56B22A9C"/>
    <w:rsid w:val="56B26A97"/>
    <w:rsid w:val="56B521FF"/>
    <w:rsid w:val="56B52CCB"/>
    <w:rsid w:val="56BE5448"/>
    <w:rsid w:val="56C221EB"/>
    <w:rsid w:val="56CD18A0"/>
    <w:rsid w:val="56D5201D"/>
    <w:rsid w:val="56E90B2A"/>
    <w:rsid w:val="56E913BC"/>
    <w:rsid w:val="56F3031A"/>
    <w:rsid w:val="5706673B"/>
    <w:rsid w:val="570A2D55"/>
    <w:rsid w:val="570F51EB"/>
    <w:rsid w:val="571677AE"/>
    <w:rsid w:val="57253196"/>
    <w:rsid w:val="572D4926"/>
    <w:rsid w:val="573E673E"/>
    <w:rsid w:val="574633BB"/>
    <w:rsid w:val="575B44F2"/>
    <w:rsid w:val="5779487A"/>
    <w:rsid w:val="5780229B"/>
    <w:rsid w:val="57813839"/>
    <w:rsid w:val="57884848"/>
    <w:rsid w:val="5795382A"/>
    <w:rsid w:val="57961D8E"/>
    <w:rsid w:val="57A66D6B"/>
    <w:rsid w:val="57AC4C5F"/>
    <w:rsid w:val="57B72A76"/>
    <w:rsid w:val="57C3426C"/>
    <w:rsid w:val="57C91C7C"/>
    <w:rsid w:val="57C94E1E"/>
    <w:rsid w:val="57CA69DC"/>
    <w:rsid w:val="57CD142E"/>
    <w:rsid w:val="57CD28BB"/>
    <w:rsid w:val="57CE1F93"/>
    <w:rsid w:val="57D667B7"/>
    <w:rsid w:val="57D91A30"/>
    <w:rsid w:val="57DA4A4C"/>
    <w:rsid w:val="57E0285A"/>
    <w:rsid w:val="57EC4639"/>
    <w:rsid w:val="57EE133D"/>
    <w:rsid w:val="57EF3B87"/>
    <w:rsid w:val="57F14E9F"/>
    <w:rsid w:val="57F67513"/>
    <w:rsid w:val="57F94728"/>
    <w:rsid w:val="58041926"/>
    <w:rsid w:val="581A4729"/>
    <w:rsid w:val="583C213D"/>
    <w:rsid w:val="58464F17"/>
    <w:rsid w:val="5866141B"/>
    <w:rsid w:val="587358E6"/>
    <w:rsid w:val="587421CE"/>
    <w:rsid w:val="588520BB"/>
    <w:rsid w:val="588743D1"/>
    <w:rsid w:val="5887701A"/>
    <w:rsid w:val="589914B7"/>
    <w:rsid w:val="58A73D58"/>
    <w:rsid w:val="58BA1767"/>
    <w:rsid w:val="58BB5C16"/>
    <w:rsid w:val="58C44F11"/>
    <w:rsid w:val="58C95987"/>
    <w:rsid w:val="58CB7DCD"/>
    <w:rsid w:val="58CD7938"/>
    <w:rsid w:val="58D227A2"/>
    <w:rsid w:val="58D458FD"/>
    <w:rsid w:val="58D91865"/>
    <w:rsid w:val="58DA1ED1"/>
    <w:rsid w:val="58DA4B44"/>
    <w:rsid w:val="58DF2DB9"/>
    <w:rsid w:val="58E247D6"/>
    <w:rsid w:val="58E87218"/>
    <w:rsid w:val="58EB0A31"/>
    <w:rsid w:val="58EC5485"/>
    <w:rsid w:val="58ED0274"/>
    <w:rsid w:val="58F31FCD"/>
    <w:rsid w:val="58F61B43"/>
    <w:rsid w:val="58F942EE"/>
    <w:rsid w:val="59006F5F"/>
    <w:rsid w:val="590716DE"/>
    <w:rsid w:val="590A0B7B"/>
    <w:rsid w:val="59100BA9"/>
    <w:rsid w:val="591025F6"/>
    <w:rsid w:val="59161528"/>
    <w:rsid w:val="591C5E4C"/>
    <w:rsid w:val="59203A86"/>
    <w:rsid w:val="59313AD3"/>
    <w:rsid w:val="59344FCB"/>
    <w:rsid w:val="59367F96"/>
    <w:rsid w:val="593F0F77"/>
    <w:rsid w:val="593F2BCB"/>
    <w:rsid w:val="594336C1"/>
    <w:rsid w:val="594911BA"/>
    <w:rsid w:val="594E6E3A"/>
    <w:rsid w:val="595B0336"/>
    <w:rsid w:val="59730B85"/>
    <w:rsid w:val="59823029"/>
    <w:rsid w:val="598555B4"/>
    <w:rsid w:val="598572E7"/>
    <w:rsid w:val="598A6231"/>
    <w:rsid w:val="598C0ECB"/>
    <w:rsid w:val="59A438C4"/>
    <w:rsid w:val="59A666ED"/>
    <w:rsid w:val="59A722CA"/>
    <w:rsid w:val="59AD2B2C"/>
    <w:rsid w:val="59B120F5"/>
    <w:rsid w:val="59B54F4E"/>
    <w:rsid w:val="59B60656"/>
    <w:rsid w:val="59C0439F"/>
    <w:rsid w:val="59C24B2F"/>
    <w:rsid w:val="59C309FC"/>
    <w:rsid w:val="59C74B21"/>
    <w:rsid w:val="59C9015A"/>
    <w:rsid w:val="59C9472E"/>
    <w:rsid w:val="59CC32B4"/>
    <w:rsid w:val="59E86B3F"/>
    <w:rsid w:val="59ED4508"/>
    <w:rsid w:val="59F355A3"/>
    <w:rsid w:val="59F53AA6"/>
    <w:rsid w:val="59FA6B55"/>
    <w:rsid w:val="59FC4A4E"/>
    <w:rsid w:val="5A037247"/>
    <w:rsid w:val="5A0965C8"/>
    <w:rsid w:val="5A0A44FD"/>
    <w:rsid w:val="5A1656D5"/>
    <w:rsid w:val="5A170C5A"/>
    <w:rsid w:val="5A232FAF"/>
    <w:rsid w:val="5A2E5F69"/>
    <w:rsid w:val="5A490D4A"/>
    <w:rsid w:val="5A574EE8"/>
    <w:rsid w:val="5A587593"/>
    <w:rsid w:val="5A5A68A7"/>
    <w:rsid w:val="5A6257DB"/>
    <w:rsid w:val="5A635996"/>
    <w:rsid w:val="5A654C2F"/>
    <w:rsid w:val="5A775110"/>
    <w:rsid w:val="5A794FB1"/>
    <w:rsid w:val="5A79768C"/>
    <w:rsid w:val="5A82078B"/>
    <w:rsid w:val="5A85540C"/>
    <w:rsid w:val="5A8E0C94"/>
    <w:rsid w:val="5A9D45E3"/>
    <w:rsid w:val="5A9E28C7"/>
    <w:rsid w:val="5AA61DA5"/>
    <w:rsid w:val="5AAC3332"/>
    <w:rsid w:val="5AB61BA7"/>
    <w:rsid w:val="5ABD1FD3"/>
    <w:rsid w:val="5ABE2233"/>
    <w:rsid w:val="5ACD7484"/>
    <w:rsid w:val="5ACF645E"/>
    <w:rsid w:val="5AD002BC"/>
    <w:rsid w:val="5ADE7E67"/>
    <w:rsid w:val="5AE123CE"/>
    <w:rsid w:val="5AEA5A59"/>
    <w:rsid w:val="5AEB1AF1"/>
    <w:rsid w:val="5AF524D9"/>
    <w:rsid w:val="5AF54F2C"/>
    <w:rsid w:val="5B077658"/>
    <w:rsid w:val="5B0B200F"/>
    <w:rsid w:val="5B0B382D"/>
    <w:rsid w:val="5B11069A"/>
    <w:rsid w:val="5B2537EC"/>
    <w:rsid w:val="5B253B78"/>
    <w:rsid w:val="5B267B62"/>
    <w:rsid w:val="5B39095B"/>
    <w:rsid w:val="5B3F3F40"/>
    <w:rsid w:val="5B44689C"/>
    <w:rsid w:val="5B450E63"/>
    <w:rsid w:val="5B49532D"/>
    <w:rsid w:val="5B5051D2"/>
    <w:rsid w:val="5B5145E5"/>
    <w:rsid w:val="5B543F1A"/>
    <w:rsid w:val="5B55086C"/>
    <w:rsid w:val="5B56064A"/>
    <w:rsid w:val="5B573C2D"/>
    <w:rsid w:val="5B602B78"/>
    <w:rsid w:val="5B655679"/>
    <w:rsid w:val="5B677781"/>
    <w:rsid w:val="5B6B160C"/>
    <w:rsid w:val="5B7A7F64"/>
    <w:rsid w:val="5B7F09C0"/>
    <w:rsid w:val="5B866340"/>
    <w:rsid w:val="5B975271"/>
    <w:rsid w:val="5BAB7378"/>
    <w:rsid w:val="5BBC6906"/>
    <w:rsid w:val="5BBD4BF5"/>
    <w:rsid w:val="5BC052EC"/>
    <w:rsid w:val="5BC301FD"/>
    <w:rsid w:val="5BC35D61"/>
    <w:rsid w:val="5BCC2131"/>
    <w:rsid w:val="5BD30689"/>
    <w:rsid w:val="5BDF5D95"/>
    <w:rsid w:val="5BE42992"/>
    <w:rsid w:val="5BE7271C"/>
    <w:rsid w:val="5BEC2DA9"/>
    <w:rsid w:val="5BEF16E5"/>
    <w:rsid w:val="5BF21186"/>
    <w:rsid w:val="5BFB20F5"/>
    <w:rsid w:val="5BFE7528"/>
    <w:rsid w:val="5C0515D4"/>
    <w:rsid w:val="5C0921F7"/>
    <w:rsid w:val="5C134687"/>
    <w:rsid w:val="5C171A25"/>
    <w:rsid w:val="5C1A3E88"/>
    <w:rsid w:val="5C2347AA"/>
    <w:rsid w:val="5C2A6253"/>
    <w:rsid w:val="5C2D68DE"/>
    <w:rsid w:val="5C2F1915"/>
    <w:rsid w:val="5C307717"/>
    <w:rsid w:val="5C345C89"/>
    <w:rsid w:val="5C374AB9"/>
    <w:rsid w:val="5C3B583F"/>
    <w:rsid w:val="5C3C3474"/>
    <w:rsid w:val="5C424BD5"/>
    <w:rsid w:val="5C4E3260"/>
    <w:rsid w:val="5C5623E3"/>
    <w:rsid w:val="5C5C799A"/>
    <w:rsid w:val="5C607930"/>
    <w:rsid w:val="5C62014C"/>
    <w:rsid w:val="5C6C452E"/>
    <w:rsid w:val="5C7347CD"/>
    <w:rsid w:val="5C7A5922"/>
    <w:rsid w:val="5C7D00B3"/>
    <w:rsid w:val="5C864257"/>
    <w:rsid w:val="5C8856E1"/>
    <w:rsid w:val="5C926341"/>
    <w:rsid w:val="5C952A4C"/>
    <w:rsid w:val="5C986DC9"/>
    <w:rsid w:val="5C9969FB"/>
    <w:rsid w:val="5C9A0723"/>
    <w:rsid w:val="5C9F6507"/>
    <w:rsid w:val="5CA53E91"/>
    <w:rsid w:val="5CB0091F"/>
    <w:rsid w:val="5CB10E8A"/>
    <w:rsid w:val="5CB151B6"/>
    <w:rsid w:val="5CB70C34"/>
    <w:rsid w:val="5CC0100E"/>
    <w:rsid w:val="5CCB011A"/>
    <w:rsid w:val="5CD34E34"/>
    <w:rsid w:val="5CDF7797"/>
    <w:rsid w:val="5CE760F1"/>
    <w:rsid w:val="5CF57F5F"/>
    <w:rsid w:val="5D043D1F"/>
    <w:rsid w:val="5D0C3CA3"/>
    <w:rsid w:val="5D0F3185"/>
    <w:rsid w:val="5D13672F"/>
    <w:rsid w:val="5D165470"/>
    <w:rsid w:val="5D1C63EC"/>
    <w:rsid w:val="5D1F5C97"/>
    <w:rsid w:val="5D2007D2"/>
    <w:rsid w:val="5D217A41"/>
    <w:rsid w:val="5D2F3F55"/>
    <w:rsid w:val="5D474254"/>
    <w:rsid w:val="5D543C37"/>
    <w:rsid w:val="5D570B38"/>
    <w:rsid w:val="5D5A418A"/>
    <w:rsid w:val="5D5E45D4"/>
    <w:rsid w:val="5D615BDE"/>
    <w:rsid w:val="5D747FA5"/>
    <w:rsid w:val="5D82040C"/>
    <w:rsid w:val="5D8435F0"/>
    <w:rsid w:val="5D9331AE"/>
    <w:rsid w:val="5DA6412E"/>
    <w:rsid w:val="5DB20B56"/>
    <w:rsid w:val="5DB21E0F"/>
    <w:rsid w:val="5DB52C5B"/>
    <w:rsid w:val="5DC864C6"/>
    <w:rsid w:val="5DD020C5"/>
    <w:rsid w:val="5DD74CCD"/>
    <w:rsid w:val="5DFA1DC0"/>
    <w:rsid w:val="5E090A17"/>
    <w:rsid w:val="5E186541"/>
    <w:rsid w:val="5E192A8C"/>
    <w:rsid w:val="5E243C37"/>
    <w:rsid w:val="5E2467F1"/>
    <w:rsid w:val="5E2E7180"/>
    <w:rsid w:val="5E342055"/>
    <w:rsid w:val="5E392E45"/>
    <w:rsid w:val="5E3955FC"/>
    <w:rsid w:val="5E440D50"/>
    <w:rsid w:val="5E47584B"/>
    <w:rsid w:val="5E5025C9"/>
    <w:rsid w:val="5E557426"/>
    <w:rsid w:val="5E5B2DF6"/>
    <w:rsid w:val="5E5E73B0"/>
    <w:rsid w:val="5E714676"/>
    <w:rsid w:val="5E7348B5"/>
    <w:rsid w:val="5E782824"/>
    <w:rsid w:val="5E7E0E4D"/>
    <w:rsid w:val="5E8C7DA1"/>
    <w:rsid w:val="5E9819BF"/>
    <w:rsid w:val="5E9B0352"/>
    <w:rsid w:val="5EA42C9D"/>
    <w:rsid w:val="5EB62DEC"/>
    <w:rsid w:val="5EB804F7"/>
    <w:rsid w:val="5EBC6E02"/>
    <w:rsid w:val="5ED7781B"/>
    <w:rsid w:val="5EDE7725"/>
    <w:rsid w:val="5EE06BE8"/>
    <w:rsid w:val="5EEA04A7"/>
    <w:rsid w:val="5EEB5CE6"/>
    <w:rsid w:val="5EF774E9"/>
    <w:rsid w:val="5EFF51AC"/>
    <w:rsid w:val="5F151B91"/>
    <w:rsid w:val="5F1A2B43"/>
    <w:rsid w:val="5F2055A9"/>
    <w:rsid w:val="5F2E08AA"/>
    <w:rsid w:val="5F46217F"/>
    <w:rsid w:val="5F51179D"/>
    <w:rsid w:val="5F543EDA"/>
    <w:rsid w:val="5F587B33"/>
    <w:rsid w:val="5F611B50"/>
    <w:rsid w:val="5F6270F8"/>
    <w:rsid w:val="5F6E45F5"/>
    <w:rsid w:val="5F777E2D"/>
    <w:rsid w:val="5F7B0928"/>
    <w:rsid w:val="5F873BA3"/>
    <w:rsid w:val="5FA471A5"/>
    <w:rsid w:val="5FB33852"/>
    <w:rsid w:val="5FB837BB"/>
    <w:rsid w:val="5FBC480A"/>
    <w:rsid w:val="5FC22F14"/>
    <w:rsid w:val="5FC541B8"/>
    <w:rsid w:val="5FCA4165"/>
    <w:rsid w:val="5FD27242"/>
    <w:rsid w:val="5FF7120D"/>
    <w:rsid w:val="5FF74C79"/>
    <w:rsid w:val="600A7C53"/>
    <w:rsid w:val="600B7D21"/>
    <w:rsid w:val="600E4C46"/>
    <w:rsid w:val="602F4775"/>
    <w:rsid w:val="6037544B"/>
    <w:rsid w:val="60475F7E"/>
    <w:rsid w:val="604E6998"/>
    <w:rsid w:val="605566FE"/>
    <w:rsid w:val="605C505F"/>
    <w:rsid w:val="605E26A9"/>
    <w:rsid w:val="607D333D"/>
    <w:rsid w:val="608A17F0"/>
    <w:rsid w:val="608D0D77"/>
    <w:rsid w:val="609245DB"/>
    <w:rsid w:val="60950F64"/>
    <w:rsid w:val="60954C84"/>
    <w:rsid w:val="60972219"/>
    <w:rsid w:val="60A05C08"/>
    <w:rsid w:val="60A56AFB"/>
    <w:rsid w:val="60C223CE"/>
    <w:rsid w:val="60C56EFB"/>
    <w:rsid w:val="60C63B32"/>
    <w:rsid w:val="60C86938"/>
    <w:rsid w:val="60CA5B50"/>
    <w:rsid w:val="60CC405A"/>
    <w:rsid w:val="60D84153"/>
    <w:rsid w:val="60D84E80"/>
    <w:rsid w:val="60DB04CD"/>
    <w:rsid w:val="60E86DB4"/>
    <w:rsid w:val="60E95240"/>
    <w:rsid w:val="60F2511B"/>
    <w:rsid w:val="61091DA6"/>
    <w:rsid w:val="610D4D83"/>
    <w:rsid w:val="61127912"/>
    <w:rsid w:val="61253612"/>
    <w:rsid w:val="6133062B"/>
    <w:rsid w:val="614E7504"/>
    <w:rsid w:val="614F2923"/>
    <w:rsid w:val="61530F7D"/>
    <w:rsid w:val="615B16AD"/>
    <w:rsid w:val="61650C25"/>
    <w:rsid w:val="616602D2"/>
    <w:rsid w:val="61723574"/>
    <w:rsid w:val="61840845"/>
    <w:rsid w:val="619044E3"/>
    <w:rsid w:val="619F3F69"/>
    <w:rsid w:val="61A168AC"/>
    <w:rsid w:val="61A54C33"/>
    <w:rsid w:val="61AE32D0"/>
    <w:rsid w:val="61AF7A4F"/>
    <w:rsid w:val="61B81365"/>
    <w:rsid w:val="61CA4B2D"/>
    <w:rsid w:val="61D22E8D"/>
    <w:rsid w:val="61DB091C"/>
    <w:rsid w:val="61DB50D8"/>
    <w:rsid w:val="61E215D8"/>
    <w:rsid w:val="61FE30A2"/>
    <w:rsid w:val="62022C66"/>
    <w:rsid w:val="621B3775"/>
    <w:rsid w:val="6231213D"/>
    <w:rsid w:val="62364782"/>
    <w:rsid w:val="62401AEC"/>
    <w:rsid w:val="62406AB9"/>
    <w:rsid w:val="625939D2"/>
    <w:rsid w:val="625A71C8"/>
    <w:rsid w:val="62706AE8"/>
    <w:rsid w:val="62730F0A"/>
    <w:rsid w:val="628439B8"/>
    <w:rsid w:val="628C1104"/>
    <w:rsid w:val="629018C1"/>
    <w:rsid w:val="62940811"/>
    <w:rsid w:val="62986B50"/>
    <w:rsid w:val="629D1A3B"/>
    <w:rsid w:val="629E537E"/>
    <w:rsid w:val="62A20517"/>
    <w:rsid w:val="62A37326"/>
    <w:rsid w:val="62B03BAF"/>
    <w:rsid w:val="62B7478F"/>
    <w:rsid w:val="62C7181E"/>
    <w:rsid w:val="62C97FCA"/>
    <w:rsid w:val="62DE5BC0"/>
    <w:rsid w:val="62E01489"/>
    <w:rsid w:val="62E5042D"/>
    <w:rsid w:val="62E75601"/>
    <w:rsid w:val="62EC1B5E"/>
    <w:rsid w:val="62F430CC"/>
    <w:rsid w:val="62F43A12"/>
    <w:rsid w:val="62F63B0B"/>
    <w:rsid w:val="62F75B57"/>
    <w:rsid w:val="630449F7"/>
    <w:rsid w:val="63173B80"/>
    <w:rsid w:val="6324684C"/>
    <w:rsid w:val="63292311"/>
    <w:rsid w:val="63294ACA"/>
    <w:rsid w:val="63312C73"/>
    <w:rsid w:val="63336617"/>
    <w:rsid w:val="63414619"/>
    <w:rsid w:val="63440DE8"/>
    <w:rsid w:val="634540D1"/>
    <w:rsid w:val="634F74BF"/>
    <w:rsid w:val="63510321"/>
    <w:rsid w:val="63564169"/>
    <w:rsid w:val="635B4290"/>
    <w:rsid w:val="635E2F0E"/>
    <w:rsid w:val="63703521"/>
    <w:rsid w:val="63703DF1"/>
    <w:rsid w:val="637054D4"/>
    <w:rsid w:val="638B60E5"/>
    <w:rsid w:val="638E7095"/>
    <w:rsid w:val="639246D0"/>
    <w:rsid w:val="6394356A"/>
    <w:rsid w:val="63A23E7A"/>
    <w:rsid w:val="63A45770"/>
    <w:rsid w:val="63BC1066"/>
    <w:rsid w:val="63BD47B6"/>
    <w:rsid w:val="63C61B2C"/>
    <w:rsid w:val="63CD2813"/>
    <w:rsid w:val="63CE79C4"/>
    <w:rsid w:val="63D40BE9"/>
    <w:rsid w:val="63D42266"/>
    <w:rsid w:val="63D53F5A"/>
    <w:rsid w:val="63D657DD"/>
    <w:rsid w:val="63DD4378"/>
    <w:rsid w:val="63DF4E32"/>
    <w:rsid w:val="63E07197"/>
    <w:rsid w:val="63E51621"/>
    <w:rsid w:val="63F71B65"/>
    <w:rsid w:val="63F807BC"/>
    <w:rsid w:val="63FC1FB6"/>
    <w:rsid w:val="63FC4C2D"/>
    <w:rsid w:val="64060E4F"/>
    <w:rsid w:val="64067462"/>
    <w:rsid w:val="640E1483"/>
    <w:rsid w:val="64102431"/>
    <w:rsid w:val="64195C9A"/>
    <w:rsid w:val="64221B75"/>
    <w:rsid w:val="64322AF9"/>
    <w:rsid w:val="643E7F85"/>
    <w:rsid w:val="64466FBD"/>
    <w:rsid w:val="64757222"/>
    <w:rsid w:val="6477134B"/>
    <w:rsid w:val="648A7CF9"/>
    <w:rsid w:val="6490221B"/>
    <w:rsid w:val="649C013C"/>
    <w:rsid w:val="64A3624B"/>
    <w:rsid w:val="64A5243A"/>
    <w:rsid w:val="64AE12C5"/>
    <w:rsid w:val="64B54DD5"/>
    <w:rsid w:val="64BF38C9"/>
    <w:rsid w:val="64DD2B6E"/>
    <w:rsid w:val="64F36AD9"/>
    <w:rsid w:val="64F531DE"/>
    <w:rsid w:val="64FA3428"/>
    <w:rsid w:val="64FC7F24"/>
    <w:rsid w:val="65036F0F"/>
    <w:rsid w:val="6508699D"/>
    <w:rsid w:val="650F14C8"/>
    <w:rsid w:val="65122BAC"/>
    <w:rsid w:val="65185193"/>
    <w:rsid w:val="651C657E"/>
    <w:rsid w:val="652127B6"/>
    <w:rsid w:val="65302F12"/>
    <w:rsid w:val="65373578"/>
    <w:rsid w:val="653769F2"/>
    <w:rsid w:val="653C4C21"/>
    <w:rsid w:val="65464FB9"/>
    <w:rsid w:val="65597FE7"/>
    <w:rsid w:val="65674A25"/>
    <w:rsid w:val="656929AF"/>
    <w:rsid w:val="65711D89"/>
    <w:rsid w:val="657910C7"/>
    <w:rsid w:val="657E51CD"/>
    <w:rsid w:val="658910D4"/>
    <w:rsid w:val="658A0DCC"/>
    <w:rsid w:val="65935384"/>
    <w:rsid w:val="659A32F2"/>
    <w:rsid w:val="65A3217C"/>
    <w:rsid w:val="65C0511D"/>
    <w:rsid w:val="66067682"/>
    <w:rsid w:val="66107A7B"/>
    <w:rsid w:val="661223C2"/>
    <w:rsid w:val="66147895"/>
    <w:rsid w:val="66173D55"/>
    <w:rsid w:val="661B743A"/>
    <w:rsid w:val="66254FE9"/>
    <w:rsid w:val="663227E2"/>
    <w:rsid w:val="664571D6"/>
    <w:rsid w:val="664D7CCB"/>
    <w:rsid w:val="664E6A2D"/>
    <w:rsid w:val="6654586A"/>
    <w:rsid w:val="6656431B"/>
    <w:rsid w:val="665B3B87"/>
    <w:rsid w:val="665E4786"/>
    <w:rsid w:val="666D598A"/>
    <w:rsid w:val="66714AFB"/>
    <w:rsid w:val="66772AF7"/>
    <w:rsid w:val="667B0AAC"/>
    <w:rsid w:val="667F63B7"/>
    <w:rsid w:val="66857FC0"/>
    <w:rsid w:val="668860E1"/>
    <w:rsid w:val="66925D11"/>
    <w:rsid w:val="66A052D3"/>
    <w:rsid w:val="66A63D78"/>
    <w:rsid w:val="66AF4687"/>
    <w:rsid w:val="66B54C90"/>
    <w:rsid w:val="66B54FA1"/>
    <w:rsid w:val="66C13FCC"/>
    <w:rsid w:val="66D81C6D"/>
    <w:rsid w:val="66DF4A49"/>
    <w:rsid w:val="66E1086C"/>
    <w:rsid w:val="66E56E2C"/>
    <w:rsid w:val="66FA6718"/>
    <w:rsid w:val="67050B40"/>
    <w:rsid w:val="671A5543"/>
    <w:rsid w:val="671D362A"/>
    <w:rsid w:val="671F124A"/>
    <w:rsid w:val="671F6555"/>
    <w:rsid w:val="672016CC"/>
    <w:rsid w:val="67217332"/>
    <w:rsid w:val="67390310"/>
    <w:rsid w:val="674A4D2A"/>
    <w:rsid w:val="67572653"/>
    <w:rsid w:val="675726D3"/>
    <w:rsid w:val="675A14B2"/>
    <w:rsid w:val="67621712"/>
    <w:rsid w:val="67704560"/>
    <w:rsid w:val="6773437D"/>
    <w:rsid w:val="67743F75"/>
    <w:rsid w:val="677A33C6"/>
    <w:rsid w:val="677B25FC"/>
    <w:rsid w:val="678D2D8B"/>
    <w:rsid w:val="67912D2E"/>
    <w:rsid w:val="67B361A6"/>
    <w:rsid w:val="67C80EC6"/>
    <w:rsid w:val="67C81B82"/>
    <w:rsid w:val="67F307F2"/>
    <w:rsid w:val="67F8666A"/>
    <w:rsid w:val="67FC677B"/>
    <w:rsid w:val="67FF4180"/>
    <w:rsid w:val="68004E8E"/>
    <w:rsid w:val="680A2A1D"/>
    <w:rsid w:val="681F6961"/>
    <w:rsid w:val="682A56C0"/>
    <w:rsid w:val="68346FA2"/>
    <w:rsid w:val="68355FA4"/>
    <w:rsid w:val="6836264E"/>
    <w:rsid w:val="68394574"/>
    <w:rsid w:val="684031D5"/>
    <w:rsid w:val="68464C9A"/>
    <w:rsid w:val="68492FC4"/>
    <w:rsid w:val="684A3237"/>
    <w:rsid w:val="684D65E2"/>
    <w:rsid w:val="68535C31"/>
    <w:rsid w:val="68554441"/>
    <w:rsid w:val="6855532B"/>
    <w:rsid w:val="68573AB9"/>
    <w:rsid w:val="685B00B6"/>
    <w:rsid w:val="685F6C85"/>
    <w:rsid w:val="68610A2F"/>
    <w:rsid w:val="68650E75"/>
    <w:rsid w:val="6873723D"/>
    <w:rsid w:val="68805514"/>
    <w:rsid w:val="68811FB9"/>
    <w:rsid w:val="68881B2F"/>
    <w:rsid w:val="688E4F7E"/>
    <w:rsid w:val="68953657"/>
    <w:rsid w:val="68974081"/>
    <w:rsid w:val="68984901"/>
    <w:rsid w:val="68BD615F"/>
    <w:rsid w:val="68BE495C"/>
    <w:rsid w:val="68C3541B"/>
    <w:rsid w:val="68CD60E1"/>
    <w:rsid w:val="68D70ACE"/>
    <w:rsid w:val="68D7375D"/>
    <w:rsid w:val="68E9434E"/>
    <w:rsid w:val="68EF79EF"/>
    <w:rsid w:val="69000166"/>
    <w:rsid w:val="69014C6E"/>
    <w:rsid w:val="690C30E8"/>
    <w:rsid w:val="690D3BD9"/>
    <w:rsid w:val="690F1369"/>
    <w:rsid w:val="6910519D"/>
    <w:rsid w:val="69204FB7"/>
    <w:rsid w:val="692213C1"/>
    <w:rsid w:val="692F425D"/>
    <w:rsid w:val="69316E2F"/>
    <w:rsid w:val="694E2071"/>
    <w:rsid w:val="69513049"/>
    <w:rsid w:val="695C7703"/>
    <w:rsid w:val="696303B7"/>
    <w:rsid w:val="69673762"/>
    <w:rsid w:val="69744E10"/>
    <w:rsid w:val="69766163"/>
    <w:rsid w:val="697A3B33"/>
    <w:rsid w:val="69845412"/>
    <w:rsid w:val="698F3811"/>
    <w:rsid w:val="69925421"/>
    <w:rsid w:val="69A10FFB"/>
    <w:rsid w:val="69A42190"/>
    <w:rsid w:val="69A72363"/>
    <w:rsid w:val="69B40DC4"/>
    <w:rsid w:val="69B54CE3"/>
    <w:rsid w:val="69BB7C1F"/>
    <w:rsid w:val="69C21E47"/>
    <w:rsid w:val="69C76FCC"/>
    <w:rsid w:val="69D04F8C"/>
    <w:rsid w:val="69D44760"/>
    <w:rsid w:val="69D82691"/>
    <w:rsid w:val="69EF3975"/>
    <w:rsid w:val="69F332BB"/>
    <w:rsid w:val="6A026993"/>
    <w:rsid w:val="6A0A2003"/>
    <w:rsid w:val="6A0D2C83"/>
    <w:rsid w:val="6A0E7843"/>
    <w:rsid w:val="6A133C2D"/>
    <w:rsid w:val="6A1D1B56"/>
    <w:rsid w:val="6A290C7E"/>
    <w:rsid w:val="6A2D5E6F"/>
    <w:rsid w:val="6A2F324E"/>
    <w:rsid w:val="6A33322F"/>
    <w:rsid w:val="6A362B84"/>
    <w:rsid w:val="6A375EAE"/>
    <w:rsid w:val="6A4A7E9E"/>
    <w:rsid w:val="6A510B57"/>
    <w:rsid w:val="6A520EC7"/>
    <w:rsid w:val="6A5579D4"/>
    <w:rsid w:val="6A5759A6"/>
    <w:rsid w:val="6A6247B1"/>
    <w:rsid w:val="6A653567"/>
    <w:rsid w:val="6A9B58FC"/>
    <w:rsid w:val="6A9E3A24"/>
    <w:rsid w:val="6AA85261"/>
    <w:rsid w:val="6AB53B3C"/>
    <w:rsid w:val="6AB828E9"/>
    <w:rsid w:val="6ABB36B6"/>
    <w:rsid w:val="6AC014F7"/>
    <w:rsid w:val="6AC97979"/>
    <w:rsid w:val="6ACC295F"/>
    <w:rsid w:val="6AD40BF0"/>
    <w:rsid w:val="6AE236BC"/>
    <w:rsid w:val="6AE3527D"/>
    <w:rsid w:val="6AE96F8D"/>
    <w:rsid w:val="6AF75B62"/>
    <w:rsid w:val="6AF87E20"/>
    <w:rsid w:val="6AFF74A7"/>
    <w:rsid w:val="6B020FC1"/>
    <w:rsid w:val="6B057BB4"/>
    <w:rsid w:val="6B15250A"/>
    <w:rsid w:val="6B1755CB"/>
    <w:rsid w:val="6B2E3FC4"/>
    <w:rsid w:val="6B2E4213"/>
    <w:rsid w:val="6B3126E3"/>
    <w:rsid w:val="6B322639"/>
    <w:rsid w:val="6B344F01"/>
    <w:rsid w:val="6B403B27"/>
    <w:rsid w:val="6B415C9C"/>
    <w:rsid w:val="6B4564D1"/>
    <w:rsid w:val="6B4B68A7"/>
    <w:rsid w:val="6B4D17A4"/>
    <w:rsid w:val="6B4E6EC6"/>
    <w:rsid w:val="6B541526"/>
    <w:rsid w:val="6B5A74D9"/>
    <w:rsid w:val="6B617FBA"/>
    <w:rsid w:val="6B694B21"/>
    <w:rsid w:val="6B6C2A37"/>
    <w:rsid w:val="6B8C0D41"/>
    <w:rsid w:val="6B957F7E"/>
    <w:rsid w:val="6B974D1D"/>
    <w:rsid w:val="6B9C4EBA"/>
    <w:rsid w:val="6B9C5446"/>
    <w:rsid w:val="6BB139C7"/>
    <w:rsid w:val="6BBC3C52"/>
    <w:rsid w:val="6BC01754"/>
    <w:rsid w:val="6C020F05"/>
    <w:rsid w:val="6C021003"/>
    <w:rsid w:val="6C0C64D5"/>
    <w:rsid w:val="6C176E32"/>
    <w:rsid w:val="6C1825D5"/>
    <w:rsid w:val="6C1969FF"/>
    <w:rsid w:val="6C202CFD"/>
    <w:rsid w:val="6C203F50"/>
    <w:rsid w:val="6C223D72"/>
    <w:rsid w:val="6C261949"/>
    <w:rsid w:val="6C352B42"/>
    <w:rsid w:val="6C3952A3"/>
    <w:rsid w:val="6C3A6B2B"/>
    <w:rsid w:val="6C491D30"/>
    <w:rsid w:val="6C5648A1"/>
    <w:rsid w:val="6C572A0E"/>
    <w:rsid w:val="6C5C00D6"/>
    <w:rsid w:val="6C636C38"/>
    <w:rsid w:val="6C7D081B"/>
    <w:rsid w:val="6C877BB0"/>
    <w:rsid w:val="6C8D27A1"/>
    <w:rsid w:val="6C8F6890"/>
    <w:rsid w:val="6C981753"/>
    <w:rsid w:val="6CA17546"/>
    <w:rsid w:val="6CD01FFC"/>
    <w:rsid w:val="6CD52139"/>
    <w:rsid w:val="6CE452CA"/>
    <w:rsid w:val="6CE85CB4"/>
    <w:rsid w:val="6CF722A3"/>
    <w:rsid w:val="6D134EAC"/>
    <w:rsid w:val="6D1B58F0"/>
    <w:rsid w:val="6D270AA3"/>
    <w:rsid w:val="6D2931C2"/>
    <w:rsid w:val="6D3572D6"/>
    <w:rsid w:val="6D3E4E45"/>
    <w:rsid w:val="6D60763C"/>
    <w:rsid w:val="6D6B56C2"/>
    <w:rsid w:val="6D70219D"/>
    <w:rsid w:val="6D7206D3"/>
    <w:rsid w:val="6D726512"/>
    <w:rsid w:val="6D7711FB"/>
    <w:rsid w:val="6D7A2D9F"/>
    <w:rsid w:val="6D802C2B"/>
    <w:rsid w:val="6D853D01"/>
    <w:rsid w:val="6D8934B4"/>
    <w:rsid w:val="6D8B7F75"/>
    <w:rsid w:val="6DA1671B"/>
    <w:rsid w:val="6DB34098"/>
    <w:rsid w:val="6DB404B4"/>
    <w:rsid w:val="6DB545B6"/>
    <w:rsid w:val="6DBE0CAD"/>
    <w:rsid w:val="6DC23574"/>
    <w:rsid w:val="6DC443F7"/>
    <w:rsid w:val="6DCB5DBC"/>
    <w:rsid w:val="6DD91443"/>
    <w:rsid w:val="6DDB643E"/>
    <w:rsid w:val="6DE02FB4"/>
    <w:rsid w:val="6DE53193"/>
    <w:rsid w:val="6DE831AA"/>
    <w:rsid w:val="6DEE2AC6"/>
    <w:rsid w:val="6DF4166E"/>
    <w:rsid w:val="6DF436F9"/>
    <w:rsid w:val="6DFE3844"/>
    <w:rsid w:val="6E0F06D8"/>
    <w:rsid w:val="6E373926"/>
    <w:rsid w:val="6E3927BC"/>
    <w:rsid w:val="6E407BC1"/>
    <w:rsid w:val="6E464C7D"/>
    <w:rsid w:val="6E514CED"/>
    <w:rsid w:val="6E546DB6"/>
    <w:rsid w:val="6E5757C9"/>
    <w:rsid w:val="6E583F57"/>
    <w:rsid w:val="6E601B7C"/>
    <w:rsid w:val="6E662F30"/>
    <w:rsid w:val="6E664F73"/>
    <w:rsid w:val="6E6822C0"/>
    <w:rsid w:val="6E6A6BAC"/>
    <w:rsid w:val="6E6C4254"/>
    <w:rsid w:val="6E6D6D26"/>
    <w:rsid w:val="6E6E2A1B"/>
    <w:rsid w:val="6E7816C6"/>
    <w:rsid w:val="6E885929"/>
    <w:rsid w:val="6E894752"/>
    <w:rsid w:val="6E926060"/>
    <w:rsid w:val="6E971E12"/>
    <w:rsid w:val="6E995493"/>
    <w:rsid w:val="6E9A75DE"/>
    <w:rsid w:val="6EA14884"/>
    <w:rsid w:val="6EA55170"/>
    <w:rsid w:val="6EAD6185"/>
    <w:rsid w:val="6EB2749E"/>
    <w:rsid w:val="6EB30412"/>
    <w:rsid w:val="6EB563D5"/>
    <w:rsid w:val="6EB757D2"/>
    <w:rsid w:val="6EBF6CB5"/>
    <w:rsid w:val="6EC304C5"/>
    <w:rsid w:val="6ECA154F"/>
    <w:rsid w:val="6ED92677"/>
    <w:rsid w:val="6EDD68B7"/>
    <w:rsid w:val="6EEC0B6E"/>
    <w:rsid w:val="6EF52D74"/>
    <w:rsid w:val="6EF974E6"/>
    <w:rsid w:val="6F00000D"/>
    <w:rsid w:val="6F034B31"/>
    <w:rsid w:val="6F0772A4"/>
    <w:rsid w:val="6F08269A"/>
    <w:rsid w:val="6F1163C9"/>
    <w:rsid w:val="6F1B5EC1"/>
    <w:rsid w:val="6F202E6B"/>
    <w:rsid w:val="6F225983"/>
    <w:rsid w:val="6F250095"/>
    <w:rsid w:val="6F251E38"/>
    <w:rsid w:val="6F2B232A"/>
    <w:rsid w:val="6F2B2929"/>
    <w:rsid w:val="6F2F4EF9"/>
    <w:rsid w:val="6F301593"/>
    <w:rsid w:val="6F333014"/>
    <w:rsid w:val="6F3C4330"/>
    <w:rsid w:val="6F3D383E"/>
    <w:rsid w:val="6F3E1AB7"/>
    <w:rsid w:val="6F3E2E25"/>
    <w:rsid w:val="6F45301C"/>
    <w:rsid w:val="6F4A1724"/>
    <w:rsid w:val="6F5D2E9F"/>
    <w:rsid w:val="6F684305"/>
    <w:rsid w:val="6F701E0B"/>
    <w:rsid w:val="6F761340"/>
    <w:rsid w:val="6F7D5448"/>
    <w:rsid w:val="6F833B3A"/>
    <w:rsid w:val="6F8733BC"/>
    <w:rsid w:val="6F8C7562"/>
    <w:rsid w:val="6F8F3AF2"/>
    <w:rsid w:val="6FA0702B"/>
    <w:rsid w:val="6FA11944"/>
    <w:rsid w:val="6FA876D8"/>
    <w:rsid w:val="6FB30580"/>
    <w:rsid w:val="6FB57CF1"/>
    <w:rsid w:val="6FB82202"/>
    <w:rsid w:val="6FCC0A99"/>
    <w:rsid w:val="6FD12841"/>
    <w:rsid w:val="6FDD6525"/>
    <w:rsid w:val="6FE25690"/>
    <w:rsid w:val="6FE349E5"/>
    <w:rsid w:val="6FE63B34"/>
    <w:rsid w:val="6FE932AA"/>
    <w:rsid w:val="6FF46638"/>
    <w:rsid w:val="6FF51B3B"/>
    <w:rsid w:val="6FFC5590"/>
    <w:rsid w:val="6FFF18DA"/>
    <w:rsid w:val="7000374F"/>
    <w:rsid w:val="70065DAA"/>
    <w:rsid w:val="70081F9F"/>
    <w:rsid w:val="70092C44"/>
    <w:rsid w:val="700D0F41"/>
    <w:rsid w:val="701156D2"/>
    <w:rsid w:val="70130E04"/>
    <w:rsid w:val="701E3690"/>
    <w:rsid w:val="702E1A08"/>
    <w:rsid w:val="70532A12"/>
    <w:rsid w:val="705E0985"/>
    <w:rsid w:val="706D1DD0"/>
    <w:rsid w:val="706F2B83"/>
    <w:rsid w:val="70702E35"/>
    <w:rsid w:val="70803F91"/>
    <w:rsid w:val="70856B87"/>
    <w:rsid w:val="70884B17"/>
    <w:rsid w:val="708D4222"/>
    <w:rsid w:val="70942479"/>
    <w:rsid w:val="709D7E74"/>
    <w:rsid w:val="70A17F0F"/>
    <w:rsid w:val="70A801E5"/>
    <w:rsid w:val="70C039A7"/>
    <w:rsid w:val="70CD2B6E"/>
    <w:rsid w:val="70CF6D78"/>
    <w:rsid w:val="70D127A3"/>
    <w:rsid w:val="70D527EE"/>
    <w:rsid w:val="70EA64E9"/>
    <w:rsid w:val="70EE0B3B"/>
    <w:rsid w:val="70EE7A57"/>
    <w:rsid w:val="70F33FDC"/>
    <w:rsid w:val="70F77D9F"/>
    <w:rsid w:val="70F84C03"/>
    <w:rsid w:val="70FD501B"/>
    <w:rsid w:val="7103480A"/>
    <w:rsid w:val="710802D4"/>
    <w:rsid w:val="710A620B"/>
    <w:rsid w:val="71180999"/>
    <w:rsid w:val="711C6E0C"/>
    <w:rsid w:val="7120096B"/>
    <w:rsid w:val="712745C7"/>
    <w:rsid w:val="712A2FED"/>
    <w:rsid w:val="713B7E8F"/>
    <w:rsid w:val="713F5AF5"/>
    <w:rsid w:val="71401AB1"/>
    <w:rsid w:val="71440C03"/>
    <w:rsid w:val="714545E0"/>
    <w:rsid w:val="714F12FC"/>
    <w:rsid w:val="715726B9"/>
    <w:rsid w:val="715B5300"/>
    <w:rsid w:val="715F5BE7"/>
    <w:rsid w:val="71600CA6"/>
    <w:rsid w:val="71691EE9"/>
    <w:rsid w:val="71745EDB"/>
    <w:rsid w:val="71774D1B"/>
    <w:rsid w:val="717C15F7"/>
    <w:rsid w:val="71A21B88"/>
    <w:rsid w:val="71B35B84"/>
    <w:rsid w:val="71C81817"/>
    <w:rsid w:val="71CC09FF"/>
    <w:rsid w:val="71D27F8A"/>
    <w:rsid w:val="71E53389"/>
    <w:rsid w:val="71F126DA"/>
    <w:rsid w:val="71F83239"/>
    <w:rsid w:val="71F8350E"/>
    <w:rsid w:val="723C4A60"/>
    <w:rsid w:val="723F68C6"/>
    <w:rsid w:val="72421296"/>
    <w:rsid w:val="72507332"/>
    <w:rsid w:val="72520CFF"/>
    <w:rsid w:val="72522214"/>
    <w:rsid w:val="72553024"/>
    <w:rsid w:val="72566044"/>
    <w:rsid w:val="7257195D"/>
    <w:rsid w:val="725A74E1"/>
    <w:rsid w:val="725C57F7"/>
    <w:rsid w:val="726D7F5F"/>
    <w:rsid w:val="726E4253"/>
    <w:rsid w:val="726E6C7D"/>
    <w:rsid w:val="727735ED"/>
    <w:rsid w:val="727A6ABE"/>
    <w:rsid w:val="727A7B45"/>
    <w:rsid w:val="7281133E"/>
    <w:rsid w:val="72813C2B"/>
    <w:rsid w:val="72842D12"/>
    <w:rsid w:val="72896C12"/>
    <w:rsid w:val="72942D87"/>
    <w:rsid w:val="72945EA0"/>
    <w:rsid w:val="729A0CD3"/>
    <w:rsid w:val="729D781A"/>
    <w:rsid w:val="72A031A6"/>
    <w:rsid w:val="72A303D1"/>
    <w:rsid w:val="72A85A59"/>
    <w:rsid w:val="72A91AAF"/>
    <w:rsid w:val="72AA33B6"/>
    <w:rsid w:val="72AB0B7B"/>
    <w:rsid w:val="72B73793"/>
    <w:rsid w:val="72C21535"/>
    <w:rsid w:val="72D01D8A"/>
    <w:rsid w:val="72D05D55"/>
    <w:rsid w:val="72E51711"/>
    <w:rsid w:val="72EC3232"/>
    <w:rsid w:val="72FC302D"/>
    <w:rsid w:val="72FD45B5"/>
    <w:rsid w:val="72FF7338"/>
    <w:rsid w:val="73020285"/>
    <w:rsid w:val="73075151"/>
    <w:rsid w:val="73105D8D"/>
    <w:rsid w:val="73122968"/>
    <w:rsid w:val="731B6780"/>
    <w:rsid w:val="731E2CBF"/>
    <w:rsid w:val="731F5D5E"/>
    <w:rsid w:val="73237AF4"/>
    <w:rsid w:val="73286120"/>
    <w:rsid w:val="73292F0F"/>
    <w:rsid w:val="73297441"/>
    <w:rsid w:val="733A38A3"/>
    <w:rsid w:val="733D3142"/>
    <w:rsid w:val="7342129F"/>
    <w:rsid w:val="734323AC"/>
    <w:rsid w:val="73451ADD"/>
    <w:rsid w:val="735177E5"/>
    <w:rsid w:val="73585276"/>
    <w:rsid w:val="73632D52"/>
    <w:rsid w:val="736668A4"/>
    <w:rsid w:val="73707775"/>
    <w:rsid w:val="73740A39"/>
    <w:rsid w:val="7374314D"/>
    <w:rsid w:val="737B114C"/>
    <w:rsid w:val="73801574"/>
    <w:rsid w:val="738C679E"/>
    <w:rsid w:val="739067B6"/>
    <w:rsid w:val="739421D7"/>
    <w:rsid w:val="739A4A73"/>
    <w:rsid w:val="73A059C3"/>
    <w:rsid w:val="73A71C25"/>
    <w:rsid w:val="73B0067D"/>
    <w:rsid w:val="73B76C21"/>
    <w:rsid w:val="73B928EF"/>
    <w:rsid w:val="73B97463"/>
    <w:rsid w:val="73C51AD5"/>
    <w:rsid w:val="73D01227"/>
    <w:rsid w:val="73D04730"/>
    <w:rsid w:val="73D360CC"/>
    <w:rsid w:val="73D609D9"/>
    <w:rsid w:val="73D764F1"/>
    <w:rsid w:val="73E54E99"/>
    <w:rsid w:val="73EA47F6"/>
    <w:rsid w:val="73EC0363"/>
    <w:rsid w:val="73FC23DC"/>
    <w:rsid w:val="74082F2F"/>
    <w:rsid w:val="740F42BD"/>
    <w:rsid w:val="741B2772"/>
    <w:rsid w:val="741E1A34"/>
    <w:rsid w:val="741E793C"/>
    <w:rsid w:val="74302426"/>
    <w:rsid w:val="743B6ACE"/>
    <w:rsid w:val="743F0AAD"/>
    <w:rsid w:val="74470B8A"/>
    <w:rsid w:val="744A0734"/>
    <w:rsid w:val="744C4815"/>
    <w:rsid w:val="745D0164"/>
    <w:rsid w:val="745E3944"/>
    <w:rsid w:val="74617B01"/>
    <w:rsid w:val="746318A8"/>
    <w:rsid w:val="7472026C"/>
    <w:rsid w:val="747E3B2F"/>
    <w:rsid w:val="748100D3"/>
    <w:rsid w:val="749A65CD"/>
    <w:rsid w:val="74A27C61"/>
    <w:rsid w:val="74A72E45"/>
    <w:rsid w:val="74B7476C"/>
    <w:rsid w:val="74B774ED"/>
    <w:rsid w:val="74CF31BF"/>
    <w:rsid w:val="74DA2FC4"/>
    <w:rsid w:val="74DF1AC3"/>
    <w:rsid w:val="74E02F95"/>
    <w:rsid w:val="74E1604F"/>
    <w:rsid w:val="74E93100"/>
    <w:rsid w:val="74E9443F"/>
    <w:rsid w:val="74ED58BF"/>
    <w:rsid w:val="74F07E8F"/>
    <w:rsid w:val="74F7615A"/>
    <w:rsid w:val="74FC75E2"/>
    <w:rsid w:val="75076E5B"/>
    <w:rsid w:val="750F6B7C"/>
    <w:rsid w:val="75106E8B"/>
    <w:rsid w:val="75152D2F"/>
    <w:rsid w:val="75294226"/>
    <w:rsid w:val="752C3EAD"/>
    <w:rsid w:val="752D7266"/>
    <w:rsid w:val="752E049C"/>
    <w:rsid w:val="75337FB2"/>
    <w:rsid w:val="75383D95"/>
    <w:rsid w:val="753E40D0"/>
    <w:rsid w:val="75412C21"/>
    <w:rsid w:val="75421E0C"/>
    <w:rsid w:val="754432D7"/>
    <w:rsid w:val="75480D69"/>
    <w:rsid w:val="75544E69"/>
    <w:rsid w:val="75560082"/>
    <w:rsid w:val="755672FF"/>
    <w:rsid w:val="755A5196"/>
    <w:rsid w:val="756361F1"/>
    <w:rsid w:val="75643007"/>
    <w:rsid w:val="75796BBD"/>
    <w:rsid w:val="75814CBC"/>
    <w:rsid w:val="758334D5"/>
    <w:rsid w:val="758A55A0"/>
    <w:rsid w:val="759024DA"/>
    <w:rsid w:val="759A3045"/>
    <w:rsid w:val="75A4245D"/>
    <w:rsid w:val="75BB0AC6"/>
    <w:rsid w:val="75D94B83"/>
    <w:rsid w:val="75F940E6"/>
    <w:rsid w:val="760D459A"/>
    <w:rsid w:val="76105083"/>
    <w:rsid w:val="76152B37"/>
    <w:rsid w:val="76165A65"/>
    <w:rsid w:val="762B7453"/>
    <w:rsid w:val="762D0B36"/>
    <w:rsid w:val="7635099D"/>
    <w:rsid w:val="7638514B"/>
    <w:rsid w:val="76407413"/>
    <w:rsid w:val="766F52BC"/>
    <w:rsid w:val="76704CDE"/>
    <w:rsid w:val="76733229"/>
    <w:rsid w:val="767D48F3"/>
    <w:rsid w:val="76810303"/>
    <w:rsid w:val="76897F9F"/>
    <w:rsid w:val="768B23ED"/>
    <w:rsid w:val="76944803"/>
    <w:rsid w:val="769C14D8"/>
    <w:rsid w:val="769E4560"/>
    <w:rsid w:val="76A24CD1"/>
    <w:rsid w:val="76AE2137"/>
    <w:rsid w:val="76B17F2F"/>
    <w:rsid w:val="76B43DAA"/>
    <w:rsid w:val="76B817A0"/>
    <w:rsid w:val="76BD5B41"/>
    <w:rsid w:val="76BF02E0"/>
    <w:rsid w:val="76C26950"/>
    <w:rsid w:val="76C45099"/>
    <w:rsid w:val="76C7774D"/>
    <w:rsid w:val="76CE6C69"/>
    <w:rsid w:val="76D33CC8"/>
    <w:rsid w:val="76D626BD"/>
    <w:rsid w:val="76DC0924"/>
    <w:rsid w:val="76E01A10"/>
    <w:rsid w:val="76ED4839"/>
    <w:rsid w:val="76FB5EDE"/>
    <w:rsid w:val="770F6F48"/>
    <w:rsid w:val="77151645"/>
    <w:rsid w:val="77152363"/>
    <w:rsid w:val="77247C84"/>
    <w:rsid w:val="77290552"/>
    <w:rsid w:val="77301976"/>
    <w:rsid w:val="773201A6"/>
    <w:rsid w:val="773F68F1"/>
    <w:rsid w:val="774E13F9"/>
    <w:rsid w:val="77624BD0"/>
    <w:rsid w:val="7765702E"/>
    <w:rsid w:val="77693B91"/>
    <w:rsid w:val="77762421"/>
    <w:rsid w:val="777D2433"/>
    <w:rsid w:val="777F22E7"/>
    <w:rsid w:val="778C7D4B"/>
    <w:rsid w:val="779916D3"/>
    <w:rsid w:val="77A440BC"/>
    <w:rsid w:val="77A95E0F"/>
    <w:rsid w:val="77B52E33"/>
    <w:rsid w:val="77B56B1F"/>
    <w:rsid w:val="77BC5288"/>
    <w:rsid w:val="77C70D9C"/>
    <w:rsid w:val="77CA2C8E"/>
    <w:rsid w:val="77CC222B"/>
    <w:rsid w:val="77D05B9F"/>
    <w:rsid w:val="77D6582E"/>
    <w:rsid w:val="77D67F89"/>
    <w:rsid w:val="77D84854"/>
    <w:rsid w:val="77E23AA7"/>
    <w:rsid w:val="77ED3CCB"/>
    <w:rsid w:val="77F64096"/>
    <w:rsid w:val="780F09F4"/>
    <w:rsid w:val="7810115C"/>
    <w:rsid w:val="78235474"/>
    <w:rsid w:val="78281497"/>
    <w:rsid w:val="782D100E"/>
    <w:rsid w:val="784802AA"/>
    <w:rsid w:val="7849488E"/>
    <w:rsid w:val="784D2B8A"/>
    <w:rsid w:val="784E14D1"/>
    <w:rsid w:val="785A3919"/>
    <w:rsid w:val="78634351"/>
    <w:rsid w:val="786C43D6"/>
    <w:rsid w:val="787E4BA6"/>
    <w:rsid w:val="787F0148"/>
    <w:rsid w:val="788865A8"/>
    <w:rsid w:val="78913676"/>
    <w:rsid w:val="78987F41"/>
    <w:rsid w:val="78A50E65"/>
    <w:rsid w:val="78A90480"/>
    <w:rsid w:val="78AE57CA"/>
    <w:rsid w:val="78B65883"/>
    <w:rsid w:val="78C13DF3"/>
    <w:rsid w:val="78C50891"/>
    <w:rsid w:val="78C66575"/>
    <w:rsid w:val="78CC030B"/>
    <w:rsid w:val="78D802F6"/>
    <w:rsid w:val="78D862DC"/>
    <w:rsid w:val="78E62A97"/>
    <w:rsid w:val="78E7314D"/>
    <w:rsid w:val="78F07141"/>
    <w:rsid w:val="78F3566C"/>
    <w:rsid w:val="78F53783"/>
    <w:rsid w:val="78F921D5"/>
    <w:rsid w:val="78F923D0"/>
    <w:rsid w:val="790033C3"/>
    <w:rsid w:val="79003D12"/>
    <w:rsid w:val="79026718"/>
    <w:rsid w:val="79080B60"/>
    <w:rsid w:val="790C1B3B"/>
    <w:rsid w:val="791673D0"/>
    <w:rsid w:val="791A58DD"/>
    <w:rsid w:val="791C4374"/>
    <w:rsid w:val="79323286"/>
    <w:rsid w:val="79333229"/>
    <w:rsid w:val="793B2418"/>
    <w:rsid w:val="79423380"/>
    <w:rsid w:val="794E198F"/>
    <w:rsid w:val="7953397E"/>
    <w:rsid w:val="796B468C"/>
    <w:rsid w:val="796D3881"/>
    <w:rsid w:val="79736498"/>
    <w:rsid w:val="79882158"/>
    <w:rsid w:val="798C15B2"/>
    <w:rsid w:val="79935507"/>
    <w:rsid w:val="799403B9"/>
    <w:rsid w:val="79972656"/>
    <w:rsid w:val="79A710CC"/>
    <w:rsid w:val="79AB198E"/>
    <w:rsid w:val="79B504DD"/>
    <w:rsid w:val="79C97604"/>
    <w:rsid w:val="79E97C12"/>
    <w:rsid w:val="79ED50AC"/>
    <w:rsid w:val="79EF00E1"/>
    <w:rsid w:val="7A086BE1"/>
    <w:rsid w:val="7A1B1276"/>
    <w:rsid w:val="7A251AE6"/>
    <w:rsid w:val="7A283A28"/>
    <w:rsid w:val="7A360D72"/>
    <w:rsid w:val="7A364017"/>
    <w:rsid w:val="7A3C5BE3"/>
    <w:rsid w:val="7A4A0749"/>
    <w:rsid w:val="7A547B65"/>
    <w:rsid w:val="7A587B47"/>
    <w:rsid w:val="7A5C3DAA"/>
    <w:rsid w:val="7A6E4093"/>
    <w:rsid w:val="7A7B6E0E"/>
    <w:rsid w:val="7A7C1FCD"/>
    <w:rsid w:val="7A7F667D"/>
    <w:rsid w:val="7A8265E1"/>
    <w:rsid w:val="7A8E3D4C"/>
    <w:rsid w:val="7A9178F2"/>
    <w:rsid w:val="7A9D0C51"/>
    <w:rsid w:val="7A9D6FB6"/>
    <w:rsid w:val="7AA930F8"/>
    <w:rsid w:val="7AB07CF2"/>
    <w:rsid w:val="7ABE2D6E"/>
    <w:rsid w:val="7AC13418"/>
    <w:rsid w:val="7AC31B42"/>
    <w:rsid w:val="7AC42A12"/>
    <w:rsid w:val="7AD37009"/>
    <w:rsid w:val="7AD41E4C"/>
    <w:rsid w:val="7ADA67BD"/>
    <w:rsid w:val="7ADC4806"/>
    <w:rsid w:val="7AE363BB"/>
    <w:rsid w:val="7AEA355D"/>
    <w:rsid w:val="7AFB5FE9"/>
    <w:rsid w:val="7AFD2B44"/>
    <w:rsid w:val="7AFF391D"/>
    <w:rsid w:val="7B032541"/>
    <w:rsid w:val="7B091490"/>
    <w:rsid w:val="7B0E5108"/>
    <w:rsid w:val="7B1D4732"/>
    <w:rsid w:val="7B1E00F9"/>
    <w:rsid w:val="7B216EB9"/>
    <w:rsid w:val="7B243C6C"/>
    <w:rsid w:val="7B2963AE"/>
    <w:rsid w:val="7B2F0A60"/>
    <w:rsid w:val="7B3305E5"/>
    <w:rsid w:val="7B3F7BDA"/>
    <w:rsid w:val="7B417684"/>
    <w:rsid w:val="7B4B578D"/>
    <w:rsid w:val="7B510733"/>
    <w:rsid w:val="7B686D42"/>
    <w:rsid w:val="7B841746"/>
    <w:rsid w:val="7B846732"/>
    <w:rsid w:val="7B8F03E3"/>
    <w:rsid w:val="7B914021"/>
    <w:rsid w:val="7B9F07E9"/>
    <w:rsid w:val="7B9F370A"/>
    <w:rsid w:val="7BA50801"/>
    <w:rsid w:val="7BA57AE3"/>
    <w:rsid w:val="7BAC707F"/>
    <w:rsid w:val="7BAF66EB"/>
    <w:rsid w:val="7BB42413"/>
    <w:rsid w:val="7BC13332"/>
    <w:rsid w:val="7BE232CB"/>
    <w:rsid w:val="7BE4400E"/>
    <w:rsid w:val="7BE94F54"/>
    <w:rsid w:val="7BF17029"/>
    <w:rsid w:val="7BF97273"/>
    <w:rsid w:val="7C021DE2"/>
    <w:rsid w:val="7C090E56"/>
    <w:rsid w:val="7C116BC9"/>
    <w:rsid w:val="7C1179E4"/>
    <w:rsid w:val="7C1A54EE"/>
    <w:rsid w:val="7C1A7CA3"/>
    <w:rsid w:val="7C2837E3"/>
    <w:rsid w:val="7C315FC3"/>
    <w:rsid w:val="7C3526D6"/>
    <w:rsid w:val="7C357310"/>
    <w:rsid w:val="7C3869B9"/>
    <w:rsid w:val="7C404BC3"/>
    <w:rsid w:val="7C423C50"/>
    <w:rsid w:val="7C424A77"/>
    <w:rsid w:val="7C4335DF"/>
    <w:rsid w:val="7C47791D"/>
    <w:rsid w:val="7C4E697D"/>
    <w:rsid w:val="7C575E4A"/>
    <w:rsid w:val="7C5B47F7"/>
    <w:rsid w:val="7C6C5AC7"/>
    <w:rsid w:val="7C6E4CBA"/>
    <w:rsid w:val="7C7167F7"/>
    <w:rsid w:val="7C7727E5"/>
    <w:rsid w:val="7C7B3BC5"/>
    <w:rsid w:val="7C896245"/>
    <w:rsid w:val="7C8B1FF5"/>
    <w:rsid w:val="7C8C497A"/>
    <w:rsid w:val="7C8E5EB6"/>
    <w:rsid w:val="7C8F5603"/>
    <w:rsid w:val="7C9327D3"/>
    <w:rsid w:val="7C987F1F"/>
    <w:rsid w:val="7CA05A8B"/>
    <w:rsid w:val="7CAC355E"/>
    <w:rsid w:val="7CBA22C7"/>
    <w:rsid w:val="7CC27DE1"/>
    <w:rsid w:val="7CC6372B"/>
    <w:rsid w:val="7CC6544B"/>
    <w:rsid w:val="7CCE274E"/>
    <w:rsid w:val="7CCF4F32"/>
    <w:rsid w:val="7CD42548"/>
    <w:rsid w:val="7CE53EAD"/>
    <w:rsid w:val="7CED7166"/>
    <w:rsid w:val="7CF44998"/>
    <w:rsid w:val="7D0239FF"/>
    <w:rsid w:val="7D095508"/>
    <w:rsid w:val="7D0F3D3B"/>
    <w:rsid w:val="7D194A5B"/>
    <w:rsid w:val="7D1B241A"/>
    <w:rsid w:val="7D1B52A4"/>
    <w:rsid w:val="7D1D5C9D"/>
    <w:rsid w:val="7D2723F1"/>
    <w:rsid w:val="7D275057"/>
    <w:rsid w:val="7D351363"/>
    <w:rsid w:val="7D4F211A"/>
    <w:rsid w:val="7D4F6230"/>
    <w:rsid w:val="7D5E40CD"/>
    <w:rsid w:val="7D747152"/>
    <w:rsid w:val="7D7F0374"/>
    <w:rsid w:val="7D850F15"/>
    <w:rsid w:val="7D95362B"/>
    <w:rsid w:val="7DA63D2C"/>
    <w:rsid w:val="7DA91F5E"/>
    <w:rsid w:val="7DAB0ED6"/>
    <w:rsid w:val="7DAC246B"/>
    <w:rsid w:val="7DBE4640"/>
    <w:rsid w:val="7DC22A9B"/>
    <w:rsid w:val="7DC25141"/>
    <w:rsid w:val="7DCD56F2"/>
    <w:rsid w:val="7DD4587F"/>
    <w:rsid w:val="7DDE29AC"/>
    <w:rsid w:val="7DE44A0D"/>
    <w:rsid w:val="7DEA20E5"/>
    <w:rsid w:val="7DEA6C58"/>
    <w:rsid w:val="7DEB7DB9"/>
    <w:rsid w:val="7DEE3196"/>
    <w:rsid w:val="7DF201A1"/>
    <w:rsid w:val="7DF919DB"/>
    <w:rsid w:val="7E04627C"/>
    <w:rsid w:val="7E061D4A"/>
    <w:rsid w:val="7E1533C0"/>
    <w:rsid w:val="7E1F74CB"/>
    <w:rsid w:val="7E2F6E92"/>
    <w:rsid w:val="7E30301E"/>
    <w:rsid w:val="7E307171"/>
    <w:rsid w:val="7E350DC4"/>
    <w:rsid w:val="7E357292"/>
    <w:rsid w:val="7E3D59AA"/>
    <w:rsid w:val="7E46233B"/>
    <w:rsid w:val="7E4B46F0"/>
    <w:rsid w:val="7E4E17AD"/>
    <w:rsid w:val="7E587D05"/>
    <w:rsid w:val="7E597525"/>
    <w:rsid w:val="7E652CE8"/>
    <w:rsid w:val="7E653AE9"/>
    <w:rsid w:val="7E684A6E"/>
    <w:rsid w:val="7E835CD8"/>
    <w:rsid w:val="7E837911"/>
    <w:rsid w:val="7E846E0E"/>
    <w:rsid w:val="7E8A0DB9"/>
    <w:rsid w:val="7E8D111D"/>
    <w:rsid w:val="7E8E2F9A"/>
    <w:rsid w:val="7E962AB0"/>
    <w:rsid w:val="7EAC3F6A"/>
    <w:rsid w:val="7EB1651F"/>
    <w:rsid w:val="7EC77686"/>
    <w:rsid w:val="7ECA69E4"/>
    <w:rsid w:val="7ECB4DA3"/>
    <w:rsid w:val="7ED10F02"/>
    <w:rsid w:val="7ED90420"/>
    <w:rsid w:val="7EE62D17"/>
    <w:rsid w:val="7EEA7E01"/>
    <w:rsid w:val="7EEB4C1C"/>
    <w:rsid w:val="7EEF7FB9"/>
    <w:rsid w:val="7EF07825"/>
    <w:rsid w:val="7EF82399"/>
    <w:rsid w:val="7F001CE7"/>
    <w:rsid w:val="7F0A0CE9"/>
    <w:rsid w:val="7F126890"/>
    <w:rsid w:val="7F1665FB"/>
    <w:rsid w:val="7F1750ED"/>
    <w:rsid w:val="7F23202A"/>
    <w:rsid w:val="7F2366E2"/>
    <w:rsid w:val="7F2E00DF"/>
    <w:rsid w:val="7F4206B8"/>
    <w:rsid w:val="7F436EBA"/>
    <w:rsid w:val="7F523E50"/>
    <w:rsid w:val="7F5411F3"/>
    <w:rsid w:val="7F576B63"/>
    <w:rsid w:val="7F615B0F"/>
    <w:rsid w:val="7F647FE7"/>
    <w:rsid w:val="7F6C7FA9"/>
    <w:rsid w:val="7F713ECB"/>
    <w:rsid w:val="7F794512"/>
    <w:rsid w:val="7F850EAB"/>
    <w:rsid w:val="7F896E77"/>
    <w:rsid w:val="7F8B38CC"/>
    <w:rsid w:val="7F96363C"/>
    <w:rsid w:val="7FA56100"/>
    <w:rsid w:val="7FB21E1B"/>
    <w:rsid w:val="7FB50C98"/>
    <w:rsid w:val="7FB65A15"/>
    <w:rsid w:val="7FC04D64"/>
    <w:rsid w:val="7FC5214D"/>
    <w:rsid w:val="7FD02C3C"/>
    <w:rsid w:val="7FD7010C"/>
    <w:rsid w:val="7FDC6754"/>
    <w:rsid w:val="7FE362A5"/>
    <w:rsid w:val="7FE47E50"/>
    <w:rsid w:val="7FE55517"/>
    <w:rsid w:val="7FEA15B4"/>
    <w:rsid w:val="7FED6716"/>
    <w:rsid w:val="7FF30307"/>
    <w:rsid w:val="7FF42B16"/>
    <w:rsid w:val="7FF858F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qFormat="1"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0" w:semiHidden="0" w:name="Normal Indent" w:locked="1"/>
    <w:lsdException w:qFormat="1"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0" w:semiHidden="0" w:name="caption" w:locked="1"/>
    <w:lsdException w:qFormat="1"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iPriority="99" w:semiHidden="0" w:name="table of authorities" w:locked="1"/>
    <w:lsdException w:unhideWhenUsed="0" w:uiPriority="0" w:semiHidden="0" w:name="macro" w:locked="1"/>
    <w:lsdException w:qFormat="1"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qFormat="1" w:unhideWhenUsed="0" w:uiPriority="99"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5">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qFormat/>
    <w:locked/>
    <w:uiPriority w:val="0"/>
    <w:pPr>
      <w:keepLines/>
      <w:overflowPunct w:val="0"/>
      <w:spacing w:before="200" w:after="40"/>
      <w:outlineLvl w:val="1"/>
    </w:pPr>
    <w:rPr>
      <w:b/>
      <w:bCs/>
      <w:sz w:val="28"/>
      <w:szCs w:val="32"/>
    </w:rPr>
  </w:style>
  <w:style w:type="paragraph" w:styleId="7">
    <w:name w:val="heading 3"/>
    <w:basedOn w:val="1"/>
    <w:next w:val="1"/>
    <w:qFormat/>
    <w:locked/>
    <w:uiPriority w:val="0"/>
    <w:pPr>
      <w:keepNext/>
      <w:keepLines/>
      <w:tabs>
        <w:tab w:val="left" w:pos="0"/>
      </w:tabs>
      <w:spacing w:before="30" w:beforeLines="30" w:after="30" w:afterLines="30" w:line="500" w:lineRule="exact"/>
      <w:ind w:firstLine="200" w:firstLineChars="200"/>
      <w:outlineLvl w:val="2"/>
    </w:pPr>
    <w:rPr>
      <w:b/>
      <w:sz w:val="24"/>
      <w:szCs w:val="20"/>
    </w:rPr>
  </w:style>
  <w:style w:type="paragraph" w:styleId="8">
    <w:name w:val="heading 4"/>
    <w:basedOn w:val="1"/>
    <w:next w:val="1"/>
    <w:unhideWhenUsed/>
    <w:qFormat/>
    <w:locked/>
    <w:uiPriority w:val="0"/>
    <w:pPr>
      <w:keepNext/>
      <w:keepLines/>
      <w:spacing w:before="280" w:beforeLines="50" w:after="290" w:afterLines="50" w:line="372" w:lineRule="auto"/>
      <w:ind w:firstLine="200" w:firstLineChars="200"/>
      <w:outlineLvl w:val="3"/>
    </w:pPr>
    <w:rPr>
      <w:rFonts w:ascii="Arial" w:hAnsi="Arial" w:eastAsia="黑体"/>
      <w:sz w:val="28"/>
    </w:rPr>
  </w:style>
  <w:style w:type="character" w:default="1" w:styleId="40">
    <w:name w:val="Default Paragraph Font"/>
    <w:semiHidden/>
    <w:qFormat/>
    <w:uiPriority w:val="0"/>
  </w:style>
  <w:style w:type="table" w:default="1" w:styleId="38">
    <w:name w:val="Normal Table"/>
    <w:semiHidden/>
    <w:qFormat/>
    <w:uiPriority w:val="0"/>
    <w:tblPr>
      <w:tblCellMar>
        <w:top w:w="0" w:type="dxa"/>
        <w:left w:w="108" w:type="dxa"/>
        <w:bottom w:w="0" w:type="dxa"/>
        <w:right w:w="108" w:type="dxa"/>
      </w:tblCellMar>
    </w:tblPr>
  </w:style>
  <w:style w:type="paragraph" w:customStyle="1" w:styleId="2">
    <w:name w:val="Default"/>
    <w:basedOn w:val="3"/>
    <w:next w:val="4"/>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
    <w:name w:val="纯文本1"/>
    <w:basedOn w:val="1"/>
    <w:qFormat/>
    <w:uiPriority w:val="0"/>
    <w:pPr>
      <w:adjustRightInd w:val="0"/>
    </w:pPr>
    <w:rPr>
      <w:rFonts w:hAnsi="Courier New"/>
      <w:szCs w:val="20"/>
    </w:rPr>
  </w:style>
  <w:style w:type="paragraph" w:styleId="4">
    <w:name w:val="Plain Text"/>
    <w:basedOn w:val="1"/>
    <w:next w:val="1"/>
    <w:qFormat/>
    <w:locked/>
    <w:uiPriority w:val="0"/>
    <w:rPr>
      <w:rFonts w:ascii="宋体" w:hAnsi="Courier New"/>
      <w:sz w:val="21"/>
      <w:szCs w:val="21"/>
    </w:rPr>
  </w:style>
  <w:style w:type="paragraph" w:styleId="9">
    <w:name w:val="table of authorities"/>
    <w:basedOn w:val="1"/>
    <w:next w:val="1"/>
    <w:unhideWhenUsed/>
    <w:qFormat/>
    <w:locked/>
    <w:uiPriority w:val="99"/>
    <w:pPr>
      <w:spacing w:line="360" w:lineRule="auto"/>
      <w:ind w:left="420" w:leftChars="200" w:firstLine="640" w:firstLineChars="200"/>
    </w:pPr>
    <w:rPr>
      <w:rFonts w:ascii="宋体" w:hAnsi="宋体"/>
      <w:sz w:val="24"/>
    </w:rPr>
  </w:style>
  <w:style w:type="paragraph" w:styleId="10">
    <w:name w:val="Normal Indent"/>
    <w:basedOn w:val="1"/>
    <w:next w:val="1"/>
    <w:unhideWhenUsed/>
    <w:qFormat/>
    <w:locked/>
    <w:uiPriority w:val="0"/>
    <w:pPr>
      <w:ind w:firstLine="420" w:firstLineChars="200"/>
    </w:pPr>
    <w:rPr>
      <w:rFonts w:ascii="Calibri" w:hAnsi="Calibri" w:eastAsia="宋体" w:cs="Times New Roman"/>
      <w:szCs w:val="22"/>
    </w:rPr>
  </w:style>
  <w:style w:type="paragraph" w:styleId="11">
    <w:name w:val="caption"/>
    <w:basedOn w:val="1"/>
    <w:next w:val="1"/>
    <w:qFormat/>
    <w:locked/>
    <w:uiPriority w:val="0"/>
    <w:pPr>
      <w:spacing w:before="152" w:after="160" w:line="360" w:lineRule="atLeast"/>
      <w:jc w:val="left"/>
      <w:textAlignment w:val="baseline"/>
    </w:pPr>
    <w:rPr>
      <w:rFonts w:ascii="Arial" w:hAnsi="Arial" w:eastAsia="黑体"/>
      <w:kern w:val="0"/>
    </w:rPr>
  </w:style>
  <w:style w:type="paragraph" w:styleId="12">
    <w:name w:val="index 5"/>
    <w:basedOn w:val="1"/>
    <w:next w:val="1"/>
    <w:qFormat/>
    <w:locked/>
    <w:uiPriority w:val="0"/>
    <w:pPr>
      <w:ind w:left="1680" w:leftChars="800"/>
    </w:pPr>
  </w:style>
  <w:style w:type="paragraph" w:styleId="13">
    <w:name w:val="toa heading"/>
    <w:basedOn w:val="1"/>
    <w:next w:val="1"/>
    <w:qFormat/>
    <w:locked/>
    <w:uiPriority w:val="0"/>
    <w:rPr>
      <w:rFonts w:ascii="Arial" w:hAnsi="Arial"/>
    </w:rPr>
  </w:style>
  <w:style w:type="paragraph" w:styleId="14">
    <w:name w:val="annotation text"/>
    <w:basedOn w:val="1"/>
    <w:link w:val="52"/>
    <w:semiHidden/>
    <w:qFormat/>
    <w:uiPriority w:val="0"/>
    <w:pPr>
      <w:jc w:val="left"/>
    </w:pPr>
    <w:rPr>
      <w:kern w:val="0"/>
      <w:sz w:val="24"/>
      <w:szCs w:val="20"/>
    </w:rPr>
  </w:style>
  <w:style w:type="paragraph" w:styleId="15">
    <w:name w:val="Body Text"/>
    <w:basedOn w:val="1"/>
    <w:link w:val="53"/>
    <w:qFormat/>
    <w:uiPriority w:val="0"/>
    <w:pPr>
      <w:widowControl/>
      <w:snapToGrid w:val="0"/>
      <w:spacing w:before="60" w:after="160" w:line="259" w:lineRule="auto"/>
      <w:ind w:right="113"/>
    </w:pPr>
    <w:rPr>
      <w:kern w:val="0"/>
      <w:sz w:val="18"/>
      <w:szCs w:val="20"/>
    </w:rPr>
  </w:style>
  <w:style w:type="paragraph" w:styleId="16">
    <w:name w:val="Body Text Indent"/>
    <w:basedOn w:val="1"/>
    <w:link w:val="54"/>
    <w:qFormat/>
    <w:uiPriority w:val="0"/>
    <w:pPr>
      <w:spacing w:after="120"/>
      <w:ind w:left="420" w:leftChars="200"/>
    </w:pPr>
    <w:rPr>
      <w:kern w:val="0"/>
      <w:sz w:val="24"/>
      <w:szCs w:val="20"/>
    </w:rPr>
  </w:style>
  <w:style w:type="paragraph" w:styleId="17">
    <w:name w:val="Block Text"/>
    <w:basedOn w:val="1"/>
    <w:qFormat/>
    <w:locked/>
    <w:uiPriority w:val="0"/>
    <w:pPr>
      <w:adjustRightInd w:val="0"/>
      <w:spacing w:before="120" w:line="440" w:lineRule="exact"/>
      <w:ind w:left="284" w:right="284" w:firstLine="567"/>
      <w:textAlignment w:val="baseline"/>
    </w:pPr>
    <w:rPr>
      <w:rFonts w:ascii="楷体_GB2312" w:eastAsia="楷体_GB2312"/>
      <w:spacing w:val="-2"/>
      <w:kern w:val="0"/>
      <w:sz w:val="28"/>
      <w:szCs w:val="20"/>
    </w:rPr>
  </w:style>
  <w:style w:type="paragraph" w:styleId="18">
    <w:name w:val="HTML Address"/>
    <w:basedOn w:val="1"/>
    <w:qFormat/>
    <w:locked/>
    <w:uiPriority w:val="99"/>
    <w:rPr>
      <w:i/>
    </w:rPr>
  </w:style>
  <w:style w:type="paragraph" w:styleId="19">
    <w:name w:val="toc 3"/>
    <w:basedOn w:val="1"/>
    <w:next w:val="1"/>
    <w:qFormat/>
    <w:locked/>
    <w:uiPriority w:val="0"/>
    <w:pPr>
      <w:ind w:left="840" w:leftChars="400"/>
    </w:pPr>
  </w:style>
  <w:style w:type="paragraph" w:styleId="20">
    <w:name w:val="List Bullet 5"/>
    <w:basedOn w:val="1"/>
    <w:qFormat/>
    <w:locked/>
    <w:uiPriority w:val="0"/>
    <w:pPr>
      <w:numPr>
        <w:ilvl w:val="0"/>
        <w:numId w:val="1"/>
      </w:numPr>
    </w:pPr>
  </w:style>
  <w:style w:type="paragraph" w:styleId="21">
    <w:name w:val="Date"/>
    <w:basedOn w:val="1"/>
    <w:next w:val="1"/>
    <w:link w:val="55"/>
    <w:qFormat/>
    <w:uiPriority w:val="0"/>
    <w:pPr>
      <w:ind w:left="100" w:leftChars="2500"/>
    </w:pPr>
    <w:rPr>
      <w:kern w:val="0"/>
      <w:sz w:val="24"/>
      <w:szCs w:val="20"/>
    </w:rPr>
  </w:style>
  <w:style w:type="paragraph" w:styleId="22">
    <w:name w:val="Body Text Indent 2"/>
    <w:basedOn w:val="1"/>
    <w:qFormat/>
    <w:locked/>
    <w:uiPriority w:val="0"/>
    <w:pPr>
      <w:spacing w:line="520" w:lineRule="atLeast"/>
      <w:ind w:firstLine="435"/>
    </w:pPr>
    <w:rPr>
      <w:rFonts w:ascii="宋体" w:hAnsi="宋体"/>
      <w:kern w:val="2"/>
      <w:sz w:val="28"/>
    </w:rPr>
  </w:style>
  <w:style w:type="paragraph" w:styleId="23">
    <w:name w:val="Balloon Text"/>
    <w:basedOn w:val="1"/>
    <w:link w:val="56"/>
    <w:semiHidden/>
    <w:qFormat/>
    <w:uiPriority w:val="0"/>
    <w:rPr>
      <w:kern w:val="0"/>
      <w:sz w:val="18"/>
      <w:szCs w:val="20"/>
    </w:rPr>
  </w:style>
  <w:style w:type="paragraph" w:styleId="24">
    <w:name w:val="footer"/>
    <w:basedOn w:val="1"/>
    <w:link w:val="57"/>
    <w:qFormat/>
    <w:uiPriority w:val="99"/>
    <w:pPr>
      <w:tabs>
        <w:tab w:val="center" w:pos="4153"/>
        <w:tab w:val="right" w:pos="8306"/>
      </w:tabs>
      <w:snapToGrid w:val="0"/>
      <w:jc w:val="left"/>
    </w:pPr>
    <w:rPr>
      <w:kern w:val="0"/>
      <w:sz w:val="18"/>
      <w:szCs w:val="20"/>
    </w:rPr>
  </w:style>
  <w:style w:type="paragraph" w:styleId="25">
    <w:name w:val="header"/>
    <w:basedOn w:val="1"/>
    <w:link w:val="58"/>
    <w:qFormat/>
    <w:uiPriority w:val="0"/>
    <w:pPr>
      <w:pBdr>
        <w:bottom w:val="single" w:color="auto" w:sz="6" w:space="1"/>
      </w:pBdr>
      <w:tabs>
        <w:tab w:val="center" w:pos="4153"/>
        <w:tab w:val="right" w:pos="8306"/>
      </w:tabs>
      <w:snapToGrid w:val="0"/>
      <w:jc w:val="center"/>
    </w:pPr>
    <w:rPr>
      <w:kern w:val="0"/>
      <w:sz w:val="18"/>
      <w:szCs w:val="20"/>
    </w:rPr>
  </w:style>
  <w:style w:type="paragraph" w:styleId="26">
    <w:name w:val="index heading"/>
    <w:basedOn w:val="1"/>
    <w:next w:val="27"/>
    <w:qFormat/>
    <w:locked/>
    <w:uiPriority w:val="0"/>
    <w:rPr>
      <w:rFonts w:ascii="Arial" w:hAnsi="Arial" w:eastAsia="宋体" w:cs="Times New Roman"/>
      <w:b/>
    </w:rPr>
  </w:style>
  <w:style w:type="paragraph" w:styleId="27">
    <w:name w:val="index 1"/>
    <w:basedOn w:val="1"/>
    <w:next w:val="1"/>
    <w:qFormat/>
    <w:locked/>
    <w:uiPriority w:val="0"/>
    <w:rPr>
      <w:rFonts w:ascii="Times New Roman" w:hAnsi="Times New Roman" w:eastAsia="宋体" w:cs="Times New Roman"/>
    </w:rPr>
  </w:style>
  <w:style w:type="paragraph" w:styleId="28">
    <w:name w:val="List"/>
    <w:basedOn w:val="1"/>
    <w:qFormat/>
    <w:locked/>
    <w:uiPriority w:val="0"/>
    <w:pPr>
      <w:ind w:left="200" w:hanging="200" w:hangingChars="200"/>
      <w:contextualSpacing/>
    </w:pPr>
  </w:style>
  <w:style w:type="paragraph" w:styleId="29">
    <w:name w:val="footnote text"/>
    <w:basedOn w:val="1"/>
    <w:next w:val="12"/>
    <w:qFormat/>
    <w:locked/>
    <w:uiPriority w:val="0"/>
    <w:pPr>
      <w:snapToGrid w:val="0"/>
    </w:pPr>
    <w:rPr>
      <w:sz w:val="18"/>
    </w:rPr>
  </w:style>
  <w:style w:type="paragraph" w:styleId="30">
    <w:name w:val="Body Text Indent 3"/>
    <w:basedOn w:val="1"/>
    <w:qFormat/>
    <w:locked/>
    <w:uiPriority w:val="0"/>
    <w:pPr>
      <w:spacing w:after="120"/>
      <w:ind w:left="420" w:leftChars="200"/>
    </w:pPr>
    <w:rPr>
      <w:sz w:val="16"/>
      <w:szCs w:val="16"/>
    </w:rPr>
  </w:style>
  <w:style w:type="paragraph" w:styleId="31">
    <w:name w:val="table of figures"/>
    <w:basedOn w:val="1"/>
    <w:next w:val="1"/>
    <w:unhideWhenUsed/>
    <w:qFormat/>
    <w:locked/>
    <w:uiPriority w:val="0"/>
    <w:pPr>
      <w:spacing w:before="100" w:beforeAutospacing="1" w:after="100" w:afterAutospacing="1"/>
      <w:ind w:leftChars="200" w:hanging="200" w:hangingChars="200"/>
    </w:pPr>
  </w:style>
  <w:style w:type="paragraph" w:styleId="32">
    <w:name w:val="Body Text 2"/>
    <w:basedOn w:val="1"/>
    <w:qFormat/>
    <w:locked/>
    <w:uiPriority w:val="0"/>
    <w:pPr>
      <w:adjustRightInd w:val="0"/>
      <w:spacing w:line="400" w:lineRule="atLeast"/>
      <w:textAlignment w:val="baseline"/>
    </w:pPr>
    <w:rPr>
      <w:kern w:val="0"/>
      <w:szCs w:val="20"/>
    </w:rPr>
  </w:style>
  <w:style w:type="paragraph" w:styleId="33">
    <w:name w:val="Normal (Web)"/>
    <w:basedOn w:val="1"/>
    <w:link w:val="59"/>
    <w:qFormat/>
    <w:uiPriority w:val="0"/>
    <w:pPr>
      <w:widowControl/>
      <w:spacing w:before="100" w:beforeAutospacing="1" w:after="100" w:afterAutospacing="1"/>
      <w:jc w:val="left"/>
    </w:pPr>
    <w:rPr>
      <w:rFonts w:ascii="宋体" w:hAnsi="宋体"/>
      <w:kern w:val="0"/>
      <w:sz w:val="24"/>
      <w:szCs w:val="20"/>
    </w:rPr>
  </w:style>
  <w:style w:type="paragraph" w:styleId="34">
    <w:name w:val="Title"/>
    <w:basedOn w:val="1"/>
    <w:next w:val="8"/>
    <w:qFormat/>
    <w:locked/>
    <w:uiPriority w:val="0"/>
    <w:pPr>
      <w:spacing w:before="240" w:after="60"/>
      <w:jc w:val="center"/>
      <w:outlineLvl w:val="0"/>
    </w:pPr>
    <w:rPr>
      <w:rFonts w:ascii="Cambria" w:hAnsi="Cambria"/>
      <w:b/>
      <w:bCs/>
      <w:sz w:val="32"/>
      <w:szCs w:val="32"/>
    </w:rPr>
  </w:style>
  <w:style w:type="paragraph" w:styleId="35">
    <w:name w:val="annotation subject"/>
    <w:basedOn w:val="14"/>
    <w:next w:val="14"/>
    <w:link w:val="60"/>
    <w:semiHidden/>
    <w:qFormat/>
    <w:uiPriority w:val="0"/>
    <w:rPr>
      <w:b/>
      <w:sz w:val="24"/>
      <w:szCs w:val="20"/>
    </w:rPr>
  </w:style>
  <w:style w:type="paragraph" w:styleId="36">
    <w:name w:val="Body Text First Indent"/>
    <w:basedOn w:val="15"/>
    <w:next w:val="31"/>
    <w:qFormat/>
    <w:locked/>
    <w:uiPriority w:val="0"/>
    <w:pPr>
      <w:spacing w:after="120"/>
      <w:ind w:firstLine="420" w:firstLineChars="100"/>
      <w:jc w:val="both"/>
    </w:pPr>
    <w:rPr>
      <w:sz w:val="21"/>
      <w:szCs w:val="24"/>
    </w:rPr>
  </w:style>
  <w:style w:type="paragraph" w:styleId="37">
    <w:name w:val="Body Text First Indent 2"/>
    <w:basedOn w:val="16"/>
    <w:next w:val="2"/>
    <w:qFormat/>
    <w:locked/>
    <w:uiPriority w:val="0"/>
    <w:pPr>
      <w:ind w:firstLine="420" w:firstLineChars="200"/>
    </w:pPr>
  </w:style>
  <w:style w:type="table" w:styleId="39">
    <w:name w:val="Table Grid"/>
    <w:basedOn w:val="38"/>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basedOn w:val="40"/>
    <w:qFormat/>
    <w:locked/>
    <w:uiPriority w:val="0"/>
    <w:rPr>
      <w:b/>
    </w:rPr>
  </w:style>
  <w:style w:type="character" w:styleId="42">
    <w:name w:val="page number"/>
    <w:basedOn w:val="40"/>
    <w:qFormat/>
    <w:locked/>
    <w:uiPriority w:val="0"/>
  </w:style>
  <w:style w:type="character" w:styleId="43">
    <w:name w:val="FollowedHyperlink"/>
    <w:basedOn w:val="40"/>
    <w:qFormat/>
    <w:locked/>
    <w:uiPriority w:val="0"/>
    <w:rPr>
      <w:color w:val="800080"/>
      <w:u w:val="single"/>
    </w:rPr>
  </w:style>
  <w:style w:type="character" w:styleId="44">
    <w:name w:val="Hyperlink"/>
    <w:basedOn w:val="40"/>
    <w:qFormat/>
    <w:locked/>
    <w:uiPriority w:val="0"/>
    <w:rPr>
      <w:color w:val="0000FF"/>
      <w:u w:val="single"/>
    </w:rPr>
  </w:style>
  <w:style w:type="character" w:styleId="45">
    <w:name w:val="annotation reference"/>
    <w:semiHidden/>
    <w:qFormat/>
    <w:uiPriority w:val="0"/>
    <w:rPr>
      <w:sz w:val="21"/>
    </w:rPr>
  </w:style>
  <w:style w:type="paragraph" w:customStyle="1" w:styleId="46">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47">
    <w:name w:val="Char Char Char Char Char Char1 Char Char Char Char"/>
    <w:basedOn w:val="1"/>
    <w:next w:val="1"/>
    <w:qFormat/>
    <w:uiPriority w:val="0"/>
    <w:pPr>
      <w:spacing w:line="360" w:lineRule="auto"/>
      <w:ind w:firstLine="200"/>
    </w:pPr>
  </w:style>
  <w:style w:type="paragraph" w:customStyle="1" w:styleId="48">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49">
    <w:name w:val="xl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rPr>
  </w:style>
  <w:style w:type="paragraph" w:customStyle="1" w:styleId="50">
    <w:name w:val="正文首行缩进1"/>
    <w:basedOn w:val="1"/>
    <w:qFormat/>
    <w:uiPriority w:val="99"/>
    <w:pPr>
      <w:spacing w:after="120"/>
      <w:ind w:firstLine="420" w:firstLineChars="100"/>
    </w:pPr>
  </w:style>
  <w:style w:type="paragraph" w:customStyle="1" w:styleId="51">
    <w:name w:val="表格文字"/>
    <w:basedOn w:val="15"/>
    <w:next w:val="1"/>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52">
    <w:name w:val="批注文字 Char"/>
    <w:link w:val="14"/>
    <w:qFormat/>
    <w:locked/>
    <w:uiPriority w:val="0"/>
    <w:rPr>
      <w:rFonts w:ascii="Times New Roman" w:hAnsi="Times New Roman" w:eastAsia="宋体"/>
      <w:sz w:val="24"/>
    </w:rPr>
  </w:style>
  <w:style w:type="character" w:customStyle="1" w:styleId="53">
    <w:name w:val="正文文本 Char"/>
    <w:link w:val="15"/>
    <w:qFormat/>
    <w:locked/>
    <w:uiPriority w:val="0"/>
    <w:rPr>
      <w:sz w:val="18"/>
    </w:rPr>
  </w:style>
  <w:style w:type="character" w:customStyle="1" w:styleId="54">
    <w:name w:val="正文文本缩进 Char"/>
    <w:link w:val="16"/>
    <w:semiHidden/>
    <w:qFormat/>
    <w:locked/>
    <w:uiPriority w:val="0"/>
    <w:rPr>
      <w:rFonts w:ascii="Times New Roman" w:hAnsi="Times New Roman" w:eastAsia="宋体"/>
      <w:sz w:val="24"/>
    </w:rPr>
  </w:style>
  <w:style w:type="character" w:customStyle="1" w:styleId="55">
    <w:name w:val="日期 Char"/>
    <w:link w:val="21"/>
    <w:qFormat/>
    <w:locked/>
    <w:uiPriority w:val="0"/>
    <w:rPr>
      <w:rFonts w:ascii="Times New Roman" w:hAnsi="Times New Roman" w:eastAsia="宋体"/>
      <w:sz w:val="24"/>
    </w:rPr>
  </w:style>
  <w:style w:type="character" w:customStyle="1" w:styleId="56">
    <w:name w:val="批注框文本 Char"/>
    <w:link w:val="23"/>
    <w:semiHidden/>
    <w:qFormat/>
    <w:locked/>
    <w:uiPriority w:val="0"/>
    <w:rPr>
      <w:rFonts w:ascii="Times New Roman" w:hAnsi="Times New Roman" w:eastAsia="宋体"/>
      <w:sz w:val="18"/>
    </w:rPr>
  </w:style>
  <w:style w:type="character" w:customStyle="1" w:styleId="57">
    <w:name w:val="页脚 Char"/>
    <w:link w:val="24"/>
    <w:qFormat/>
    <w:locked/>
    <w:uiPriority w:val="99"/>
    <w:rPr>
      <w:sz w:val="18"/>
    </w:rPr>
  </w:style>
  <w:style w:type="character" w:customStyle="1" w:styleId="58">
    <w:name w:val="页眉 Char"/>
    <w:link w:val="25"/>
    <w:qFormat/>
    <w:locked/>
    <w:uiPriority w:val="0"/>
    <w:rPr>
      <w:sz w:val="18"/>
    </w:rPr>
  </w:style>
  <w:style w:type="character" w:customStyle="1" w:styleId="59">
    <w:name w:val="普通(网站) Char"/>
    <w:link w:val="33"/>
    <w:qFormat/>
    <w:locked/>
    <w:uiPriority w:val="0"/>
    <w:rPr>
      <w:rFonts w:ascii="宋体" w:hAnsi="宋体" w:eastAsia="宋体"/>
      <w:sz w:val="24"/>
    </w:rPr>
  </w:style>
  <w:style w:type="character" w:customStyle="1" w:styleId="60">
    <w:name w:val="批注主题 Char"/>
    <w:link w:val="35"/>
    <w:semiHidden/>
    <w:qFormat/>
    <w:locked/>
    <w:uiPriority w:val="0"/>
    <w:rPr>
      <w:rFonts w:ascii="Times New Roman" w:hAnsi="Times New Roman" w:eastAsia="宋体"/>
      <w:b/>
      <w:kern w:val="2"/>
      <w:sz w:val="24"/>
    </w:rPr>
  </w:style>
  <w:style w:type="character" w:customStyle="1" w:styleId="61">
    <w:name w:val="日期 字符"/>
    <w:semiHidden/>
    <w:qFormat/>
    <w:uiPriority w:val="0"/>
    <w:rPr>
      <w:rFonts w:ascii="Times New Roman" w:hAnsi="Times New Roman" w:eastAsia="宋体"/>
      <w:sz w:val="24"/>
    </w:rPr>
  </w:style>
  <w:style w:type="character" w:customStyle="1" w:styleId="62">
    <w:name w:val="批注文字 字符1"/>
    <w:semiHidden/>
    <w:qFormat/>
    <w:uiPriority w:val="0"/>
    <w:rPr>
      <w:rFonts w:ascii="Times New Roman" w:hAnsi="Times New Roman" w:eastAsia="宋体"/>
      <w:sz w:val="24"/>
    </w:rPr>
  </w:style>
  <w:style w:type="character" w:customStyle="1" w:styleId="63">
    <w:name w:val="表格 Char"/>
    <w:link w:val="64"/>
    <w:qFormat/>
    <w:locked/>
    <w:uiPriority w:val="0"/>
    <w:rPr>
      <w:rFonts w:ascii="宋体"/>
      <w:sz w:val="21"/>
    </w:rPr>
  </w:style>
  <w:style w:type="paragraph" w:customStyle="1" w:styleId="64">
    <w:name w:val="表格"/>
    <w:basedOn w:val="1"/>
    <w:next w:val="1"/>
    <w:link w:val="63"/>
    <w:qFormat/>
    <w:uiPriority w:val="0"/>
    <w:pPr>
      <w:adjustRightInd w:val="0"/>
      <w:snapToGrid w:val="0"/>
      <w:spacing w:beforeLines="10" w:afterLines="10" w:line="259" w:lineRule="auto"/>
      <w:jc w:val="center"/>
    </w:pPr>
    <w:rPr>
      <w:rFonts w:ascii="宋体"/>
      <w:kern w:val="0"/>
      <w:szCs w:val="20"/>
    </w:rPr>
  </w:style>
  <w:style w:type="character" w:customStyle="1" w:styleId="65">
    <w:name w:val="font31"/>
    <w:basedOn w:val="40"/>
    <w:qFormat/>
    <w:uiPriority w:val="0"/>
    <w:rPr>
      <w:rFonts w:hint="eastAsia" w:ascii="宋体" w:hAnsi="宋体" w:eastAsia="宋体" w:cs="宋体"/>
      <w:color w:val="000000"/>
      <w:sz w:val="21"/>
      <w:szCs w:val="21"/>
      <w:u w:val="none"/>
    </w:rPr>
  </w:style>
  <w:style w:type="character" w:customStyle="1" w:styleId="66">
    <w:name w:val="页脚 字符"/>
    <w:basedOn w:val="40"/>
    <w:qFormat/>
    <w:uiPriority w:val="99"/>
  </w:style>
  <w:style w:type="character" w:customStyle="1" w:styleId="67">
    <w:name w:val="Body text (2)_"/>
    <w:link w:val="68"/>
    <w:qFormat/>
    <w:uiPriority w:val="0"/>
    <w:rPr>
      <w:kern w:val="0"/>
      <w:sz w:val="26"/>
      <w:szCs w:val="26"/>
    </w:rPr>
  </w:style>
  <w:style w:type="paragraph" w:customStyle="1" w:styleId="68">
    <w:name w:val="Body text (2)"/>
    <w:basedOn w:val="1"/>
    <w:link w:val="67"/>
    <w:qFormat/>
    <w:uiPriority w:val="0"/>
    <w:pPr>
      <w:shd w:val="clear" w:color="auto" w:fill="FFFFFF"/>
      <w:spacing w:line="503" w:lineRule="exact"/>
      <w:jc w:val="distribute"/>
    </w:pPr>
    <w:rPr>
      <w:kern w:val="0"/>
      <w:sz w:val="26"/>
      <w:szCs w:val="26"/>
    </w:rPr>
  </w:style>
  <w:style w:type="character" w:customStyle="1" w:styleId="69">
    <w:name w:val="正文文本 字符1"/>
    <w:semiHidden/>
    <w:qFormat/>
    <w:uiPriority w:val="0"/>
    <w:rPr>
      <w:rFonts w:ascii="Times New Roman" w:hAnsi="Times New Roman" w:eastAsia="宋体"/>
      <w:sz w:val="24"/>
    </w:rPr>
  </w:style>
  <w:style w:type="character" w:customStyle="1" w:styleId="70">
    <w:name w:val="font01"/>
    <w:basedOn w:val="40"/>
    <w:qFormat/>
    <w:uiPriority w:val="0"/>
    <w:rPr>
      <w:rFonts w:hint="eastAsia" w:ascii="宋体" w:hAnsi="宋体" w:eastAsia="宋体" w:cs="宋体"/>
      <w:color w:val="000000"/>
      <w:sz w:val="28"/>
      <w:szCs w:val="28"/>
      <w:u w:val="none"/>
    </w:rPr>
  </w:style>
  <w:style w:type="paragraph" w:customStyle="1" w:styleId="71">
    <w:name w:val="0正文"/>
    <w:basedOn w:val="1"/>
    <w:qFormat/>
    <w:uiPriority w:val="0"/>
    <w:pPr>
      <w:adjustRightInd w:val="0"/>
      <w:spacing w:line="480" w:lineRule="exact"/>
      <w:ind w:firstLine="200" w:firstLineChars="200"/>
      <w:contextualSpacing/>
    </w:pPr>
    <w:rPr>
      <w:sz w:val="24"/>
      <w:szCs w:val="22"/>
    </w:rPr>
  </w:style>
  <w:style w:type="paragraph" w:customStyle="1" w:styleId="7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4">
    <w:name w:val="山焦报告正文"/>
    <w:basedOn w:val="1"/>
    <w:qFormat/>
    <w:uiPriority w:val="0"/>
    <w:pPr>
      <w:adjustRightInd w:val="0"/>
      <w:snapToGrid w:val="0"/>
      <w:spacing w:before="78" w:beforeLines="25" w:line="440" w:lineRule="exact"/>
      <w:ind w:firstLine="200" w:firstLineChars="200"/>
    </w:pPr>
    <w:rPr>
      <w:color w:val="000000"/>
      <w:sz w:val="24"/>
    </w:rPr>
  </w:style>
  <w:style w:type="paragraph" w:customStyle="1" w:styleId="75">
    <w:name w:val="表中"/>
    <w:basedOn w:val="1"/>
    <w:qFormat/>
    <w:uiPriority w:val="0"/>
    <w:pPr>
      <w:spacing w:line="360" w:lineRule="exact"/>
      <w:jc w:val="center"/>
    </w:pPr>
    <w:rPr>
      <w:szCs w:val="21"/>
    </w:rPr>
  </w:style>
  <w:style w:type="paragraph" w:customStyle="1" w:styleId="76">
    <w:name w:val="表格文字 16磅"/>
    <w:basedOn w:val="4"/>
    <w:next w:val="1"/>
    <w:qFormat/>
    <w:uiPriority w:val="0"/>
    <w:pPr>
      <w:spacing w:line="320" w:lineRule="exact"/>
      <w:jc w:val="center"/>
      <w:textAlignment w:val="baseline"/>
    </w:pPr>
    <w:rPr>
      <w:rFonts w:ascii="Times New Roman" w:hAnsi="Times New Roman" w:cs="宋体"/>
      <w:kern w:val="2"/>
    </w:rPr>
  </w:style>
  <w:style w:type="paragraph" w:customStyle="1" w:styleId="77">
    <w:name w:val="样式 表文字 + 字符缩放: 90%"/>
    <w:basedOn w:val="1"/>
    <w:qFormat/>
    <w:uiPriority w:val="0"/>
    <w:pPr>
      <w:keepNext/>
      <w:adjustRightInd w:val="0"/>
      <w:spacing w:line="240" w:lineRule="exact"/>
      <w:ind w:left="-50" w:leftChars="-50" w:right="-50" w:rightChars="-50"/>
      <w:jc w:val="center"/>
      <w:textAlignment w:val="baseline"/>
    </w:pPr>
    <w:rPr>
      <w:rFonts w:ascii="宋体" w:hAnsi="宋体" w:cs="宋体"/>
      <w:snapToGrid w:val="0"/>
      <w:sz w:val="18"/>
      <w:szCs w:val="18"/>
    </w:rPr>
  </w:style>
  <w:style w:type="paragraph" w:customStyle="1" w:styleId="78">
    <w:name w:val="我的正文"/>
    <w:basedOn w:val="1"/>
    <w:qFormat/>
    <w:uiPriority w:val="0"/>
    <w:pPr>
      <w:spacing w:line="360" w:lineRule="auto"/>
      <w:ind w:firstLine="502" w:firstLineChars="200"/>
    </w:pPr>
    <w:rPr>
      <w:rFonts w:cs="Times New Roman"/>
      <w:kern w:val="0"/>
      <w:szCs w:val="24"/>
    </w:rPr>
  </w:style>
  <w:style w:type="paragraph" w:customStyle="1" w:styleId="79">
    <w:name w:val="5正文"/>
    <w:basedOn w:val="1"/>
    <w:qFormat/>
    <w:uiPriority w:val="0"/>
    <w:pPr>
      <w:snapToGrid w:val="0"/>
      <w:spacing w:line="360" w:lineRule="auto"/>
      <w:ind w:firstLine="200" w:firstLineChars="200"/>
    </w:pPr>
    <w:rPr>
      <w:sz w:val="24"/>
      <w:lang w:val="zh-CN"/>
    </w:rPr>
  </w:style>
  <w:style w:type="paragraph" w:customStyle="1" w:styleId="80">
    <w:name w:val="正文 New New"/>
    <w:qFormat/>
    <w:uiPriority w:val="0"/>
    <w:pPr>
      <w:widowControl w:val="0"/>
      <w:spacing w:after="200" w:line="480" w:lineRule="exact"/>
      <w:ind w:firstLine="1044" w:firstLineChars="200"/>
      <w:jc w:val="both"/>
    </w:pPr>
    <w:rPr>
      <w:rFonts w:ascii="Calibri" w:hAnsi="Calibri" w:eastAsia="宋体" w:cs="Times New Roman"/>
      <w:kern w:val="2"/>
      <w:sz w:val="24"/>
      <w:szCs w:val="24"/>
      <w:lang w:val="en-US" w:eastAsia="en-US" w:bidi="en-US"/>
    </w:rPr>
  </w:style>
  <w:style w:type="paragraph" w:customStyle="1" w:styleId="81">
    <w:name w:val="大纲正文"/>
    <w:basedOn w:val="1"/>
    <w:qFormat/>
    <w:uiPriority w:val="0"/>
    <w:pPr>
      <w:spacing w:afterLines="25"/>
      <w:jc w:val="both"/>
    </w:pPr>
    <w:rPr>
      <w:snapToGrid w:val="0"/>
      <w:kern w:val="0"/>
      <w:szCs w:val="20"/>
    </w:rPr>
  </w:style>
  <w:style w:type="paragraph" w:customStyle="1" w:styleId="82">
    <w:name w:val="c表内字"/>
    <w:qFormat/>
    <w:uiPriority w:val="0"/>
    <w:pPr>
      <w:adjustRightInd w:val="0"/>
      <w:snapToGrid w:val="0"/>
      <w:spacing w:line="360" w:lineRule="exact"/>
    </w:pPr>
    <w:rPr>
      <w:rFonts w:ascii="Times New Roman" w:hAnsi="Times New Roman" w:eastAsia="宋体" w:cs="Times New Roman"/>
      <w:color w:val="000000"/>
      <w:kern w:val="44"/>
      <w:sz w:val="21"/>
      <w:szCs w:val="24"/>
      <w:lang w:val="en-US" w:eastAsia="zh-CN" w:bidi="ar-SA"/>
    </w:rPr>
  </w:style>
  <w:style w:type="paragraph" w:customStyle="1" w:styleId="83">
    <w:name w:val="表注"/>
    <w:basedOn w:val="1"/>
    <w:qFormat/>
    <w:uiPriority w:val="0"/>
    <w:pPr>
      <w:adjustRightInd w:val="0"/>
      <w:snapToGrid w:val="0"/>
      <w:spacing w:before="60" w:line="280" w:lineRule="exact"/>
      <w:ind w:firstLine="360" w:firstLineChars="200"/>
    </w:pPr>
    <w:rPr>
      <w:color w:val="000000"/>
      <w:kern w:val="32"/>
      <w:sz w:val="18"/>
    </w:rPr>
  </w:style>
  <w:style w:type="paragraph" w:customStyle="1" w:styleId="84">
    <w:name w:val="Table Paragraph"/>
    <w:basedOn w:val="1"/>
    <w:next w:val="4"/>
    <w:unhideWhenUsed/>
    <w:qFormat/>
    <w:uiPriority w:val="1"/>
    <w:rPr>
      <w:sz w:val="24"/>
    </w:rPr>
  </w:style>
  <w:style w:type="paragraph" w:customStyle="1" w:styleId="85">
    <w:name w:val="正文2"/>
    <w:basedOn w:val="86"/>
    <w:qFormat/>
    <w:uiPriority w:val="0"/>
    <w:pPr>
      <w:ind w:firstLine="480"/>
    </w:pPr>
    <w:rPr>
      <w:iCs/>
      <w:kern w:val="11"/>
      <w:szCs w:val="24"/>
    </w:rPr>
  </w:style>
  <w:style w:type="paragraph" w:customStyle="1" w:styleId="86">
    <w:name w:val="00正文"/>
    <w:basedOn w:val="1"/>
    <w:qFormat/>
    <w:uiPriority w:val="0"/>
    <w:pPr>
      <w:adjustRightInd/>
      <w:snapToGrid/>
      <w:ind w:firstLine="200" w:firstLineChars="200"/>
    </w:pPr>
    <w:rPr>
      <w:kern w:val="2"/>
      <w:szCs w:val="22"/>
    </w:rPr>
  </w:style>
  <w:style w:type="paragraph" w:customStyle="1" w:styleId="87">
    <w:name w:val="表格内"/>
    <w:basedOn w:val="1"/>
    <w:next w:val="1"/>
    <w:qFormat/>
    <w:uiPriority w:val="0"/>
    <w:pPr>
      <w:spacing w:line="240" w:lineRule="auto"/>
      <w:jc w:val="center"/>
    </w:pPr>
    <w:rPr>
      <w:kern w:val="0"/>
      <w:sz w:val="20"/>
      <w:szCs w:val="24"/>
    </w:rPr>
  </w:style>
  <w:style w:type="paragraph" w:customStyle="1" w:styleId="88">
    <w:name w:val="正文内容"/>
    <w:qFormat/>
    <w:uiPriority w:val="0"/>
    <w:pPr>
      <w:widowControl w:val="0"/>
      <w:snapToGrid w:val="0"/>
      <w:spacing w:before="60" w:after="60" w:line="440" w:lineRule="exact"/>
      <w:ind w:firstLine="200" w:firstLineChars="200"/>
      <w:jc w:val="both"/>
    </w:pPr>
    <w:rPr>
      <w:rFonts w:ascii="Calibri" w:hAnsi="Calibri" w:eastAsia="微软雅黑" w:cs="Times New Roman"/>
      <w:kern w:val="2"/>
      <w:sz w:val="24"/>
      <w:szCs w:val="24"/>
      <w:lang w:val="en-US" w:eastAsia="zh-CN" w:bidi="ar-SA"/>
    </w:rPr>
  </w:style>
  <w:style w:type="paragraph" w:customStyle="1" w:styleId="89">
    <w:name w:val="标准正文"/>
    <w:basedOn w:val="1"/>
    <w:qFormat/>
    <w:uiPriority w:val="0"/>
    <w:pPr>
      <w:spacing w:line="360" w:lineRule="auto"/>
      <w:ind w:firstLine="200" w:firstLineChars="200"/>
    </w:pPr>
    <w:rPr>
      <w:szCs w:val="22"/>
    </w:rPr>
  </w:style>
  <w:style w:type="paragraph" w:customStyle="1" w:styleId="90">
    <w:name w:val="内容"/>
    <w:basedOn w:val="1"/>
    <w:qFormat/>
    <w:uiPriority w:val="0"/>
    <w:pPr>
      <w:spacing w:line="400" w:lineRule="atLeast"/>
      <w:ind w:firstLine="200" w:firstLineChars="200"/>
    </w:pPr>
    <w:rPr>
      <w:spacing w:val="10"/>
      <w:sz w:val="24"/>
      <w:szCs w:val="20"/>
    </w:rPr>
  </w:style>
  <w:style w:type="paragraph" w:customStyle="1" w:styleId="91">
    <w:name w:val="00表内字体"/>
    <w:basedOn w:val="1"/>
    <w:qFormat/>
    <w:uiPriority w:val="0"/>
    <w:pPr>
      <w:widowControl/>
      <w:jc w:val="center"/>
    </w:pPr>
    <w:rPr>
      <w:szCs w:val="22"/>
    </w:rPr>
  </w:style>
  <w:style w:type="paragraph" w:customStyle="1" w:styleId="92">
    <w:name w:val="表格内容"/>
    <w:basedOn w:val="1"/>
    <w:next w:val="1"/>
    <w:qFormat/>
    <w:uiPriority w:val="99"/>
    <w:pPr>
      <w:spacing w:line="320" w:lineRule="exact"/>
      <w:jc w:val="center"/>
    </w:pPr>
    <w:rPr>
      <w:snapToGrid w:val="0"/>
      <w:kern w:val="2"/>
      <w:sz w:val="21"/>
      <w:szCs w:val="21"/>
    </w:rPr>
  </w:style>
  <w:style w:type="paragraph" w:customStyle="1" w:styleId="93">
    <w:name w:val="5三级标题ee"/>
    <w:basedOn w:val="1"/>
    <w:qFormat/>
    <w:uiPriority w:val="0"/>
    <w:pPr>
      <w:autoSpaceDE w:val="0"/>
      <w:autoSpaceDN w:val="0"/>
      <w:adjustRightInd w:val="0"/>
      <w:snapToGrid w:val="0"/>
      <w:spacing w:line="360" w:lineRule="auto"/>
    </w:pPr>
    <w:rPr>
      <w:b/>
      <w:bCs/>
      <w:snapToGrid w:val="0"/>
      <w:color w:val="000000"/>
      <w:kern w:val="0"/>
      <w:sz w:val="24"/>
      <w:lang w:val="zh-CN"/>
    </w:rPr>
  </w:style>
  <w:style w:type="paragraph" w:customStyle="1" w:styleId="94">
    <w:name w:val="表格文字1"/>
    <w:basedOn w:val="1"/>
    <w:qFormat/>
    <w:uiPriority w:val="0"/>
    <w:pPr>
      <w:snapToGrid w:val="0"/>
      <w:jc w:val="center"/>
    </w:pPr>
    <w:rPr>
      <w:color w:val="auto"/>
      <w:kern w:val="32"/>
      <w:sz w:val="24"/>
      <w:szCs w:val="20"/>
      <w:lang w:val="de-DE"/>
    </w:rPr>
  </w:style>
  <w:style w:type="paragraph" w:customStyle="1" w:styleId="95">
    <w:name w:val="表格内容5号"/>
    <w:basedOn w:val="1"/>
    <w:qFormat/>
    <w:uiPriority w:val="0"/>
    <w:pPr>
      <w:widowControl w:val="0"/>
      <w:snapToGrid w:val="0"/>
      <w:spacing w:line="240" w:lineRule="atLeast"/>
      <w:jc w:val="center"/>
    </w:pPr>
    <w:rPr>
      <w:rFonts w:ascii="Times New Roman" w:hAnsi="Times New Roman" w:eastAsia="Times New Roman"/>
    </w:rPr>
  </w:style>
  <w:style w:type="paragraph" w:customStyle="1" w:styleId="96">
    <w:name w:val="正文1"/>
    <w:basedOn w:val="1"/>
    <w:qFormat/>
    <w:uiPriority w:val="0"/>
    <w:pPr>
      <w:spacing w:line="560" w:lineRule="exact"/>
      <w:ind w:firstLine="200" w:firstLineChars="200"/>
    </w:pPr>
    <w:rPr>
      <w:rFonts w:ascii="宋体" w:hAnsi="宋体" w:cs="宋体"/>
      <w:color w:val="FF0000"/>
      <w:sz w:val="28"/>
      <w:szCs w:val="28"/>
    </w:rPr>
  </w:style>
  <w:style w:type="paragraph" w:customStyle="1" w:styleId="97">
    <w:name w:val="A常用文字"/>
    <w:basedOn w:val="1"/>
    <w:qFormat/>
    <w:uiPriority w:val="0"/>
    <w:pPr>
      <w:spacing w:line="440" w:lineRule="exact"/>
      <w:ind w:firstLine="567"/>
    </w:pPr>
    <w:rPr>
      <w:sz w:val="28"/>
      <w:szCs w:val="20"/>
    </w:rPr>
  </w:style>
  <w:style w:type="paragraph" w:customStyle="1" w:styleId="98">
    <w:name w:val="表格标题"/>
    <w:basedOn w:val="1"/>
    <w:qFormat/>
    <w:uiPriority w:val="0"/>
    <w:pPr>
      <w:spacing w:line="240" w:lineRule="atLeast"/>
      <w:jc w:val="center"/>
    </w:pPr>
    <w:rPr>
      <w:b/>
      <w:color w:val="000000"/>
      <w:kern w:val="0"/>
      <w:szCs w:val="24"/>
    </w:rPr>
  </w:style>
  <w:style w:type="paragraph" w:customStyle="1" w:styleId="99">
    <w:name w:val="朔电正文"/>
    <w:basedOn w:val="1"/>
    <w:qFormat/>
    <w:uiPriority w:val="0"/>
    <w:pPr>
      <w:adjustRightInd w:val="0"/>
      <w:snapToGrid w:val="0"/>
      <w:spacing w:before="25" w:beforeLines="25" w:line="440" w:lineRule="exact"/>
      <w:ind w:firstLine="200" w:firstLineChars="200"/>
    </w:pPr>
    <w:rPr>
      <w:color w:val="000000"/>
      <w:kern w:val="32"/>
      <w:sz w:val="24"/>
      <w:lang w:val="zh-CN" w:eastAsia="zh-CN"/>
    </w:rPr>
  </w:style>
  <w:style w:type="paragraph" w:customStyle="1" w:styleId="100">
    <w:name w:val="表头图表"/>
    <w:qFormat/>
    <w:uiPriority w:val="0"/>
    <w:pPr>
      <w:widowControl w:val="0"/>
      <w:autoSpaceDE w:val="0"/>
      <w:autoSpaceDN w:val="0"/>
      <w:adjustRightInd w:val="0"/>
      <w:snapToGrid w:val="0"/>
      <w:spacing w:line="240" w:lineRule="atLeast"/>
      <w:jc w:val="center"/>
    </w:pPr>
    <w:rPr>
      <w:rFonts w:ascii="Times New Roman" w:hAnsi="Times New Roman" w:eastAsia="宋体" w:cs="宋体"/>
      <w:b/>
      <w:color w:val="000000"/>
      <w:sz w:val="24"/>
      <w:szCs w:val="24"/>
      <w:lang w:val="en-US" w:eastAsia="zh-CN" w:bidi="ar-SA"/>
    </w:rPr>
  </w:style>
  <w:style w:type="paragraph" w:customStyle="1" w:styleId="101">
    <w:name w:val="List Paragraph"/>
    <w:basedOn w:val="1"/>
    <w:qFormat/>
    <w:uiPriority w:val="0"/>
    <w:pPr>
      <w:adjustRightInd/>
      <w:spacing w:line="240" w:lineRule="auto"/>
      <w:jc w:val="center"/>
    </w:pPr>
    <w:rPr>
      <w:kern w:val="0"/>
      <w:sz w:val="21"/>
      <w:szCs w:val="24"/>
    </w:rPr>
  </w:style>
  <w:style w:type="paragraph" w:customStyle="1" w:styleId="102">
    <w:name w:val="公式"/>
    <w:basedOn w:val="1"/>
    <w:qFormat/>
    <w:uiPriority w:val="0"/>
    <w:pPr>
      <w:spacing w:line="360" w:lineRule="auto"/>
      <w:ind w:firstLine="480" w:firstLineChars="200"/>
      <w:jc w:val="left"/>
    </w:pPr>
    <w:rPr>
      <w:bCs/>
      <w:color w:val="000000"/>
      <w:kern w:val="0"/>
      <w:sz w:val="24"/>
      <w:szCs w:val="20"/>
    </w:rPr>
  </w:style>
  <w:style w:type="paragraph" w:customStyle="1" w:styleId="103">
    <w:name w:val="表格式"/>
    <w:basedOn w:val="28"/>
    <w:qFormat/>
    <w:uiPriority w:val="0"/>
    <w:pPr>
      <w:widowControl w:val="0"/>
      <w:spacing w:line="300" w:lineRule="exact"/>
      <w:ind w:left="0" w:firstLine="0" w:firstLineChars="0"/>
      <w:jc w:val="center"/>
    </w:pPr>
    <w:rPr>
      <w:rFonts w:ascii="Times New Roman" w:hAnsi="Times New Roman"/>
      <w:szCs w:val="20"/>
    </w:rPr>
  </w:style>
  <w:style w:type="paragraph" w:customStyle="1" w:styleId="104">
    <w:name w:val="Normal"/>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05">
    <w:name w:val="表格内2"/>
    <w:basedOn w:val="81"/>
    <w:next w:val="1"/>
    <w:qFormat/>
    <w:uiPriority w:val="0"/>
    <w:pPr>
      <w:tabs>
        <w:tab w:val="left" w:pos="142"/>
      </w:tabs>
      <w:spacing w:line="240" w:lineRule="auto"/>
      <w:jc w:val="center"/>
    </w:pPr>
    <w:rPr>
      <w:bCs/>
      <w:snapToGrid w:val="0"/>
      <w:kern w:val="0"/>
      <w:sz w:val="21"/>
      <w:szCs w:val="21"/>
    </w:rPr>
  </w:style>
  <w:style w:type="table" w:customStyle="1" w:styleId="106">
    <w:name w:val="Table Normal"/>
    <w:unhideWhenUsed/>
    <w:qFormat/>
    <w:uiPriority w:val="0"/>
    <w:tblPr>
      <w:tblCellMar>
        <w:top w:w="0" w:type="dxa"/>
        <w:left w:w="0" w:type="dxa"/>
        <w:bottom w:w="0" w:type="dxa"/>
        <w:right w:w="0" w:type="dxa"/>
      </w:tblCellMar>
    </w:tblPr>
  </w:style>
  <w:style w:type="paragraph" w:customStyle="1" w:styleId="107">
    <w:name w:val="lh-正文-报告表"/>
    <w:basedOn w:val="1"/>
    <w:qFormat/>
    <w:uiPriority w:val="0"/>
    <w:pPr>
      <w:spacing w:line="360" w:lineRule="auto"/>
      <w:ind w:firstLine="480" w:firstLineChars="200"/>
    </w:pPr>
    <w:rPr>
      <w:kern w:val="0"/>
      <w:sz w:val="24"/>
      <w:szCs w:val="21"/>
    </w:rPr>
  </w:style>
  <w:style w:type="paragraph" w:customStyle="1" w:styleId="108">
    <w:name w:val="lh-表题--报告表"/>
    <w:basedOn w:val="1"/>
    <w:qFormat/>
    <w:uiPriority w:val="0"/>
    <w:pPr>
      <w:keepNext/>
      <w:widowControl/>
      <w:numPr>
        <w:ilvl w:val="0"/>
        <w:numId w:val="2"/>
      </w:numPr>
      <w:spacing w:beforeLines="50"/>
      <w:jc w:val="center"/>
    </w:pPr>
    <w:rPr>
      <w:snapToGrid w:val="0"/>
      <w:kern w:val="0"/>
      <w:sz w:val="24"/>
      <w:szCs w:val="21"/>
    </w:rPr>
  </w:style>
  <w:style w:type="paragraph" w:customStyle="1" w:styleId="109">
    <w:name w:val="lh-表格文字-报告表"/>
    <w:qFormat/>
    <w:uiPriority w:val="0"/>
    <w:pPr>
      <w:jc w:val="center"/>
    </w:pPr>
    <w:rPr>
      <w:rFonts w:ascii="Times New Roman" w:hAnsi="Times New Roman" w:eastAsia="宋体" w:cs="Times New Roman"/>
      <w:snapToGrid w:val="0"/>
      <w:sz w:val="21"/>
      <w:szCs w:val="24"/>
      <w:lang w:val="en-US" w:eastAsia="zh-CN" w:bidi="ar-SA"/>
    </w:rPr>
  </w:style>
  <w:style w:type="paragraph" w:customStyle="1" w:styleId="110">
    <w:name w:val="列表段落1"/>
    <w:basedOn w:val="1"/>
    <w:qFormat/>
    <w:uiPriority w:val="34"/>
    <w:pPr>
      <w:ind w:firstLine="420" w:firstLineChars="200"/>
    </w:pPr>
  </w:style>
  <w:style w:type="paragraph" w:customStyle="1" w:styleId="111">
    <w:name w:val="报告书"/>
    <w:basedOn w:val="1"/>
    <w:qFormat/>
    <w:uiPriority w:val="0"/>
    <w:pPr>
      <w:snapToGrid w:val="0"/>
      <w:spacing w:line="440" w:lineRule="atLeast"/>
      <w:ind w:firstLine="482"/>
    </w:pPr>
    <w:rPr>
      <w:rFonts w:ascii="宋体"/>
      <w:kern w:val="24"/>
      <w:sz w:val="24"/>
    </w:rPr>
  </w:style>
  <w:style w:type="character" w:customStyle="1" w:styleId="112">
    <w:name w:val="Body text (2) + Georgia"/>
    <w:qFormat/>
    <w:uiPriority w:val="0"/>
    <w:rPr>
      <w:rFonts w:ascii="Georgia" w:hAnsi="Georgia" w:cs="Georgia"/>
      <w:spacing w:val="0"/>
      <w:sz w:val="26"/>
      <w:szCs w:val="26"/>
      <w:u w:val="none"/>
      <w:shd w:val="clear" w:color="auto" w:fill="FFFFFF"/>
      <w:lang w:val="en-US" w:eastAsia="en-US" w:bidi="ar-SA"/>
    </w:rPr>
  </w:style>
  <w:style w:type="character" w:customStyle="1" w:styleId="113">
    <w:name w:val="Body text (2) + Georgia7"/>
    <w:qFormat/>
    <w:uiPriority w:val="0"/>
    <w:rPr>
      <w:rFonts w:ascii="Georgia" w:hAnsi="Georgia" w:cs="Georgia"/>
      <w:smallCaps/>
      <w:spacing w:val="0"/>
      <w:sz w:val="26"/>
      <w:szCs w:val="26"/>
      <w:u w:val="none"/>
      <w:shd w:val="clear" w:color="auto" w:fill="FFFFFF"/>
      <w:lang w:val="en-US" w:eastAsia="en-US" w:bidi="ar-SA"/>
    </w:rPr>
  </w:style>
  <w:style w:type="paragraph" w:customStyle="1" w:styleId="114">
    <w:name w:val="中文报告书样式"/>
    <w:basedOn w:val="1"/>
    <w:qFormat/>
    <w:uiPriority w:val="0"/>
    <w:pPr>
      <w:adjustRightInd w:val="0"/>
      <w:spacing w:line="420" w:lineRule="atLeast"/>
      <w:textAlignment w:val="baseline"/>
    </w:pPr>
    <w:rPr>
      <w:kern w:val="24"/>
      <w:sz w:val="24"/>
      <w:szCs w:val="20"/>
    </w:rPr>
  </w:style>
  <w:style w:type="paragraph" w:customStyle="1" w:styleId="115">
    <w:name w:val="lh-2级标题---报告表"/>
    <w:next w:val="1"/>
    <w:qFormat/>
    <w:uiPriority w:val="0"/>
    <w:pPr>
      <w:keepNext/>
      <w:numPr>
        <w:ilvl w:val="1"/>
        <w:numId w:val="3"/>
      </w:numPr>
      <w:spacing w:line="360" w:lineRule="auto"/>
      <w:outlineLvl w:val="1"/>
    </w:pPr>
    <w:rPr>
      <w:rFonts w:ascii="Times New Roman" w:hAnsi="Times New Roman" w:eastAsia="黑体" w:cs="Times New Roman"/>
      <w:bCs/>
      <w:sz w:val="24"/>
      <w:szCs w:val="32"/>
      <w:lang w:val="en-US" w:eastAsia="zh-CN" w:bidi="ar-SA"/>
    </w:rPr>
  </w:style>
  <w:style w:type="paragraph" w:customStyle="1" w:styleId="116">
    <w:name w:val="Other|1"/>
    <w:basedOn w:val="1"/>
    <w:qFormat/>
    <w:uiPriority w:val="0"/>
    <w:pPr>
      <w:jc w:val="center"/>
    </w:pPr>
    <w:rPr>
      <w:rFonts w:ascii="宋体" w:hAnsi="宋体" w:cs="宋体"/>
      <w:kern w:val="0"/>
      <w:sz w:val="28"/>
      <w:szCs w:val="28"/>
      <w:lang w:val="zh-TW" w:eastAsia="zh-TW" w:bidi="zh-TW"/>
    </w:rPr>
  </w:style>
  <w:style w:type="paragraph" w:customStyle="1" w:styleId="117">
    <w:name w:val="表格正文"/>
    <w:basedOn w:val="1"/>
    <w:next w:val="1"/>
    <w:qFormat/>
    <w:uiPriority w:val="0"/>
    <w:pPr>
      <w:widowControl/>
      <w:spacing w:line="360" w:lineRule="exact"/>
      <w:jc w:val="center"/>
    </w:pPr>
    <w:rPr>
      <w:rFonts w:ascii="Calibri" w:hAnsi="Calibri" w:eastAsia="宋体"/>
      <w:kern w:val="0"/>
      <w:sz w:val="24"/>
    </w:rPr>
  </w:style>
  <w:style w:type="paragraph" w:customStyle="1" w:styleId="118">
    <w:name w:val="lh-图题-报告表"/>
    <w:basedOn w:val="107"/>
    <w:next w:val="107"/>
    <w:qFormat/>
    <w:uiPriority w:val="0"/>
    <w:pPr>
      <w:numPr>
        <w:ilvl w:val="0"/>
        <w:numId w:val="4"/>
      </w:numPr>
      <w:ind w:firstLine="0" w:firstLineChars="0"/>
      <w:jc w:val="center"/>
    </w:pPr>
  </w:style>
  <w:style w:type="paragraph" w:customStyle="1" w:styleId="119">
    <w:name w:val="Normal Indent1"/>
    <w:basedOn w:val="1"/>
    <w:qFormat/>
    <w:uiPriority w:val="0"/>
    <w:pPr>
      <w:ind w:firstLine="420" w:firstLineChars="200"/>
    </w:pPr>
  </w:style>
  <w:style w:type="paragraph" w:customStyle="1" w:styleId="120">
    <w:name w:val="00005报告正文"/>
    <w:basedOn w:val="1"/>
    <w:qFormat/>
    <w:uiPriority w:val="0"/>
    <w:pPr>
      <w:snapToGrid w:val="0"/>
      <w:spacing w:line="360" w:lineRule="auto"/>
      <w:ind w:firstLine="200" w:firstLineChars="200"/>
    </w:pPr>
  </w:style>
  <w:style w:type="paragraph" w:customStyle="1" w:styleId="121">
    <w:name w:val="表格文字（小）"/>
    <w:basedOn w:val="1"/>
    <w:qFormat/>
    <w:uiPriority w:val="0"/>
    <w:pPr>
      <w:snapToGrid w:val="0"/>
      <w:spacing w:line="240" w:lineRule="atLeast"/>
      <w:jc w:val="center"/>
    </w:pPr>
    <w:rPr>
      <w:rFonts w:ascii="Times New Roman" w:hAnsi="Times New Roman"/>
      <w:color w:val="000000"/>
      <w:kern w:val="0"/>
      <w:szCs w:val="21"/>
    </w:rPr>
  </w:style>
  <w:style w:type="paragraph" w:customStyle="1" w:styleId="122">
    <w:name w:val="图表标题"/>
    <w:basedOn w:val="117"/>
    <w:next w:val="1"/>
    <w:qFormat/>
    <w:uiPriority w:val="0"/>
    <w:pPr>
      <w:ind w:firstLine="0" w:firstLineChars="0"/>
      <w:jc w:val="center"/>
    </w:pPr>
    <w:rPr>
      <w:b/>
      <w:sz w:val="21"/>
      <w:szCs w:val="21"/>
    </w:rPr>
  </w:style>
  <w:style w:type="paragraph" w:customStyle="1" w:styleId="123">
    <w:name w:val="li 表头文字"/>
    <w:qFormat/>
    <w:uiPriority w:val="0"/>
    <w:pPr>
      <w:spacing w:line="460" w:lineRule="exact"/>
      <w:jc w:val="center"/>
    </w:pPr>
    <w:rPr>
      <w:rFonts w:ascii="Times New Roman" w:hAnsi="Times New Roman" w:eastAsia="宋体" w:cs="Times New Roman"/>
      <w:b/>
      <w:spacing w:val="4"/>
      <w:kern w:val="2"/>
      <w:sz w:val="21"/>
      <w:szCs w:val="21"/>
      <w:lang w:val="en-US" w:eastAsia="zh-CN" w:bidi="ar-SA"/>
    </w:rPr>
  </w:style>
  <w:style w:type="paragraph" w:customStyle="1" w:styleId="124">
    <w:name w:val="正文小四"/>
    <w:basedOn w:val="1"/>
    <w:qFormat/>
    <w:uiPriority w:val="0"/>
    <w:pPr>
      <w:spacing w:line="360" w:lineRule="auto"/>
      <w:ind w:firstLine="360" w:firstLineChars="150"/>
      <w:jc w:val="left"/>
    </w:pPr>
    <w:rPr>
      <w:rFonts w:eastAsia="仿宋_GB2312"/>
      <w:sz w:val="24"/>
      <w:szCs w:val="20"/>
    </w:rPr>
  </w:style>
  <w:style w:type="paragraph" w:customStyle="1" w:styleId="125">
    <w:name w:val="亳州样式 正文"/>
    <w:basedOn w:val="10"/>
    <w:qFormat/>
    <w:uiPriority w:val="0"/>
    <w:pPr>
      <w:ind w:firstLine="425" w:firstLineChars="177"/>
    </w:pPr>
    <w:rPr>
      <w:rFonts w:eastAsia="宋体"/>
      <w:kern w:val="0"/>
      <w:szCs w:val="24"/>
    </w:rPr>
  </w:style>
  <w:style w:type="paragraph" w:customStyle="1" w:styleId="126">
    <w:name w:val="p0"/>
    <w:basedOn w:val="1"/>
    <w:qFormat/>
    <w:uiPriority w:val="0"/>
    <w:pPr>
      <w:widowControl/>
    </w:pPr>
    <w:rPr>
      <w:kern w:val="0"/>
      <w:szCs w:val="21"/>
    </w:rPr>
  </w:style>
  <w:style w:type="paragraph" w:customStyle="1" w:styleId="127">
    <w:name w:val="正文01"/>
    <w:basedOn w:val="1"/>
    <w:qFormat/>
    <w:uiPriority w:val="0"/>
    <w:pPr>
      <w:snapToGrid w:val="0"/>
      <w:spacing w:before="60" w:line="460" w:lineRule="exact"/>
      <w:ind w:firstLine="200" w:firstLineChars="200"/>
    </w:pPr>
    <w:rPr>
      <w:snapToGrid w:val="0"/>
      <w:kern w:val="0"/>
    </w:rPr>
  </w:style>
  <w:style w:type="paragraph" w:customStyle="1" w:styleId="128">
    <w:name w:val="亳州表文字"/>
    <w:basedOn w:val="1"/>
    <w:qFormat/>
    <w:uiPriority w:val="0"/>
    <w:pPr>
      <w:tabs>
        <w:tab w:val="left" w:pos="945"/>
        <w:tab w:val="right" w:leader="dot" w:pos="1155"/>
        <w:tab w:val="left" w:pos="8715"/>
      </w:tabs>
      <w:adjustRightInd w:val="0"/>
      <w:snapToGrid w:val="0"/>
      <w:jc w:val="center"/>
    </w:pPr>
    <w:rPr>
      <w:sz w:val="18"/>
      <w:szCs w:val="18"/>
    </w:rPr>
  </w:style>
  <w:style w:type="paragraph" w:customStyle="1" w:styleId="129">
    <w:name w:val="报告书表格"/>
    <w:basedOn w:val="1"/>
    <w:qFormat/>
    <w:uiPriority w:val="0"/>
    <w:pPr>
      <w:spacing w:line="240" w:lineRule="atLeast"/>
      <w:jc w:val="center"/>
    </w:pPr>
    <w:rPr>
      <w:lang w:val="en-GB"/>
    </w:rPr>
  </w:style>
  <w:style w:type="character" w:customStyle="1" w:styleId="130">
    <w:name w:val="font11"/>
    <w:qFormat/>
    <w:uiPriority w:val="0"/>
    <w:rPr>
      <w:rFonts w:hint="eastAsia" w:ascii="宋体" w:hAnsi="宋体" w:eastAsia="宋体" w:cs="宋体"/>
      <w:color w:val="000000"/>
      <w:sz w:val="21"/>
      <w:szCs w:val="21"/>
      <w:u w:val="none"/>
      <w:vertAlign w:val="superscript"/>
    </w:rPr>
  </w:style>
  <w:style w:type="character" w:customStyle="1" w:styleId="131">
    <w:name w:val="font21"/>
    <w:basedOn w:val="40"/>
    <w:qFormat/>
    <w:uiPriority w:val="0"/>
    <w:rPr>
      <w:rFonts w:ascii="Calibri" w:hAnsi="Calibri" w:cs="Calibri"/>
      <w:color w:val="000000"/>
      <w:sz w:val="21"/>
      <w:szCs w:val="21"/>
      <w:u w:val="none"/>
    </w:rPr>
  </w:style>
  <w:style w:type="paragraph" w:customStyle="1" w:styleId="132">
    <w:name w:val="111表标题"/>
    <w:basedOn w:val="1"/>
    <w:qFormat/>
    <w:uiPriority w:val="0"/>
    <w:pPr>
      <w:widowControl/>
      <w:spacing w:beforeLines="50"/>
      <w:jc w:val="center"/>
    </w:pPr>
    <w:rPr>
      <w:b/>
    </w:rPr>
  </w:style>
  <w:style w:type="paragraph" w:customStyle="1" w:styleId="133">
    <w:name w:val="Table Text"/>
    <w:basedOn w:val="1"/>
    <w:semiHidden/>
    <w:qFormat/>
    <w:uiPriority w:val="0"/>
    <w:rPr>
      <w:rFonts w:ascii="宋体" w:hAnsi="宋体" w:eastAsia="宋体" w:cs="宋体"/>
      <w:sz w:val="20"/>
      <w:szCs w:val="20"/>
      <w:lang w:val="en-US" w:eastAsia="en-US" w:bidi="ar-SA"/>
    </w:rPr>
  </w:style>
  <w:style w:type="paragraph" w:customStyle="1" w:styleId="134">
    <w:name w:val="中文正文"/>
    <w:basedOn w:val="1"/>
    <w:qFormat/>
    <w:uiPriority w:val="0"/>
    <w:pPr>
      <w:spacing w:line="420" w:lineRule="exact"/>
      <w:ind w:firstLine="480" w:firstLineChars="200"/>
    </w:pPr>
    <w:rPr>
      <w:rFonts w:eastAsia="方正书宋简体"/>
      <w:sz w:val="24"/>
      <w:szCs w:val="28"/>
    </w:rPr>
  </w:style>
  <w:style w:type="paragraph" w:customStyle="1" w:styleId="135">
    <w:name w:val="表头"/>
    <w:basedOn w:val="22"/>
    <w:qFormat/>
    <w:uiPriority w:val="0"/>
    <w:pPr>
      <w:spacing w:after="0" w:line="360" w:lineRule="auto"/>
      <w:ind w:firstLine="482" w:firstLineChars="200"/>
    </w:pPr>
    <w:rPr>
      <w:b/>
      <w:sz w:val="24"/>
    </w:rPr>
  </w:style>
  <w:style w:type="paragraph" w:customStyle="1" w:styleId="136">
    <w:name w:val="正  文"/>
    <w:basedOn w:val="34"/>
    <w:next w:val="1"/>
    <w:qFormat/>
    <w:uiPriority w:val="0"/>
    <w:pPr>
      <w:spacing w:line="360" w:lineRule="auto"/>
      <w:ind w:firstLine="560" w:firstLineChars="200"/>
    </w:pPr>
    <w:rPr>
      <w:rFonts w:ascii="仿宋_GB2312" w:hAnsi="仿宋_GB2312" w:cs="仿宋_GB2312"/>
      <w:sz w:val="28"/>
      <w:szCs w:val="28"/>
    </w:rPr>
  </w:style>
  <w:style w:type="paragraph" w:customStyle="1" w:styleId="137">
    <w:name w:val="表格内文字"/>
    <w:basedOn w:val="1"/>
    <w:qFormat/>
    <w:uiPriority w:val="0"/>
    <w:pPr>
      <w:widowControl/>
      <w:spacing w:line="240" w:lineRule="auto"/>
      <w:ind w:firstLine="0" w:firstLineChars="0"/>
      <w:jc w:val="center"/>
    </w:pPr>
    <w:rPr>
      <w:sz w:val="21"/>
      <w:szCs w:val="21"/>
    </w:rPr>
  </w:style>
  <w:style w:type="paragraph" w:styleId="138">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139">
    <w:name w:val="font41"/>
    <w:basedOn w:val="40"/>
    <w:qFormat/>
    <w:uiPriority w:val="0"/>
    <w:rPr>
      <w:rFonts w:hint="eastAsia" w:ascii="微软雅黑" w:hAnsi="微软雅黑" w:eastAsia="微软雅黑" w:cs="微软雅黑"/>
      <w:b/>
      <w:bCs/>
      <w:color w:val="666666"/>
      <w:sz w:val="21"/>
      <w:szCs w:val="21"/>
      <w:u w:val="none"/>
      <w:vertAlign w:val="subscript"/>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wmf"/><Relationship Id="rId22" Type="http://schemas.openxmlformats.org/officeDocument/2006/relationships/oleObject" Target="embeddings/oleObject5.bin"/><Relationship Id="rId21" Type="http://schemas.openxmlformats.org/officeDocument/2006/relationships/image" Target="media/image6.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5.emf"/><Relationship Id="rId18" Type="http://schemas.openxmlformats.org/officeDocument/2006/relationships/oleObject" Target="embeddings/oleObject3.bin"/><Relationship Id="rId17" Type="http://schemas.openxmlformats.org/officeDocument/2006/relationships/image" Target="media/image4.png"/><Relationship Id="rId16" Type="http://schemas.openxmlformats.org/officeDocument/2006/relationships/image" Target="media/image3.emf"/><Relationship Id="rId15" Type="http://schemas.openxmlformats.org/officeDocument/2006/relationships/oleObject" Target="embeddings/oleObject2.bin"/><Relationship Id="rId14" Type="http://schemas.openxmlformats.org/officeDocument/2006/relationships/image" Target="media/image2.emf"/><Relationship Id="rId13" Type="http://schemas.openxmlformats.org/officeDocument/2006/relationships/oleObject" Target="embeddings/oleObject1.bin"/><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Info spid="_x0000_s1101" textRotate="1"/>
    <customShpInfo spid="_x0000_s1097" textRotate="1"/>
    <customShpInfo spid="_x0000_s1109"/>
    <customShpInfo spid="_x0000_s1052"/>
    <customShpInfo spid="_x0000_s1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66</Pages>
  <Words>33546</Words>
  <Characters>46644</Characters>
  <Lines>13</Lines>
  <Paragraphs>3</Paragraphs>
  <TotalTime>30</TotalTime>
  <ScaleCrop>false</ScaleCrop>
  <LinksUpToDate>false</LinksUpToDate>
  <CharactersWithSpaces>47829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XURUIRUI</cp:lastModifiedBy>
  <cp:lastPrinted>2021-08-31T02:10:00Z</cp:lastPrinted>
  <dcterms:modified xsi:type="dcterms:W3CDTF">2024-12-04T01:47:20Z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6E08FE2A7D504CAEBF6A8853BED073C0_13</vt:lpwstr>
  </property>
</Properties>
</file>