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  <w:highlight w:val="none"/>
          <w:lang w:val="en-US" w:eastAsia="zh-CN"/>
        </w:rPr>
        <w:t>翼城县电动自行车以旧换新销售商户报名表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68"/>
        <w:gridCol w:w="1537"/>
        <w:gridCol w:w="259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商户名称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销售地址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本企业自愿申请参加翼城县电动自行车以旧换新活动，并郑重承诺：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1、提供的报名材料真实、完整、有效；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严格遵守有关法律法规，积极配合政府电动自行车以旧换新工作，严格落实各项资金风险防控措施，做好政策宣传推广，不为个人用户享受补贴政策增设任何附加条件，同意在本次活动期间同步配套促销优惠措施，不发生任何违规套取补贴资金的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活动期间保持价格稳定，接受消费者监督。发现销售主体利用以旧换新政策，存在先涨价再补贴、虚假折扣、价格承诺不实等行为的，经查实一律取消补贴资格，按有关规定责令退还补贴、纳入失信黑名单，并依法查处违法违规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4、加强销售管理和售后服务，妥善处理消费者投诉。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5、承诺2024年年底达到入库标准，积极入库，响应国家各项政策。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如违反以上承诺，企业自愿承担一切责任。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4760" w:firstLineChars="17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6160" w:firstLineChars="2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6440" w:firstLineChars="23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59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96024c1d-4cbb-4221-b94f-5e13a87c8f57"/>
  </w:docVars>
  <w:rsids>
    <w:rsidRoot w:val="383B2A21"/>
    <w:rsid w:val="383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413</Characters>
  <Lines>0</Lines>
  <Paragraphs>0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2024-10-15T01:45:00Z</dcterms:created>
  <dc:creator>XURUIRUI</dc:creator>
  <cp:lastModifiedBy>XURUIRUI</cp:lastModifiedBy>
  <dcterms:modified xsi:type="dcterms:W3CDTF">2024-10-15T01:45:22Z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0AE0B96462BC4D0DB6E029EB03B87D2D_11</vt:lpwstr>
  </property>
</Properties>
</file>