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distribute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FF0000"/>
          <w:spacing w:val="-68"/>
          <w:w w:val="72"/>
          <w:sz w:val="96"/>
          <w:szCs w:val="96"/>
          <w:vertAlign w:val="baseline"/>
          <w:lang w:eastAsia="zh-CN"/>
        </w:rPr>
      </w:pPr>
    </w:p>
    <w:tbl>
      <w:tblPr>
        <w:tblStyle w:val="10"/>
        <w:tblW w:w="9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9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FF0000"/>
                <w:spacing w:val="0"/>
                <w:w w:val="40"/>
                <w:sz w:val="160"/>
                <w:szCs w:val="160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FF0000"/>
                <w:spacing w:val="0"/>
                <w:w w:val="45"/>
                <w:sz w:val="144"/>
                <w:szCs w:val="144"/>
                <w:vertAlign w:val="baseline"/>
                <w:lang w:eastAsia="zh-CN"/>
              </w:rPr>
              <w:t>翼城县行政审批服务管理局文件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300" w:type="dxa"/>
            <w:tcBorders>
              <w:bottom w:val="single" w:color="FF0000" w:sz="1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翼审管审字〔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翼城县浍河大河口至梁壁桥段水环境整治工程环境影响报告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翼城县水利局：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你单位报送的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翼城县浍河大河口至梁壁桥段水环境整治工程环境影响报告表》（以下简称《报告表》）及申请材料已收悉，根据《建设项目环境保护管理条例》有关规定，结合专家评审意见，经研究，现批复如下：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、原则同意经技术审查后修改编制的《报告表》。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二、本工程位于山西省临汾市翼城县唐兴镇、王庄镇、隆化镇、中卫乡、南梁镇和南唐乡，工程起点位于隆化镇大河口村，终点至南梁镇梁壁村梁壁桥上游1公里。工程建设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规模：河道治理总长度11.9km，治理面积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58.95hm²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，其中：滩槽整治面积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35.95hm²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，蓄水面积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7.5hm²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，溪流湿地面积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15.5hm²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。主要建设内容包括：1、新建堤防长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750m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；2、干支流河道疏浚长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11.9km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；3、干支流滩槽清理整治长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10.9km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，休闲绿化面积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35.95hm²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；4、新建壅水堰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座，修复橡胶坝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座，改造橡胶坝为液压坝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座，新建液压坝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座；5、新建行洪、导流箱涵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3.3km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；6、灌溉泵站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座（各设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台水泵），灌溉管线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19.1km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；7、巡河路改造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11.2km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，新建临河步道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18.4km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及出入口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处。项目总投资25723.71万元，其中环保投资为303.45万元。在严格落实《报告表》中提出的各项生态保护和污染防治措施、</w:t>
      </w:r>
      <w:r>
        <w:rPr>
          <w:rFonts w:hint="eastAsia" w:ascii="仿宋" w:hAnsi="仿宋" w:eastAsia="仿宋" w:cs="仿宋"/>
          <w:sz w:val="32"/>
          <w:szCs w:val="32"/>
        </w:rPr>
        <w:t>项目污染物满足达标排放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及本批复要求的前提下，从环保角度分析，建设项目可行。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三、在项目建设和运营过程中，你单位必须严格执行“三同时”制度，对照《报告表》中提出的环保要求配套建设污染防治设施，并重点做好以下工作：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1、落实施工期大气污染防治措施。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严格落实建筑施工扬尘“六个百分之百”的控制要求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下雨季节减少土石方开挖，在土方开挖集中区，采取洒水措施以防止扬尘产生和加速尘土沉降，以缩小扬尘影响时长和影响范围；鉴于工程线路较长，对于临时堆置的回填土以及多尘物料应堆放整齐，并适当采用加湿或加盖苫布等措施以减少扬尘和飘尘，装卸、堆放过程中防止物料流散，尽量降低运输过程中的起尘量，同时及时清理运输过程中掉落的物料；加强运输道路管理和维护，做到路面平坦、无损、经常清扫，无雨日的早、中、晚进行洒水抑尘；禁止超载运输，装载细物料时，适当加湿或用帆布覆盖；靠近居民点、施工管理生活区行驶的车辆，车速不得超过 20km/h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选用符合国家有关卫生标准的施工机械和运输车辆，使用符合标准的油料或清洁能源，使其排放的废气能够达到国家标准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堆料场均应设置于施工生产区内，且设简易棚，堆积的边坡角度应稳定，堆料等应适当加湿或加盖苫布等，防止细骨料被风吹散；加强施工区及公路两侧绿化，施工生产区四周栽植当地乡土乔木、灌木，空闲地上撒播草籽；临近敏感点施工区作业应缩短施工时间，减少开挖面积，及时采取有效的围挡、遮盖措施，降低对居民生活的影响；施工区应配备洒水车，在干燥季节每日对施工运输车辆经过的环境敏感地段洒水4至6次，同时道路应及时清扫，避免工程材料运输扬尘对道路两侧居民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落实施工期水污染治理措施。项目施工期对地表水环境影响主要来源于施工废水。施工用水主要为砂石料清洗废水，在砂石料集中清洗点设置沉淀池，施工废水通过沉淀池处理后回用于浇洒道路，废水再利用，废水不外排；在施工地设旱厕，定期清掏做农肥；施工期施工人员租用附近民房，依托租赁民舍生活污水处理设施处理，不外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落实施工期噪声污染治理措施。施工机械优先选用低噪声设备和工艺，降低源强；加强设备的维护和保养，保持机械润滑，减少运行噪声；振动大的机械设备使用减振机座降低噪声；优化施工设备布局，尽可能将高噪声设备分散布置，分阶段运行，尽可能避免同时施工；合理安排施工时间，尽量避免夜间施工；工程材料运输车辆在经过道路沿线的敏感点时，不得鸣笛；加强道路的养护和车辆的维护保养，降低噪声源；各施工公路沿线加强行道树种植与养护，从传播途径上控制交通噪声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落实固体废物污染防治措施。建筑垃圾由专人清运到建筑垃圾填埋场，生活垃圾交由环卫部门规定的地点合理处置；工程主要土石方量为河道清淤、土方开挖、土方回填和种植土置换，弃渣外售给翼城县新强绿色环保建材科技有限公司集中处理；工程建设不设弃渣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落实运营期生态环境保护措施。项目施工期结束，栽植乔、灌、草进行绿化美化、播撒草籽后，需要监控植被恢复情况，植被恢复率低时，需进行补种，以尽量恢复到施工前的生态环境现状；做好周边居民的生态环境保护宣传，提高居民环境保护意识，禁止往河道内随意丢弃生活垃圾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6、建立完善有效的环境风险防范与应急管理体系。严格落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实《突发环境事件应急预案管理暂行办法》，落实各项环境风险防范措施，严防各类环境风险和次生环境污染问题发生。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7、《报告表》要求的其他环保措施。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四、项目建设完成后，要严格按照建设项目竣工环境保护验收的规定和要求，做好相关工作。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五、临汾市生态环境局翼城分局负责本项目的现场监管、监督检查，确保各项环保措施按《报告表》和批复要求落实到位。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2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215900</wp:posOffset>
            </wp:positionV>
            <wp:extent cx="1485900" cy="14668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440" w:firstLineChars="1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2024年7月31日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10" w:h="16850"/>
      <w:pgMar w:top="1440" w:right="1800" w:bottom="1440" w:left="1800" w:header="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233DA7-9895-41C2-B862-DADFD0D3D5D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0BCA295-2FAB-4DF0-BAAE-EE54795C04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8B335"/>
    <w:multiLevelType w:val="multilevel"/>
    <w:tmpl w:val="AAE8B33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284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284" w:firstLine="0"/>
      </w:pPr>
      <w:rPr>
        <w:rFonts w:hint="eastAsia" w:ascii="黑体" w:hAns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677" w:hanging="1700"/>
      </w:pPr>
      <w:rPr>
        <w:rFonts w:hint="eastAsia"/>
      </w:rPr>
    </w:lvl>
  </w:abstractNum>
  <w:abstractNum w:abstractNumId="1">
    <w:nsid w:val="300505EB"/>
    <w:multiLevelType w:val="multilevel"/>
    <w:tmpl w:val="300505EB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5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6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284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NDkyNjQ5MDc3MjlmODU3MDk3NDY3NzBhYWE1ZmEifQ=="/>
  </w:docVars>
  <w:rsids>
    <w:rsidRoot w:val="197F217C"/>
    <w:rsid w:val="00B93F2F"/>
    <w:rsid w:val="00DE0C5C"/>
    <w:rsid w:val="02921C49"/>
    <w:rsid w:val="084408DC"/>
    <w:rsid w:val="0C3A48A4"/>
    <w:rsid w:val="12F5438F"/>
    <w:rsid w:val="13A34700"/>
    <w:rsid w:val="16651332"/>
    <w:rsid w:val="17F673BF"/>
    <w:rsid w:val="1889473F"/>
    <w:rsid w:val="197F217C"/>
    <w:rsid w:val="19EF234A"/>
    <w:rsid w:val="20553A63"/>
    <w:rsid w:val="2C153E60"/>
    <w:rsid w:val="32305768"/>
    <w:rsid w:val="3521599A"/>
    <w:rsid w:val="38ED5B64"/>
    <w:rsid w:val="3D5642D8"/>
    <w:rsid w:val="3FC65372"/>
    <w:rsid w:val="44797D33"/>
    <w:rsid w:val="4E9A453D"/>
    <w:rsid w:val="506E58F8"/>
    <w:rsid w:val="50966A6E"/>
    <w:rsid w:val="515E4487"/>
    <w:rsid w:val="53743AF0"/>
    <w:rsid w:val="589B50CA"/>
    <w:rsid w:val="596D24C3"/>
    <w:rsid w:val="5AAB75B9"/>
    <w:rsid w:val="5C7F7B03"/>
    <w:rsid w:val="632A725C"/>
    <w:rsid w:val="64984A74"/>
    <w:rsid w:val="68585541"/>
    <w:rsid w:val="68C40628"/>
    <w:rsid w:val="68E86E05"/>
    <w:rsid w:val="6F8C6076"/>
    <w:rsid w:val="6FCF7E32"/>
    <w:rsid w:val="721645EA"/>
    <w:rsid w:val="7B6F2F4D"/>
    <w:rsid w:val="7D20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spacing w:before="240" w:after="120"/>
      <w:ind w:left="0" w:firstLine="602"/>
      <w:outlineLvl w:val="1"/>
    </w:pPr>
    <w:rPr>
      <w:rFonts w:ascii="宋体"/>
      <w:b/>
      <w:sz w:val="3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180"/>
      </w:tabs>
      <w:ind w:firstLine="420" w:firstLineChars="200"/>
    </w:pPr>
    <w:rPr>
      <w:color w:val="000000"/>
    </w:rPr>
  </w:style>
  <w:style w:type="paragraph" w:styleId="3">
    <w:name w:val="Body Text Indent"/>
    <w:basedOn w:val="1"/>
    <w:qFormat/>
    <w:uiPriority w:val="0"/>
    <w:pPr>
      <w:ind w:firstLine="600"/>
    </w:pPr>
    <w:rPr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4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character" w:customStyle="1" w:styleId="14">
    <w:name w:val="font31"/>
    <w:basedOn w:val="11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5">
    <w:name w:val="font61"/>
    <w:basedOn w:val="1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16">
    <w:name w:val="标准文件_章标题"/>
    <w:next w:val="13"/>
    <w:qFormat/>
    <w:uiPriority w:val="0"/>
    <w:pPr>
      <w:numPr>
        <w:ilvl w:val="1"/>
        <w:numId w:val="2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标准文件_一级条标题"/>
    <w:basedOn w:val="16"/>
    <w:next w:val="13"/>
    <w:autoRedefine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18">
    <w:name w:val="标准文件_二级无标题"/>
    <w:basedOn w:val="19"/>
    <w:autoRedefine/>
    <w:qFormat/>
    <w:uiPriority w:val="0"/>
    <w:pPr>
      <w:spacing w:before="50" w:beforeLines="0" w:after="50" w:afterLines="0"/>
      <w:outlineLvl w:val="9"/>
    </w:pPr>
    <w:rPr>
      <w:rFonts w:ascii="宋体" w:eastAsia="宋体"/>
    </w:rPr>
  </w:style>
  <w:style w:type="paragraph" w:customStyle="1" w:styleId="19">
    <w:name w:val="标准文件_二级条标题"/>
    <w:next w:val="13"/>
    <w:autoRedefine/>
    <w:qFormat/>
    <w:uiPriority w:val="0"/>
    <w:pPr>
      <w:widowControl w:val="0"/>
      <w:numPr>
        <w:ilvl w:val="3"/>
        <w:numId w:val="3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5650</Words>
  <Characters>6014</Characters>
  <Lines>0</Lines>
  <Paragraphs>0</Paragraphs>
  <TotalTime>0</TotalTime>
  <ScaleCrop>false</ScaleCrop>
  <LinksUpToDate>false</LinksUpToDate>
  <CharactersWithSpaces>6359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2023-05-25T09:54:00Z</dcterms:created>
  <dc:creator>Administrator</dc:creator>
  <cp:lastModifiedBy>Administrator</cp:lastModifiedBy>
  <cp:lastPrinted>2023-05-29T09:13:00Z</cp:lastPrinted>
  <dcterms:modified xsi:type="dcterms:W3CDTF">2024-07-31T03:31:00Z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43346C2114324A3B82FCFBC78E94C181_13</vt:lpwstr>
  </property>
</Properties>
</file>