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820"/>
        <w:gridCol w:w="1138"/>
        <w:gridCol w:w="1173"/>
        <w:gridCol w:w="2809"/>
        <w:gridCol w:w="1459"/>
        <w:gridCol w:w="2100"/>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4174" w:type="dxa"/>
            <w:gridSpan w:val="8"/>
            <w:vAlign w:val="center"/>
          </w:tcPr>
          <w:p>
            <w:pPr>
              <w:jc w:val="center"/>
              <w:rPr>
                <w:rFonts w:hint="eastAsia"/>
                <w:sz w:val="36"/>
                <w:szCs w:val="36"/>
                <w:vertAlign w:val="baseline"/>
                <w:lang w:val="en-US" w:eastAsia="zh-CN"/>
              </w:rPr>
            </w:pPr>
            <w:r>
              <w:rPr>
                <w:rFonts w:hint="eastAsia"/>
                <w:sz w:val="36"/>
                <w:szCs w:val="36"/>
                <w:vertAlign w:val="baseline"/>
                <w:lang w:val="en-US" w:eastAsia="zh-CN"/>
              </w:rPr>
              <w:t>翼城县农产品仓储保鲜冷链设施建设项目验收合格主体及测算奖补金额公示表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45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282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主体名称</w:t>
            </w:r>
          </w:p>
        </w:tc>
        <w:tc>
          <w:tcPr>
            <w:tcW w:w="113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测算奖补金额（万元）</w:t>
            </w:r>
          </w:p>
        </w:tc>
        <w:tc>
          <w:tcPr>
            <w:tcW w:w="117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新建</w:t>
            </w:r>
          </w:p>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（改建）</w:t>
            </w:r>
          </w:p>
        </w:tc>
        <w:tc>
          <w:tcPr>
            <w:tcW w:w="280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设施类型</w:t>
            </w:r>
          </w:p>
        </w:tc>
        <w:tc>
          <w:tcPr>
            <w:tcW w:w="145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数量</w:t>
            </w:r>
          </w:p>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（间）</w:t>
            </w:r>
          </w:p>
        </w:tc>
        <w:tc>
          <w:tcPr>
            <w:tcW w:w="210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规模</w:t>
            </w:r>
          </w:p>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（立方米）</w:t>
            </w:r>
          </w:p>
        </w:tc>
        <w:tc>
          <w:tcPr>
            <w:tcW w:w="2219"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新建设施购置   配套设施内容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5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282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翼城县</w:t>
            </w:r>
            <w:r>
              <w:rPr>
                <w:rFonts w:hint="eastAsia" w:asciiTheme="minorEastAsia" w:hAnsiTheme="minorEastAsia" w:cstheme="minorEastAsia"/>
                <w:sz w:val="24"/>
                <w:szCs w:val="24"/>
                <w:vertAlign w:val="baseline"/>
                <w:lang w:val="en-US" w:eastAsia="zh-CN"/>
              </w:rPr>
              <w:t>铭隆苹果种植</w:t>
            </w:r>
            <w:r>
              <w:rPr>
                <w:rFonts w:hint="eastAsia" w:asciiTheme="minorEastAsia" w:hAnsiTheme="minorEastAsia" w:eastAsiaTheme="minorEastAsia" w:cstheme="minorEastAsia"/>
                <w:sz w:val="24"/>
                <w:szCs w:val="24"/>
                <w:vertAlign w:val="baseline"/>
                <w:lang w:val="en-US" w:eastAsia="zh-CN"/>
              </w:rPr>
              <w:t>专业合作社</w:t>
            </w:r>
          </w:p>
        </w:tc>
        <w:tc>
          <w:tcPr>
            <w:tcW w:w="1138"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70.79</w:t>
            </w:r>
          </w:p>
        </w:tc>
        <w:tc>
          <w:tcPr>
            <w:tcW w:w="117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新建</w:t>
            </w:r>
          </w:p>
        </w:tc>
        <w:tc>
          <w:tcPr>
            <w:tcW w:w="280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机械冷藏库（高温库）</w:t>
            </w:r>
          </w:p>
        </w:tc>
        <w:tc>
          <w:tcPr>
            <w:tcW w:w="145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c>
          <w:tcPr>
            <w:tcW w:w="2100"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3766.52</w:t>
            </w:r>
          </w:p>
        </w:tc>
        <w:tc>
          <w:tcPr>
            <w:tcW w:w="2219"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仓储铁箱、3T电动叉车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56" w:type="dxa"/>
          </w:tcPr>
          <w:p>
            <w:pPr>
              <w:jc w:val="center"/>
              <w:rPr>
                <w:rFonts w:hint="default" w:asciiTheme="minorEastAsia" w:hAnsiTheme="minorEastAsia" w:eastAsiaTheme="minorEastAsia" w:cstheme="minorEastAsia"/>
                <w:sz w:val="24"/>
                <w:szCs w:val="24"/>
                <w:vertAlign w:val="baseline"/>
                <w:lang w:val="en-US" w:eastAsia="zh-CN"/>
              </w:rPr>
            </w:pPr>
          </w:p>
        </w:tc>
        <w:tc>
          <w:tcPr>
            <w:tcW w:w="2820" w:type="dxa"/>
          </w:tcPr>
          <w:p>
            <w:pPr>
              <w:jc w:val="center"/>
              <w:rPr>
                <w:rFonts w:hint="eastAsia" w:asciiTheme="minorEastAsia" w:hAnsiTheme="minorEastAsia" w:eastAsiaTheme="minorEastAsia" w:cstheme="minorEastAsia"/>
                <w:sz w:val="24"/>
                <w:szCs w:val="24"/>
                <w:vertAlign w:val="baseline"/>
                <w:lang w:val="en-US" w:eastAsia="zh-CN"/>
              </w:rPr>
            </w:pPr>
          </w:p>
        </w:tc>
        <w:tc>
          <w:tcPr>
            <w:tcW w:w="1138" w:type="dxa"/>
          </w:tcPr>
          <w:p>
            <w:pPr>
              <w:jc w:val="center"/>
              <w:rPr>
                <w:rFonts w:hint="eastAsia" w:asciiTheme="minorEastAsia" w:hAnsiTheme="minorEastAsia" w:eastAsiaTheme="minorEastAsia" w:cstheme="minorEastAsia"/>
                <w:sz w:val="24"/>
                <w:szCs w:val="24"/>
                <w:vertAlign w:val="baseline"/>
                <w:lang w:val="en-US" w:eastAsia="zh-CN"/>
              </w:rPr>
            </w:pPr>
          </w:p>
        </w:tc>
        <w:tc>
          <w:tcPr>
            <w:tcW w:w="1173" w:type="dxa"/>
          </w:tcPr>
          <w:p>
            <w:pPr>
              <w:jc w:val="center"/>
              <w:rPr>
                <w:rFonts w:hint="eastAsia" w:asciiTheme="minorEastAsia" w:hAnsiTheme="minorEastAsia" w:eastAsiaTheme="minorEastAsia" w:cstheme="minorEastAsia"/>
                <w:sz w:val="24"/>
                <w:szCs w:val="24"/>
                <w:vertAlign w:val="baseline"/>
                <w:lang w:val="en-US" w:eastAsia="zh-CN"/>
              </w:rPr>
            </w:pPr>
          </w:p>
        </w:tc>
        <w:tc>
          <w:tcPr>
            <w:tcW w:w="2809" w:type="dxa"/>
          </w:tcPr>
          <w:p>
            <w:pPr>
              <w:jc w:val="center"/>
              <w:rPr>
                <w:rFonts w:hint="eastAsia" w:asciiTheme="minorEastAsia" w:hAnsiTheme="minorEastAsia" w:eastAsiaTheme="minorEastAsia" w:cstheme="minorEastAsia"/>
                <w:sz w:val="24"/>
                <w:szCs w:val="24"/>
                <w:vertAlign w:val="baseline"/>
                <w:lang w:val="en-US" w:eastAsia="zh-CN"/>
              </w:rPr>
            </w:pPr>
          </w:p>
        </w:tc>
        <w:tc>
          <w:tcPr>
            <w:tcW w:w="1459" w:type="dxa"/>
          </w:tcPr>
          <w:p>
            <w:pPr>
              <w:jc w:val="center"/>
              <w:rPr>
                <w:rFonts w:hint="eastAsia" w:asciiTheme="minorEastAsia" w:hAnsiTheme="minorEastAsia" w:eastAsiaTheme="minorEastAsia" w:cstheme="minorEastAsia"/>
                <w:sz w:val="24"/>
                <w:szCs w:val="24"/>
                <w:vertAlign w:val="baseline"/>
                <w:lang w:val="en-US" w:eastAsia="zh-CN"/>
              </w:rPr>
            </w:pPr>
          </w:p>
        </w:tc>
        <w:tc>
          <w:tcPr>
            <w:tcW w:w="2100" w:type="dxa"/>
          </w:tcPr>
          <w:p>
            <w:pPr>
              <w:jc w:val="center"/>
              <w:rPr>
                <w:rFonts w:hint="eastAsia" w:asciiTheme="minorEastAsia" w:hAnsiTheme="minorEastAsia" w:eastAsiaTheme="minorEastAsia" w:cstheme="minorEastAsia"/>
                <w:sz w:val="24"/>
                <w:szCs w:val="24"/>
                <w:vertAlign w:val="baseline"/>
                <w:lang w:val="en-US" w:eastAsia="zh-CN"/>
              </w:rPr>
            </w:pPr>
          </w:p>
        </w:tc>
        <w:tc>
          <w:tcPr>
            <w:tcW w:w="2219" w:type="dxa"/>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456" w:type="dxa"/>
          </w:tcPr>
          <w:p>
            <w:pPr>
              <w:jc w:val="center"/>
              <w:rPr>
                <w:rFonts w:hint="eastAsia" w:asciiTheme="minorEastAsia" w:hAnsiTheme="minorEastAsia" w:eastAsiaTheme="minorEastAsia" w:cstheme="minorEastAsia"/>
                <w:sz w:val="24"/>
                <w:szCs w:val="24"/>
                <w:vertAlign w:val="baseline"/>
                <w:lang w:val="en-US" w:eastAsia="zh-CN"/>
              </w:rPr>
            </w:pPr>
          </w:p>
        </w:tc>
        <w:tc>
          <w:tcPr>
            <w:tcW w:w="2820" w:type="dxa"/>
          </w:tcPr>
          <w:p>
            <w:pPr>
              <w:jc w:val="center"/>
              <w:rPr>
                <w:rFonts w:hint="eastAsia" w:asciiTheme="minorEastAsia" w:hAnsiTheme="minorEastAsia" w:eastAsiaTheme="minorEastAsia" w:cstheme="minorEastAsia"/>
                <w:sz w:val="24"/>
                <w:szCs w:val="24"/>
                <w:vertAlign w:val="baseline"/>
                <w:lang w:val="en-US" w:eastAsia="zh-CN"/>
              </w:rPr>
            </w:pPr>
          </w:p>
        </w:tc>
        <w:tc>
          <w:tcPr>
            <w:tcW w:w="1138" w:type="dxa"/>
          </w:tcPr>
          <w:p>
            <w:pPr>
              <w:jc w:val="center"/>
              <w:rPr>
                <w:rFonts w:hint="eastAsia" w:asciiTheme="minorEastAsia" w:hAnsiTheme="minorEastAsia" w:eastAsiaTheme="minorEastAsia" w:cstheme="minorEastAsia"/>
                <w:sz w:val="24"/>
                <w:szCs w:val="24"/>
                <w:vertAlign w:val="baseline"/>
                <w:lang w:val="en-US" w:eastAsia="zh-CN"/>
              </w:rPr>
            </w:pPr>
          </w:p>
        </w:tc>
        <w:tc>
          <w:tcPr>
            <w:tcW w:w="1173" w:type="dxa"/>
          </w:tcPr>
          <w:p>
            <w:pPr>
              <w:jc w:val="center"/>
              <w:rPr>
                <w:rFonts w:hint="eastAsia" w:asciiTheme="minorEastAsia" w:hAnsiTheme="minorEastAsia" w:eastAsiaTheme="minorEastAsia" w:cstheme="minorEastAsia"/>
                <w:sz w:val="24"/>
                <w:szCs w:val="24"/>
                <w:vertAlign w:val="baseline"/>
                <w:lang w:val="en-US" w:eastAsia="zh-CN"/>
              </w:rPr>
            </w:pPr>
          </w:p>
        </w:tc>
        <w:tc>
          <w:tcPr>
            <w:tcW w:w="2809" w:type="dxa"/>
          </w:tcPr>
          <w:p>
            <w:pPr>
              <w:jc w:val="center"/>
              <w:rPr>
                <w:rFonts w:hint="eastAsia" w:asciiTheme="minorEastAsia" w:hAnsiTheme="minorEastAsia" w:eastAsiaTheme="minorEastAsia" w:cstheme="minorEastAsia"/>
                <w:sz w:val="24"/>
                <w:szCs w:val="24"/>
                <w:vertAlign w:val="baseline"/>
                <w:lang w:val="en-US" w:eastAsia="zh-CN"/>
              </w:rPr>
            </w:pPr>
          </w:p>
        </w:tc>
        <w:tc>
          <w:tcPr>
            <w:tcW w:w="1459" w:type="dxa"/>
          </w:tcPr>
          <w:p>
            <w:pPr>
              <w:jc w:val="center"/>
              <w:rPr>
                <w:rFonts w:hint="eastAsia" w:asciiTheme="minorEastAsia" w:hAnsiTheme="minorEastAsia" w:eastAsiaTheme="minorEastAsia" w:cstheme="minorEastAsia"/>
                <w:sz w:val="24"/>
                <w:szCs w:val="24"/>
                <w:vertAlign w:val="baseline"/>
                <w:lang w:val="en-US" w:eastAsia="zh-CN"/>
              </w:rPr>
            </w:pPr>
          </w:p>
        </w:tc>
        <w:tc>
          <w:tcPr>
            <w:tcW w:w="2100" w:type="dxa"/>
          </w:tcPr>
          <w:p>
            <w:pPr>
              <w:jc w:val="center"/>
              <w:rPr>
                <w:rFonts w:hint="eastAsia" w:asciiTheme="minorEastAsia" w:hAnsiTheme="minorEastAsia" w:eastAsiaTheme="minorEastAsia" w:cstheme="minorEastAsia"/>
                <w:sz w:val="24"/>
                <w:szCs w:val="24"/>
                <w:vertAlign w:val="baseline"/>
                <w:lang w:val="en-US" w:eastAsia="zh-CN"/>
              </w:rPr>
            </w:pPr>
          </w:p>
        </w:tc>
        <w:tc>
          <w:tcPr>
            <w:tcW w:w="2219" w:type="dxa"/>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4174" w:type="dxa"/>
            <w:gridSpan w:val="8"/>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备注：执行标准：《2022年山西农产品产地冷藏保鲜设施建设项目奖补目录》</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      奖补金额：以净库容为测算依据，按《奖补目录》对应档次</w:t>
            </w:r>
            <w:bookmarkStart w:id="0" w:name="_GoBack"/>
            <w:bookmarkEnd w:id="0"/>
            <w:r>
              <w:rPr>
                <w:rFonts w:hint="eastAsia" w:asciiTheme="minorEastAsia" w:hAnsiTheme="minorEastAsia" w:cstheme="minorEastAsia"/>
                <w:sz w:val="24"/>
                <w:szCs w:val="24"/>
                <w:vertAlign w:val="baseline"/>
                <w:lang w:val="en-US" w:eastAsia="zh-CN"/>
              </w:rPr>
              <w:t>确定冷库主体奖补金额。</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      配套设施奖补金额：实际配套设备购置的30%，最高不超过配套设备奖补最高限额。</w:t>
            </w:r>
          </w:p>
        </w:tc>
      </w:tr>
    </w:tbl>
    <w:p>
      <w:pPr>
        <w:rPr>
          <w:rFonts w:hint="eastAsia"/>
          <w:lang w:val="en-US" w:eastAsia="zh-CN"/>
        </w:rPr>
      </w:pPr>
    </w:p>
    <w:p>
      <w:pPr>
        <w:rPr>
          <w:rFonts w:hint="default"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mFmMDEyMzM0MTNlM2IyZDM5YjdmMDg2ZTUyN2IifQ=="/>
  </w:docVars>
  <w:rsids>
    <w:rsidRoot w:val="6DE220A6"/>
    <w:rsid w:val="1A791895"/>
    <w:rsid w:val="1F274F92"/>
    <w:rsid w:val="48925A2A"/>
    <w:rsid w:val="537A08C9"/>
    <w:rsid w:val="6DBB6302"/>
    <w:rsid w:val="6DE220A6"/>
    <w:rsid w:val="7B30793B"/>
    <w:rsid w:val="7C3178EE"/>
    <w:rsid w:val="7D161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245</Characters>
  <Lines>0</Lines>
  <Paragraphs>0</Paragraphs>
  <TotalTime>26</TotalTime>
  <ScaleCrop>false</ScaleCrop>
  <LinksUpToDate>false</LinksUpToDate>
  <CharactersWithSpaces>260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2023-11-10T01:46:00Z</dcterms:created>
  <dc:creator>Administrator</dc:creator>
  <cp:lastModifiedBy>XURUIRUI</cp:lastModifiedBy>
  <dcterms:modified xsi:type="dcterms:W3CDTF">2023-12-21T01:22:13Z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8F25A0B874E64AB990372A0A5C44E07C_11</vt:lpwstr>
  </property>
</Properties>
</file>