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jc w:val="distribute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FF0000"/>
          <w:spacing w:val="-68"/>
          <w:w w:val="72"/>
          <w:sz w:val="96"/>
          <w:szCs w:val="96"/>
          <w:vertAlign w:val="baseline"/>
          <w:lang w:eastAsia="zh-CN"/>
        </w:rPr>
      </w:pPr>
    </w:p>
    <w:tbl>
      <w:tblPr>
        <w:tblStyle w:val="12"/>
        <w:tblW w:w="93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8" w:hRule="atLeast"/>
          <w:jc w:val="center"/>
        </w:trPr>
        <w:tc>
          <w:tcPr>
            <w:tcW w:w="93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00" w:lineRule="exact"/>
              <w:jc w:val="distribute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FF0000"/>
                <w:spacing w:val="0"/>
                <w:w w:val="40"/>
                <w:sz w:val="160"/>
                <w:szCs w:val="160"/>
                <w:vertAlign w:val="baseline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FF0000"/>
                <w:spacing w:val="0"/>
                <w:w w:val="45"/>
                <w:sz w:val="144"/>
                <w:szCs w:val="144"/>
                <w:vertAlign w:val="baseline"/>
                <w:lang w:eastAsia="zh-CN"/>
              </w:rPr>
              <w:t>翼城县行政审批服务管理局文件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9300" w:type="dxa"/>
            <w:tcBorders>
              <w:bottom w:val="single" w:color="FF0000" w:sz="1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FF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翼审管审字〔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pacing w:val="0"/>
                <w:w w:val="100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翼城县国栋建材有限公司水泥制品建设项目环境影响报告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表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翼城县国栋建材有限公司：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你单位报送的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翼城县国栋建材有限公司水泥制品建设项目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环境影响报告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表》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（以下简称《报告表》）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及申请材料已收悉，根据《建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设项目环境保护管理条例》有关规定，结合专家评审意见，经研究，现批复如下：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、原则同意经技术审查后修改编制的《报告表》。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二、本项目位于山西省临汾市翼城县南唐乡西下坪村新开路29号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。本项目属未批先建项目，</w:t>
      </w:r>
      <w:r>
        <w:rPr>
          <w:rFonts w:hint="eastAsia" w:ascii="仿宋" w:hAnsi="仿宋" w:eastAsia="仿宋" w:cs="仿宋"/>
          <w:sz w:val="32"/>
          <w:szCs w:val="32"/>
        </w:rPr>
        <w:t>已建设完成封闭厂棚1000平米，地面硬化面积800平米，建有滚筒式搅拌机一台、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水泥仓一座、配料机一台，提料机一台、配套有布袋除尘设施，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未设置机修设施，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未进行生产。2023年8月18日临汾市生态环境局对其下达了行政处罚决定书（临环罚字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008027号），建设单位缴纳了罚款。本次主要建设内容：</w:t>
      </w:r>
      <w:bookmarkStart w:id="0" w:name="_Hlk111557468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新建</w:t>
      </w:r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原料库一座，生产车间一座，办公用房一栋；建设生产线一条，购置安装滚筒式搅拌机一台、水泥仓一座、配料机一台、提料机一台、配套环保设施。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项目总投资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50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其中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环保投资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为32万元。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在严格落实《报告表》中提出的各项生态保护和污染防治措施、</w:t>
      </w:r>
      <w:r>
        <w:rPr>
          <w:rFonts w:hint="eastAsia" w:ascii="仿宋" w:hAnsi="仿宋" w:eastAsia="仿宋" w:cs="仿宋"/>
          <w:sz w:val="32"/>
          <w:szCs w:val="32"/>
        </w:rPr>
        <w:t>项目污染物满足达标排放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及本批复要求的前提下，从环保角度分析，建设项目可行。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三、在项目建设和运营过程中，你单位必须严格执行“三同时”制度，对照《报告表》中提出的环保要求配套建设污染防治设施，并重点做好以下工作：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1、落实施工期污染防治措施。严格落实工地周边围挡、物料堆放覆盖、土方开挖湿法作业、路面硬化、出入车辆清洗、渣土车辆密闭运输等措施；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施工现场设备冲洗废水和生活废水经沉淀池收集、沉淀后用于施工现场洒水抑尘，不外排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制定严格合理的施工计划，集中安排高噪声施工阶段</w:t>
      </w:r>
      <w:r>
        <w:rPr>
          <w:rFonts w:hint="eastAsia"/>
          <w:color w:val="000000"/>
          <w:sz w:val="24"/>
          <w:highlight w:val="none"/>
          <w:lang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禁止夜间施工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建设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房间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等隔离措施，降低施工噪声影响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建筑垃圾定时清运，以免影响施工和环境卫生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生活垃圾集中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收集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统一由环卫部门处置。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2、落实运营期大气污染防治措施。石子和砂子堆放、装卸置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全封闭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轻钢结构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储库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内，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储库设置一套固定雾化抑尘装置，储库顶端设横纵网格布置雾化管道，确保雾化抑尘设施覆盖整个堆体表面，同时设置移动式雾炮机进行装卸抑尘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砂石料落料口及计量皮带输送走廊进行全封闭，螺旋输送机全封闭。在砂石料上料斗上方设三面围挡集气罩，计量皮带落料至螺旋输送机侧方设围挡集气罩，在搅拌机上方设集气罩，破碎机入料口设集气罩，含尘废气由布袋除尘器进行处理后经高排气筒排放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筒仓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呼吸废气配置一套布袋除尘器进行处理后由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排气筒排放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厂区及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厂区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道路地面硬化，运输车辆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使用达标车辆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，封闭运输，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严禁超载超速，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道路定期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清扫,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洒水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抑尘。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3、落实运营期水污染治理措施。设置长度要求不少于20m的车辆标准清洗平台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配套建设12m³三级沉淀池，洗车废水沉淀处理后回用洗车用水，不外排；建设1套生产废水处理设施，包括砂石分离器、1座20m³三级沉淀池、淋滤水收集槽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设备清洗废水经沉淀池处理后作为搅拌补充用水循环利用，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不外排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厂区南侧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设1座87.46m³初期雨水收集池，收集后的雨水经沉淀后，可以用于绿化及搅拌用水，不外排；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生活污水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仅为职工洗漱用水，水质简单，直接用于厂区洒水抑尘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，不外排。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落实运营期噪声污染治理措施。设备应选用先进的低噪设备；生产设备采用基础减振，引风机、水泵采用柔性连接减振，生产设备应及时维修，保证设备处于正常良好状态，从源头上降噪；各类风机等产噪设备均设置于室内，厂房为钢结构全封闭厂房，在厂房内墙壁内部设置吸声材料，车间内部墙面安装吸声材料，厂界设置围墙隔声；禁止夜间运输，昼间汽车经过村庄时减速慢行、禁止鸣笛，基本消除对村庄噪声影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落实固体废物污染防治措施。生活垃圾送当地环卫部门指定地点处置，布袋除尘灰作为原料回用于生产工序；硬化混凝土、不合格水泥预制品回用于混凝土的生产；废机油、废机油桶暂存至危废贮存库，定期交由有资质单位处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6、建立完善有效的环境风险防范与应急管理体系。严格落实《突发环境事件应急预案管理暂行办法》，落实各项环境风险防范措施，严防各类环境风险和次生环境污染问题发生。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7、《报告表》要求的其他环保措施。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四、项目建设完成后，要严格按照建设项目竣工环境保护验收的规定和要求，做好相关工作。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2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3552190</wp:posOffset>
            </wp:positionH>
            <wp:positionV relativeFrom="paragraph">
              <wp:posOffset>1025525</wp:posOffset>
            </wp:positionV>
            <wp:extent cx="1485900" cy="14668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五、临汾市生态环境局翼城分局负责本项目的现场监管、监督检查，确保各项环保措施按《报告表》和批复要求落实到位。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440" w:firstLineChars="17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2023年11月17日</w:t>
      </w:r>
    </w:p>
    <w:p>
      <w:pPr>
        <w:pStyle w:val="10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3" w:type="default"/>
      <w:pgSz w:w="11910" w:h="16850"/>
      <w:pgMar w:top="1440" w:right="1800" w:bottom="1440" w:left="1800" w:header="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155419-1347-4290-9F45-9225B856493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666ADC1-EB58-45F2-8B4C-125A273E272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8B335"/>
    <w:multiLevelType w:val="multilevel"/>
    <w:tmpl w:val="AAE8B33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284" w:firstLine="0"/>
      </w:pPr>
      <w:rPr>
        <w:rFonts w:hint="eastAsia" w:ascii="黑体" w:hAnsi="黑体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pStyle w:val="21"/>
      <w:suff w:val="nothing"/>
      <w:lvlText w:val="%1%2.%3.%4　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284" w:firstLine="0"/>
      </w:pPr>
      <w:rPr>
        <w:rFonts w:hint="eastAsia" w:ascii="黑体" w:hAns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677" w:hanging="1700"/>
      </w:pPr>
      <w:rPr>
        <w:rFonts w:hint="eastAsia"/>
      </w:rPr>
    </w:lvl>
  </w:abstractNum>
  <w:abstractNum w:abstractNumId="1">
    <w:nsid w:val="300505EB"/>
    <w:multiLevelType w:val="multilevel"/>
    <w:tmpl w:val="300505EB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8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9"/>
      <w:suff w:val="nothing"/>
      <w:lvlText w:val="%1%2.%3　"/>
      <w:lvlJc w:val="left"/>
      <w:pPr>
        <w:ind w:left="28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284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mNDkyNjQ5MDc3MjlmODU3MDk3NDY3NzBhYWE1ZmEifQ=="/>
  </w:docVars>
  <w:rsids>
    <w:rsidRoot w:val="197F217C"/>
    <w:rsid w:val="00B93F2F"/>
    <w:rsid w:val="00DE0C5C"/>
    <w:rsid w:val="02921C49"/>
    <w:rsid w:val="084408DC"/>
    <w:rsid w:val="0C9358E9"/>
    <w:rsid w:val="12F5438F"/>
    <w:rsid w:val="13A34700"/>
    <w:rsid w:val="16651332"/>
    <w:rsid w:val="17F673BF"/>
    <w:rsid w:val="1889473F"/>
    <w:rsid w:val="197F217C"/>
    <w:rsid w:val="19EF234A"/>
    <w:rsid w:val="20553A63"/>
    <w:rsid w:val="2C153E60"/>
    <w:rsid w:val="32305768"/>
    <w:rsid w:val="3521599A"/>
    <w:rsid w:val="38ED5B64"/>
    <w:rsid w:val="3D5642D8"/>
    <w:rsid w:val="3FC65372"/>
    <w:rsid w:val="44797D33"/>
    <w:rsid w:val="4E9A453D"/>
    <w:rsid w:val="506E58F8"/>
    <w:rsid w:val="50966A6E"/>
    <w:rsid w:val="515E4487"/>
    <w:rsid w:val="53743AF0"/>
    <w:rsid w:val="589B50CA"/>
    <w:rsid w:val="596D24C3"/>
    <w:rsid w:val="5AAB75B9"/>
    <w:rsid w:val="5C7F7B03"/>
    <w:rsid w:val="5E427394"/>
    <w:rsid w:val="64984A74"/>
    <w:rsid w:val="68585541"/>
    <w:rsid w:val="68C40628"/>
    <w:rsid w:val="68E86E05"/>
    <w:rsid w:val="6F8C6076"/>
    <w:rsid w:val="6FCF7E32"/>
    <w:rsid w:val="721645EA"/>
    <w:rsid w:val="78873DC2"/>
    <w:rsid w:val="7B6F2F4D"/>
    <w:rsid w:val="7C7413C5"/>
    <w:rsid w:val="7D20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numPr>
        <w:ilvl w:val="1"/>
        <w:numId w:val="1"/>
      </w:numPr>
      <w:spacing w:before="240" w:after="120"/>
      <w:ind w:left="0" w:firstLine="602"/>
      <w:outlineLvl w:val="1"/>
    </w:pPr>
    <w:rPr>
      <w:rFonts w:ascii="宋体"/>
      <w:b/>
      <w:sz w:val="30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0" w:right="0"/>
      <w:jc w:val="both"/>
    </w:pPr>
    <w:rPr>
      <w:rFonts w:hint="eastAsia" w:ascii="宋体" w:hAnsi="Courier New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5">
    <w:name w:val="Body Text"/>
    <w:basedOn w:val="1"/>
    <w:next w:val="1"/>
    <w:unhideWhenUsed/>
    <w:qFormat/>
    <w:uiPriority w:val="99"/>
    <w:pPr>
      <w:spacing w:after="120"/>
    </w:pPr>
  </w:style>
  <w:style w:type="paragraph" w:styleId="6">
    <w:name w:val="Body Text Indent"/>
    <w:basedOn w:val="1"/>
    <w:qFormat/>
    <w:uiPriority w:val="0"/>
    <w:pPr>
      <w:ind w:firstLine="600"/>
    </w:pPr>
    <w:rPr>
      <w:sz w:val="2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44"/>
    </w:rPr>
  </w:style>
  <w:style w:type="paragraph" w:styleId="10">
    <w:name w:val="Body Text First Indent 2"/>
    <w:basedOn w:val="6"/>
    <w:qFormat/>
    <w:uiPriority w:val="0"/>
    <w:pPr>
      <w:tabs>
        <w:tab w:val="left" w:pos="180"/>
      </w:tabs>
      <w:ind w:firstLine="420" w:firstLineChars="200"/>
    </w:pPr>
    <w:rPr>
      <w:color w:val="000000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0"/>
      <w:lang w:val="en-US" w:eastAsia="zh-CN" w:bidi="ar-SA"/>
    </w:rPr>
  </w:style>
  <w:style w:type="character" w:customStyle="1" w:styleId="16">
    <w:name w:val="font31"/>
    <w:basedOn w:val="13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17">
    <w:name w:val="font61"/>
    <w:basedOn w:val="13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paragraph" w:customStyle="1" w:styleId="18">
    <w:name w:val="标准文件_章标题"/>
    <w:next w:val="15"/>
    <w:qFormat/>
    <w:uiPriority w:val="0"/>
    <w:pPr>
      <w:numPr>
        <w:ilvl w:val="1"/>
        <w:numId w:val="2"/>
      </w:numPr>
      <w:spacing w:beforeLines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9">
    <w:name w:val="标准文件_一级条标题"/>
    <w:basedOn w:val="18"/>
    <w:next w:val="15"/>
    <w:qFormat/>
    <w:uiPriority w:val="0"/>
    <w:pPr>
      <w:numPr>
        <w:ilvl w:val="2"/>
      </w:numPr>
      <w:spacing w:beforeLines="50" w:afterLines="50"/>
      <w:outlineLvl w:val="1"/>
    </w:pPr>
  </w:style>
  <w:style w:type="paragraph" w:customStyle="1" w:styleId="20">
    <w:name w:val="标准文件_二级无标题"/>
    <w:basedOn w:val="21"/>
    <w:qFormat/>
    <w:uiPriority w:val="0"/>
    <w:pPr>
      <w:spacing w:before="50" w:beforeLines="0" w:after="50" w:afterLines="0"/>
      <w:outlineLvl w:val="9"/>
    </w:pPr>
    <w:rPr>
      <w:rFonts w:ascii="宋体" w:eastAsia="宋体"/>
    </w:rPr>
  </w:style>
  <w:style w:type="paragraph" w:customStyle="1" w:styleId="21">
    <w:name w:val="标准文件_二级条标题"/>
    <w:next w:val="15"/>
    <w:qFormat/>
    <w:uiPriority w:val="0"/>
    <w:pPr>
      <w:widowControl w:val="0"/>
      <w:numPr>
        <w:ilvl w:val="3"/>
        <w:numId w:val="3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5650</Words>
  <Characters>6014</Characters>
  <Lines>0</Lines>
  <Paragraphs>0</Paragraphs>
  <TotalTime>0</TotalTime>
  <ScaleCrop>false</ScaleCrop>
  <LinksUpToDate>false</LinksUpToDate>
  <CharactersWithSpaces>6359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2023-05-25T09:54:00Z</dcterms:created>
  <dc:creator>Administrator</dc:creator>
  <cp:lastModifiedBy>Administrator</cp:lastModifiedBy>
  <cp:lastPrinted>2023-05-29T09:13:00Z</cp:lastPrinted>
  <dcterms:modified xsi:type="dcterms:W3CDTF">2023-11-20T02:33:44Z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7E309B287A584755A1655E242BCA244B_13</vt:lpwstr>
  </property>
</Properties>
</file>