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31"/>
        <w:gridCol w:w="3514"/>
        <w:gridCol w:w="1768"/>
        <w:gridCol w:w="1125"/>
        <w:gridCol w:w="2764"/>
        <w:gridCol w:w="1950"/>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084" w:hRule="atLeast"/>
        </w:trPr>
        <w:tc>
          <w:tcPr>
            <w:tcW w:w="14174" w:type="dxa"/>
            <w:gridSpan w:val="7"/>
            <w:vAlign w:val="center"/>
          </w:tcPr>
          <w:p>
            <w:pPr>
              <w:jc w:val="center"/>
              <w:rPr>
                <w:rFonts w:hint="default"/>
                <w:vertAlign w:val="baseline"/>
                <w:lang w:val="en-US" w:eastAsia="zh-CN"/>
              </w:rPr>
            </w:pPr>
            <w:r>
              <w:rPr>
                <w:rFonts w:hint="eastAsia"/>
                <w:sz w:val="36"/>
                <w:szCs w:val="36"/>
                <w:vertAlign w:val="baseline"/>
                <w:lang w:val="en-US" w:eastAsia="zh-CN"/>
              </w:rPr>
              <w:t>翼城县农产品仓储保鲜冷链设施建设项目验收合格主体及测算奖补金额公示表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78" w:hRule="atLeast"/>
        </w:trPr>
        <w:tc>
          <w:tcPr>
            <w:tcW w:w="731"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序号</w:t>
            </w:r>
          </w:p>
        </w:tc>
        <w:tc>
          <w:tcPr>
            <w:tcW w:w="3514"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主体名称</w:t>
            </w:r>
          </w:p>
        </w:tc>
        <w:tc>
          <w:tcPr>
            <w:tcW w:w="1768"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测算奖补金额（万元）</w:t>
            </w:r>
          </w:p>
        </w:tc>
        <w:tc>
          <w:tcPr>
            <w:tcW w:w="112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新建</w:t>
            </w:r>
          </w:p>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（改建）</w:t>
            </w:r>
          </w:p>
        </w:tc>
        <w:tc>
          <w:tcPr>
            <w:tcW w:w="2764"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设施类型</w:t>
            </w:r>
          </w:p>
        </w:tc>
        <w:tc>
          <w:tcPr>
            <w:tcW w:w="195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数量</w:t>
            </w:r>
          </w:p>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（间）</w:t>
            </w:r>
          </w:p>
        </w:tc>
        <w:tc>
          <w:tcPr>
            <w:tcW w:w="232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规模</w:t>
            </w:r>
          </w:p>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37" w:hRule="atLeast"/>
        </w:trPr>
        <w:tc>
          <w:tcPr>
            <w:tcW w:w="731"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3514"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翼城县日月农作物种植专业</w:t>
            </w:r>
          </w:p>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合作社</w:t>
            </w:r>
          </w:p>
        </w:tc>
        <w:tc>
          <w:tcPr>
            <w:tcW w:w="1768" w:type="dxa"/>
            <w:vAlign w:val="center"/>
          </w:tcPr>
          <w:p>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100</w:t>
            </w:r>
          </w:p>
        </w:tc>
        <w:tc>
          <w:tcPr>
            <w:tcW w:w="112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新建</w:t>
            </w:r>
          </w:p>
        </w:tc>
        <w:tc>
          <w:tcPr>
            <w:tcW w:w="2764"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机械冷藏库（高温库）</w:t>
            </w:r>
          </w:p>
        </w:tc>
        <w:tc>
          <w:tcPr>
            <w:tcW w:w="195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w:t>
            </w:r>
          </w:p>
        </w:tc>
        <w:tc>
          <w:tcPr>
            <w:tcW w:w="232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5944.68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24" w:hRule="atLeast"/>
        </w:trPr>
        <w:tc>
          <w:tcPr>
            <w:tcW w:w="731" w:type="dxa"/>
          </w:tcPr>
          <w:p>
            <w:pPr>
              <w:jc w:val="center"/>
              <w:rPr>
                <w:rFonts w:hint="default" w:asciiTheme="minorEastAsia" w:hAnsiTheme="minorEastAsia" w:eastAsiaTheme="minorEastAsia" w:cstheme="minorEastAsia"/>
                <w:sz w:val="24"/>
                <w:szCs w:val="24"/>
                <w:vertAlign w:val="baseline"/>
                <w:lang w:val="en-US" w:eastAsia="zh-CN"/>
              </w:rPr>
            </w:pPr>
          </w:p>
        </w:tc>
        <w:tc>
          <w:tcPr>
            <w:tcW w:w="3514" w:type="dxa"/>
          </w:tcPr>
          <w:p>
            <w:pPr>
              <w:jc w:val="center"/>
              <w:rPr>
                <w:rFonts w:hint="eastAsia" w:asciiTheme="minorEastAsia" w:hAnsiTheme="minorEastAsia" w:eastAsiaTheme="minorEastAsia" w:cstheme="minorEastAsia"/>
                <w:sz w:val="24"/>
                <w:szCs w:val="24"/>
                <w:vertAlign w:val="baseline"/>
                <w:lang w:val="en-US" w:eastAsia="zh-CN"/>
              </w:rPr>
            </w:pPr>
          </w:p>
        </w:tc>
        <w:tc>
          <w:tcPr>
            <w:tcW w:w="1768" w:type="dxa"/>
          </w:tcPr>
          <w:p>
            <w:pPr>
              <w:jc w:val="center"/>
              <w:rPr>
                <w:rFonts w:hint="eastAsia" w:asciiTheme="minorEastAsia" w:hAnsiTheme="minorEastAsia" w:eastAsiaTheme="minorEastAsia" w:cstheme="minorEastAsia"/>
                <w:sz w:val="24"/>
                <w:szCs w:val="24"/>
                <w:vertAlign w:val="baseline"/>
                <w:lang w:val="en-US" w:eastAsia="zh-CN"/>
              </w:rPr>
            </w:pPr>
          </w:p>
        </w:tc>
        <w:tc>
          <w:tcPr>
            <w:tcW w:w="1125" w:type="dxa"/>
          </w:tcPr>
          <w:p>
            <w:pPr>
              <w:jc w:val="center"/>
              <w:rPr>
                <w:rFonts w:hint="eastAsia" w:asciiTheme="minorEastAsia" w:hAnsiTheme="minorEastAsia" w:eastAsiaTheme="minorEastAsia" w:cstheme="minorEastAsia"/>
                <w:sz w:val="24"/>
                <w:szCs w:val="24"/>
                <w:vertAlign w:val="baseline"/>
                <w:lang w:val="en-US" w:eastAsia="zh-CN"/>
              </w:rPr>
            </w:pPr>
          </w:p>
        </w:tc>
        <w:tc>
          <w:tcPr>
            <w:tcW w:w="2764" w:type="dxa"/>
          </w:tcPr>
          <w:p>
            <w:pPr>
              <w:jc w:val="center"/>
              <w:rPr>
                <w:rFonts w:hint="eastAsia" w:asciiTheme="minorEastAsia" w:hAnsiTheme="minorEastAsia" w:eastAsiaTheme="minorEastAsia" w:cstheme="minorEastAsia"/>
                <w:sz w:val="24"/>
                <w:szCs w:val="24"/>
                <w:vertAlign w:val="baseline"/>
                <w:lang w:val="en-US" w:eastAsia="zh-CN"/>
              </w:rPr>
            </w:pPr>
            <w:bookmarkStart w:id="0" w:name="_GoBack"/>
            <w:bookmarkEnd w:id="0"/>
          </w:p>
        </w:tc>
        <w:tc>
          <w:tcPr>
            <w:tcW w:w="1950" w:type="dxa"/>
          </w:tcPr>
          <w:p>
            <w:pPr>
              <w:jc w:val="center"/>
              <w:rPr>
                <w:rFonts w:hint="eastAsia" w:asciiTheme="minorEastAsia" w:hAnsiTheme="minorEastAsia" w:eastAsiaTheme="minorEastAsia" w:cstheme="minorEastAsia"/>
                <w:sz w:val="24"/>
                <w:szCs w:val="24"/>
                <w:vertAlign w:val="baseline"/>
                <w:lang w:val="en-US" w:eastAsia="zh-CN"/>
              </w:rPr>
            </w:pPr>
          </w:p>
        </w:tc>
        <w:tc>
          <w:tcPr>
            <w:tcW w:w="2322" w:type="dxa"/>
          </w:tcPr>
          <w:p>
            <w:p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5" w:hRule="atLeast"/>
        </w:trPr>
        <w:tc>
          <w:tcPr>
            <w:tcW w:w="731" w:type="dxa"/>
          </w:tcPr>
          <w:p>
            <w:pPr>
              <w:jc w:val="center"/>
              <w:rPr>
                <w:rFonts w:hint="eastAsia" w:asciiTheme="minorEastAsia" w:hAnsiTheme="minorEastAsia" w:eastAsiaTheme="minorEastAsia" w:cstheme="minorEastAsia"/>
                <w:sz w:val="24"/>
                <w:szCs w:val="24"/>
                <w:vertAlign w:val="baseline"/>
                <w:lang w:val="en-US" w:eastAsia="zh-CN"/>
              </w:rPr>
            </w:pPr>
          </w:p>
        </w:tc>
        <w:tc>
          <w:tcPr>
            <w:tcW w:w="3514" w:type="dxa"/>
          </w:tcPr>
          <w:p>
            <w:pPr>
              <w:jc w:val="center"/>
              <w:rPr>
                <w:rFonts w:hint="eastAsia" w:asciiTheme="minorEastAsia" w:hAnsiTheme="minorEastAsia" w:eastAsiaTheme="minorEastAsia" w:cstheme="minorEastAsia"/>
                <w:sz w:val="24"/>
                <w:szCs w:val="24"/>
                <w:vertAlign w:val="baseline"/>
                <w:lang w:val="en-US" w:eastAsia="zh-CN"/>
              </w:rPr>
            </w:pPr>
          </w:p>
        </w:tc>
        <w:tc>
          <w:tcPr>
            <w:tcW w:w="1768" w:type="dxa"/>
          </w:tcPr>
          <w:p>
            <w:pPr>
              <w:jc w:val="center"/>
              <w:rPr>
                <w:rFonts w:hint="eastAsia" w:asciiTheme="minorEastAsia" w:hAnsiTheme="minorEastAsia" w:eastAsiaTheme="minorEastAsia" w:cstheme="minorEastAsia"/>
                <w:sz w:val="24"/>
                <w:szCs w:val="24"/>
                <w:vertAlign w:val="baseline"/>
                <w:lang w:val="en-US" w:eastAsia="zh-CN"/>
              </w:rPr>
            </w:pPr>
          </w:p>
        </w:tc>
        <w:tc>
          <w:tcPr>
            <w:tcW w:w="1125" w:type="dxa"/>
          </w:tcPr>
          <w:p>
            <w:pPr>
              <w:jc w:val="center"/>
              <w:rPr>
                <w:rFonts w:hint="eastAsia" w:asciiTheme="minorEastAsia" w:hAnsiTheme="minorEastAsia" w:eastAsiaTheme="minorEastAsia" w:cstheme="minorEastAsia"/>
                <w:sz w:val="24"/>
                <w:szCs w:val="24"/>
                <w:vertAlign w:val="baseline"/>
                <w:lang w:val="en-US" w:eastAsia="zh-CN"/>
              </w:rPr>
            </w:pPr>
          </w:p>
        </w:tc>
        <w:tc>
          <w:tcPr>
            <w:tcW w:w="2764" w:type="dxa"/>
          </w:tcPr>
          <w:p>
            <w:pPr>
              <w:jc w:val="center"/>
              <w:rPr>
                <w:rFonts w:hint="eastAsia" w:asciiTheme="minorEastAsia" w:hAnsiTheme="minorEastAsia" w:eastAsiaTheme="minorEastAsia" w:cstheme="minorEastAsia"/>
                <w:sz w:val="24"/>
                <w:szCs w:val="24"/>
                <w:vertAlign w:val="baseline"/>
                <w:lang w:val="en-US" w:eastAsia="zh-CN"/>
              </w:rPr>
            </w:pPr>
          </w:p>
        </w:tc>
        <w:tc>
          <w:tcPr>
            <w:tcW w:w="1950" w:type="dxa"/>
          </w:tcPr>
          <w:p>
            <w:pPr>
              <w:jc w:val="center"/>
              <w:rPr>
                <w:rFonts w:hint="eastAsia" w:asciiTheme="minorEastAsia" w:hAnsiTheme="minorEastAsia" w:eastAsiaTheme="minorEastAsia" w:cstheme="minorEastAsia"/>
                <w:sz w:val="24"/>
                <w:szCs w:val="24"/>
                <w:vertAlign w:val="baseline"/>
                <w:lang w:val="en-US" w:eastAsia="zh-CN"/>
              </w:rPr>
            </w:pPr>
          </w:p>
        </w:tc>
        <w:tc>
          <w:tcPr>
            <w:tcW w:w="2322" w:type="dxa"/>
          </w:tcPr>
          <w:p>
            <w:p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340" w:hRule="atLeast"/>
        </w:trPr>
        <w:tc>
          <w:tcPr>
            <w:tcW w:w="14174" w:type="dxa"/>
            <w:gridSpan w:val="7"/>
            <w:vAlign w:val="center"/>
          </w:tcPr>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备注：执行标准：《2022年山西农产品产地冷藏保鲜设施建设项目奖补目录》</w:t>
            </w:r>
          </w:p>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 xml:space="preserve">      奖补金额：以净库容为测算依据，按《奖补目录》对应档确定冷库主体奖补金额。</w:t>
            </w:r>
          </w:p>
          <w:p>
            <w:pPr>
              <w:jc w:val="both"/>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 xml:space="preserve">      配套设施奖补金额：实际配套设备购置的30%，最高不超过配套设备奖补最高限额。</w:t>
            </w:r>
          </w:p>
        </w:tc>
      </w:tr>
    </w:tbl>
    <w:p>
      <w:pPr>
        <w:rPr>
          <w:rFonts w:hint="eastAsia"/>
          <w:lang w:val="en-US" w:eastAsia="zh-CN"/>
        </w:rPr>
      </w:pPr>
    </w:p>
    <w:p>
      <w:pPr>
        <w:rPr>
          <w:rFonts w:hint="default" w:eastAsiaTheme="minor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mZjVlZjFlMzE1ZmRmZGRkNDEzYjBjN2JmMWExMmYifQ=="/>
  </w:docVars>
  <w:rsids>
    <w:rsidRoot w:val="6DE220A6"/>
    <w:rsid w:val="6DE22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2023-11-10T01:46:00Z</dcterms:created>
  <dc:creator>Administrator</dc:creator>
  <cp:lastModifiedBy>Administrator</cp:lastModifiedBy>
  <dcterms:modified xsi:type="dcterms:W3CDTF">2023-11-10T02:12:19Z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8F25A0B874E64AB990372A0A5C44E07C_11</vt:lpwstr>
  </property>
</Properties>
</file>